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20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中国共产党华容县委员会组织部 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113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 xml:space="preserve">  年 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6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705"/>
        <w:gridCol w:w="93"/>
        <w:gridCol w:w="103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高爱琼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787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13974073688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787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3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贯彻执行</w:t>
            </w:r>
            <w:r>
              <w:rPr>
                <w:rFonts w:hint="eastAsia" w:ascii="仿宋_GB2312" w:eastAsia="仿宋_GB2312"/>
                <w:sz w:val="24"/>
              </w:rPr>
              <w:t>党的路线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和各项</w:t>
            </w:r>
            <w:r>
              <w:rPr>
                <w:rFonts w:hint="eastAsia" w:ascii="仿宋_GB2312" w:eastAsia="仿宋_GB2312"/>
                <w:sz w:val="24"/>
              </w:rPr>
              <w:t>方针政策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，加强领导班子的组织、思想作风建设和干部队伍的建设</w:t>
            </w:r>
            <w:r>
              <w:rPr>
                <w:rFonts w:hint="eastAsia" w:ascii="仿宋_GB2312" w:eastAsia="仿宋_GB2312"/>
                <w:sz w:val="24"/>
              </w:rPr>
              <w:t>情况，做好党员教育和组织管理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搞好干部监督、管理，加强干部的考察了解，合理调配和使用干部，大力培训干部，切实提高干部队伍素质。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7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1.“两委”换届稳妥推进；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2.“五个一”顺利实施；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3.“十到支部”全面推行；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4.“十项攻坚”着力推进；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5.严格干部教育培训；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6.健全完善考核评价机制；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7.坚持好干部标准选任干部；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8.切实加强公务员管理；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9.全面提升监督管理水平；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10.严格干部信息管理；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11.构建党管人才新格局；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12.创优环境招引人才；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21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13.着力加强本土人才培养。</w:t>
            </w:r>
          </w:p>
          <w:p>
            <w:pPr>
              <w:widowControl w:val="0"/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8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2020年，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切实践行新时代党的建设总要求和新时代党的组织路线，较好完成了“十三五”工作规划，为建成全面小康经济强县提供了坚强的组织保障。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688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333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0.81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0.81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319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319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目标1：“两委”换届稳妥推进；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目标2：“五个一”顺利实施；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目标3：“十到支部”全面推行；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目标4:“十项攻坚”着力推进；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目标5:严格干部教育培训；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目标6:健全完善考核评价机制；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目标7:坚持好干部标准选任干部；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目标8:切实加强公务员管理；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目标9:全面提升监督管理水平；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目标10:严格干部信息管理；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目标11:构建党管人才新格局；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目标12:创优环境招引人才；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目标13:着力加强本土人才培养。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均已按目标计划实施，并完成年初计划。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全面推动基层党建提质增效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tabs>
                <w:tab w:val="left" w:pos="532"/>
              </w:tabs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指标2：打造坚强有力的领导班子和高素质干部队伍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着力集聚各方面优秀人才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全面完成了203个村（社区）财务清查和两委成员任期经济责任审计工作,186个村社区全部实行“一肩挑”，每村配备35岁以下、大专以上学历村干部1名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完成175个村（社区）党支部政治考察，解决实际问题数53个，先后召开恳谈会、屋场会、乡村夜话数79个，深入排查整改问题641个，化解贫困村信访问题9个，后盾单位累计投入资金1191万元，消费扶贫金额201.16万元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8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指标3：组织党员培训等县级集中培训12个班次，共轮训党员干部1938人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指标1：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坚持以党的政治建设为统领，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全面落实基层党建“五个一”重点任务，着力实施“十项攻坚、十到支部”，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强化责任担当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狠抓工作落实，全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各领域基层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党建工作质量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实现新提升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指标2：统筹推进人才队伍培养，实施特殊专家、名师名校长、名医名护、创业精英、首席工匠、乡村能人选拔和支持计划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指标3：围绕聚才兴业目标，着力优化人才发展环境，引进教育卫生人才，实行配偶随调安置，为子女就学提供方便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指标1：全县基层公共服务（一门式）全覆盖工作经验被《湘组研究》2020年第七期推介、《岳阳日报》头版头条专题报道，并上报省《基层改革探索100例》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787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朱智华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常务副部长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华容县委组织部</w:t>
            </w:r>
          </w:p>
        </w:tc>
        <w:tc>
          <w:tcPr>
            <w:tcW w:w="2787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蒋曹智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办公室主任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华容县委组织部</w:t>
            </w:r>
          </w:p>
        </w:tc>
        <w:tc>
          <w:tcPr>
            <w:tcW w:w="2787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高爱琼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会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华容县委组织部</w:t>
            </w:r>
          </w:p>
        </w:tc>
        <w:tc>
          <w:tcPr>
            <w:tcW w:w="2787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87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  <w:bookmarkStart w:id="0" w:name="_GoBack"/>
            <w:bookmarkEnd w:id="0"/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高爱琼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13974073688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0" w:hRule="atLeast"/>
          <w:jc w:val="center"/>
        </w:trPr>
        <w:tc>
          <w:tcPr>
            <w:tcW w:w="955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（一）部门（单位）基本情况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县委组织部系财政全额预算拨款单位，20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年现有人员编制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人，（其中：行政编制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名；事业编制2名；事业差额编制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0名；自收自支编制1名；工勤编制1名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）；实有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人，（其中：全额人员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人；差额人员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0名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）。组织部下设：办公室、干部办、公务员管理办、干部监督办、干部教育办、基层党建办、干部信息室，县委直属机关工作委员会办公室、 人才工作办公室、两新办、老干部办公室。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主要工作职能：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1、根据党的路线、方针、政策和上级组织部门、县委的指示、决议，认真落实有关党的组织工作方面的方针、政策，提出实施组织路线的具体措施，经县委审查批准后，认真贯彻执行。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2、加强组织工作宏观管理，检查掌握全县各级基层党组织执行民主集中制、加强领导班子思想作风建设情况，做好党员教育和组织管理工作。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 xml:space="preserve"> 3、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贯彻执行党的干部路线和干部政策，改革干部制度，搞好干部监督、管理，加强干部的考察了解，合理调配和使用干部，大力培训干部，切实提高干部队伍素质。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4、掌握各类人才信息，加强干部档案管理，做好知识分子工作，掌握和管理好一批各行各业的专业技术人才。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5、负责对县委管理干部的历史遗留问题进行初审和审查，，承办县委和市委组织部交办的其他事项。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（一）基本支出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1、收入情况：全年收入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688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万元，其中财政预算拨款4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2、支出情况：全年实际支出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688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万元，其中人员经费支出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333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万元，公用支出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355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万元。其中三公支出为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0.81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万元，全年收支平衡。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、部门（单位）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专项组织实施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无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20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年部机关履职及效益情况：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坚持以党的政治建设为统领，全面落实基层党建“五个一”重点任务，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着力实施“十项攻坚、十到支部”，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强化责任担当、狠抓工作落实，全县各领域基层党建工作质量实现新提升。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做好上级干部调训工作，制订《华容县乡镇、县直部门单位领导班子和领导干部综合考核评价办法》，把政治建设考察全覆盖作为重要内容纳入综合考评。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进一步优化了领导班子结构，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理顺职能关系，激发干部干事创业活力，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有效地调动了干部的工作积极性。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坚持人才工作优先发展战略，全面优化人才政策，围绕聚才兴业目标，着力优化人才发展环境，统筹推进人才队伍培养。社会效益、可持续性和社会公众满意度达到了预期目标。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、存在的主要问题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1、日常工作繁多，难以集中精力学习。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eastAsia="仿宋_GB2312" w:cs="仿宋_GB2312"/>
                <w:bCs/>
                <w:sz w:val="28"/>
                <w:szCs w:val="28"/>
                <w:lang w:eastAsia="zh-CN"/>
              </w:rPr>
              <w:t>财务监督管理机制还有待加强。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1、细化预算编制工作，认真做好预算的编制。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  <w:lang w:val="en-US" w:eastAsia="zh-CN"/>
              </w:rPr>
              <w:t>2、加强监督，做到监管机制环环相扣，不出现断层、漏洞。</w:t>
            </w:r>
          </w:p>
          <w:p>
            <w:pPr>
              <w:ind w:firstLine="1120" w:firstLineChars="400"/>
              <w:rPr>
                <w:rFonts w:hint="eastAsia" w:eastAsia="楷体_GB2312"/>
                <w:bCs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92367"/>
    <w:multiLevelType w:val="multilevel"/>
    <w:tmpl w:val="16492367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83749E7"/>
    <w:rsid w:val="090F2FE7"/>
    <w:rsid w:val="0DE528CD"/>
    <w:rsid w:val="0F4B52A7"/>
    <w:rsid w:val="120A650A"/>
    <w:rsid w:val="14AA324A"/>
    <w:rsid w:val="172D0DFD"/>
    <w:rsid w:val="18725427"/>
    <w:rsid w:val="1D293634"/>
    <w:rsid w:val="23A363FB"/>
    <w:rsid w:val="254E2FC7"/>
    <w:rsid w:val="263C173A"/>
    <w:rsid w:val="2913529C"/>
    <w:rsid w:val="2CA33441"/>
    <w:rsid w:val="2CE55C20"/>
    <w:rsid w:val="2ECA1918"/>
    <w:rsid w:val="2F287302"/>
    <w:rsid w:val="30426D13"/>
    <w:rsid w:val="33DA0C2C"/>
    <w:rsid w:val="3A43255A"/>
    <w:rsid w:val="3D6201A1"/>
    <w:rsid w:val="3D6B0926"/>
    <w:rsid w:val="3EC46785"/>
    <w:rsid w:val="3F8A6044"/>
    <w:rsid w:val="458F051A"/>
    <w:rsid w:val="477245B4"/>
    <w:rsid w:val="4DFF21F1"/>
    <w:rsid w:val="4E4F0BB0"/>
    <w:rsid w:val="513B44C4"/>
    <w:rsid w:val="55FF1CD6"/>
    <w:rsid w:val="5BE95901"/>
    <w:rsid w:val="5E4B38A3"/>
    <w:rsid w:val="6A0A15CD"/>
    <w:rsid w:val="6B060038"/>
    <w:rsid w:val="6DF352BD"/>
    <w:rsid w:val="705E3E6D"/>
    <w:rsid w:val="712D07C7"/>
    <w:rsid w:val="71C1048A"/>
    <w:rsid w:val="730359DC"/>
    <w:rsid w:val="73F35F5B"/>
    <w:rsid w:val="79C04582"/>
    <w:rsid w:val="7D1F0DA2"/>
    <w:rsid w:val="7E3D04F6"/>
    <w:rsid w:val="7F844A65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xzf</cp:lastModifiedBy>
  <cp:lastPrinted>2021-07-12T08:27:00Z</cp:lastPrinted>
  <dcterms:modified xsi:type="dcterms:W3CDTF">2021-07-28T03:07:05Z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7F74F6BC2904496399451B6EA66BA727</vt:lpwstr>
  </property>
</Properties>
</file>