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华容县林业局</w:t>
      </w:r>
      <w:r>
        <w:rPr>
          <w:rFonts w:hint="eastAsia" w:eastAsia="仿宋_GB2312"/>
          <w:sz w:val="32"/>
          <w:szCs w:val="32"/>
          <w:u w:val="single"/>
        </w:rPr>
        <w:t xml:space="preserve"> </w:t>
      </w:r>
      <w:r>
        <w:rPr>
          <w:rFonts w:hint="eastAsia" w:eastAsia="仿宋_GB2312"/>
          <w:sz w:val="32"/>
          <w:szCs w:val="32"/>
          <w:u w:val="single"/>
          <w:lang w:eastAsia="zh-CN"/>
        </w:rPr>
        <w:t>（</w:t>
      </w:r>
      <w:r>
        <w:rPr>
          <w:rFonts w:hint="eastAsia" w:eastAsia="仿宋_GB2312"/>
          <w:sz w:val="32"/>
          <w:szCs w:val="32"/>
          <w:u w:val="single"/>
          <w:lang w:val="en-US" w:eastAsia="zh-CN"/>
        </w:rPr>
        <w:t>本级</w:t>
      </w:r>
      <w:r>
        <w:rPr>
          <w:rFonts w:hint="eastAsia" w:eastAsia="仿宋_GB2312"/>
          <w:sz w:val="32"/>
          <w:szCs w:val="32"/>
          <w:u w:val="single"/>
          <w:lang w:eastAsia="zh-CN"/>
        </w:rPr>
        <w:t>）</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10"/>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王芬</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ind w:firstLine="720" w:firstLineChars="3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13974075770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1、贯彻执行国家大政方针、政策和法律法规，研究拟订全县森林生态环境建设、森林资源保护和国土绿化的具体办法和措施，并组织实施。</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2、拟订全县林业发展战略与中长期规划，并组织实施；管理全县林业资金，监督全县林业资金的使用。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3、组织开展植树造林和封山育林工作；组织指导以植树、种草等措施防治水土流失和防浪、治沙工作；指导国有林场、集体林场及基层林业工作站的业务。</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指导森林资源（含经济林、薪炭林、用材林、防护林及其它特种用途林）的管理，组织全县森林资源调查，监督森林资源的使用，组织实施森林采伐限额；监督林木、竹林的凭证采伐与运输；组织、指导林地、林权管理、林业产权交易，并对依法应由县政府批准的林地征用、占用进行审核；监督林地开发利用工作；负责协调山林纠纷。</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5、组织、指导陆生野生动植物资源的保护和合理开发利用。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6、组织协调、指导、监督全县森林防火工作；负责指导全县森林公安工作；组织指导全县森林病虫害的防治、检疫工作。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7、研究提出林业产业发展的有关措施建议；监督国家林业资产，指导林业产业发展；申报重点林业建设项目。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8、指导各类商品林（含用材林、经济林、薪炭林、落叶林、竹林、特种用途林）和风景林及林木花卉的发展与培育。</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9、组织、指导林业科技宣传工作，指导全县林业队伍的建设。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10、承办县委、县政府和上级主管部门交办的其他事项。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bookmarkStart w:id="0" w:name="OLE_LINK10"/>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乡镇造林1.6万亩，义务植树120万株</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p>
          <w:bookmarkEnd w:id="0"/>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任务4:</w:t>
            </w:r>
            <w:r>
              <w:rPr>
                <w:rFonts w:hint="eastAsia" w:ascii="仿宋_GB2312" w:hAnsi="仿宋_GB2312" w:eastAsia="仿宋_GB2312" w:cs="仿宋_GB2312"/>
                <w:color w:val="000000"/>
                <w:sz w:val="24"/>
              </w:rPr>
              <w:t>加强</w:t>
            </w:r>
            <w:r>
              <w:rPr>
                <w:rFonts w:hint="eastAsia" w:ascii="仿宋_GB2312" w:hAnsi="仿宋_GB2312" w:eastAsia="仿宋_GB2312" w:cs="仿宋_GB2312"/>
                <w:color w:val="000000"/>
                <w:sz w:val="24"/>
                <w:lang w:val="en-US" w:eastAsia="zh-CN"/>
              </w:rPr>
              <w:t>项目建设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取得的成绩：</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bookmarkStart w:id="1" w:name="OLE_LINK11"/>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1.61</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val="en-US" w:eastAsia="zh-CN"/>
              </w:rPr>
              <w:t>义务植树127.9万株</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2、欧美杨清理1342亩，完成率100%、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3、加强资源保护，</w:t>
            </w:r>
            <w:r>
              <w:rPr>
                <w:rFonts w:hint="eastAsia" w:ascii="仿宋_GB2312" w:hAnsi="仿宋_GB2312" w:eastAsia="仿宋_GB2312" w:cs="仿宋_GB2312"/>
                <w:color w:val="000000"/>
                <w:sz w:val="24"/>
              </w:rPr>
              <w:t>林地面积2.5</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万公顷，保有率100%；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3.5</w:t>
            </w:r>
            <w:r>
              <w:rPr>
                <w:rFonts w:hint="eastAsia" w:ascii="仿宋_GB2312" w:hAnsi="仿宋_GB2312" w:eastAsia="仿宋_GB2312" w:cs="仿宋_GB2312"/>
                <w:color w:val="000000"/>
                <w:sz w:val="24"/>
              </w:rPr>
              <w:t>‰以内。</w:t>
            </w:r>
            <w:bookmarkEnd w:id="1"/>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7、完成项目建设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1829.76</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1829.76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1829.76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1050.99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916.3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134.69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778.77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685.29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685.29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bookmarkStart w:id="2" w:name="OLE_LINK3"/>
            <w:r>
              <w:rPr>
                <w:rFonts w:hint="eastAsia" w:ascii="仿宋_GB2312" w:hAnsi="仿宋_GB2312" w:eastAsia="仿宋_GB2312" w:cs="仿宋_GB2312"/>
                <w:color w:val="000000"/>
                <w:sz w:val="24"/>
              </w:rPr>
              <w:t>狠抓乡镇绿化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乡镇造林1.6万亩，义务植树120万株</w:t>
            </w:r>
          </w:p>
          <w:bookmarkEnd w:id="2"/>
          <w:p>
            <w:pPr>
              <w:autoSpaceDN w:val="0"/>
              <w:spacing w:line="320" w:lineRule="exact"/>
              <w:jc w:val="left"/>
              <w:textAlignment w:val="center"/>
              <w:rPr>
                <w:rFonts w:hint="eastAsia" w:ascii="仿宋_GB2312" w:hAnsi="仿宋_GB2312" w:eastAsia="仿宋_GB2312" w:cs="仿宋_GB2312"/>
                <w:color w:val="000000"/>
                <w:sz w:val="24"/>
              </w:rPr>
            </w:pPr>
            <w:bookmarkStart w:id="3" w:name="OLE_LINK4"/>
            <w:r>
              <w:rPr>
                <w:rFonts w:hint="eastAsia" w:ascii="仿宋_GB2312" w:hAnsi="仿宋_GB2312" w:eastAsia="仿宋_GB2312" w:cs="仿宋_GB2312"/>
                <w:color w:val="000000"/>
                <w:sz w:val="24"/>
                <w:lang w:val="en-US" w:eastAsia="zh-CN"/>
              </w:rPr>
              <w:t>目标2、</w:t>
            </w:r>
            <w:r>
              <w:rPr>
                <w:rFonts w:hint="eastAsia" w:ascii="仿宋_GB2312" w:hAnsi="仿宋_GB2312" w:eastAsia="仿宋_GB2312" w:cs="仿宋_GB2312"/>
                <w:color w:val="000000"/>
                <w:sz w:val="24"/>
              </w:rPr>
              <w:t>保护森林资源，推进依法行政</w:t>
            </w:r>
            <w:r>
              <w:rPr>
                <w:rFonts w:hint="eastAsia" w:ascii="仿宋_GB2312" w:hAnsi="仿宋_GB2312" w:eastAsia="仿宋_GB2312" w:cs="仿宋_GB2312"/>
                <w:color w:val="000000"/>
                <w:sz w:val="24"/>
                <w:lang w:eastAsia="zh-CN"/>
              </w:rPr>
              <w:t>。</w:t>
            </w:r>
          </w:p>
          <w:bookmarkEnd w:id="3"/>
          <w:p>
            <w:pPr>
              <w:autoSpaceDN w:val="0"/>
              <w:spacing w:line="320" w:lineRule="exact"/>
              <w:jc w:val="left"/>
              <w:textAlignment w:val="center"/>
              <w:rPr>
                <w:rFonts w:hint="eastAsia" w:ascii="仿宋_GB2312" w:hAnsi="仿宋_GB2312" w:eastAsia="仿宋_GB2312" w:cs="仿宋_GB2312"/>
                <w:color w:val="000000"/>
                <w:sz w:val="24"/>
              </w:rPr>
            </w:pPr>
            <w:bookmarkStart w:id="4" w:name="OLE_LINK5"/>
            <w:r>
              <w:rPr>
                <w:rFonts w:hint="eastAsia" w:ascii="仿宋_GB2312" w:hAnsi="仿宋_GB2312" w:eastAsia="仿宋_GB2312" w:cs="仿宋_GB2312"/>
                <w:color w:val="000000"/>
                <w:sz w:val="24"/>
                <w:lang w:val="en-US" w:eastAsia="zh-CN"/>
              </w:rPr>
              <w:t>目标3、</w:t>
            </w:r>
            <w:r>
              <w:rPr>
                <w:rFonts w:hint="eastAsia" w:ascii="仿宋_GB2312" w:hAnsi="仿宋_GB2312" w:eastAsia="仿宋_GB2312" w:cs="仿宋_GB2312"/>
                <w:color w:val="000000"/>
                <w:sz w:val="24"/>
              </w:rPr>
              <w:t>加强灾害防控</w:t>
            </w:r>
            <w:r>
              <w:rPr>
                <w:rFonts w:hint="eastAsia" w:ascii="仿宋_GB2312" w:hAnsi="仿宋_GB2312" w:eastAsia="仿宋_GB2312" w:cs="仿宋_GB2312"/>
                <w:color w:val="000000"/>
                <w:sz w:val="24"/>
                <w:lang w:val="en-US" w:eastAsia="zh-CN"/>
              </w:rPr>
              <w:t>及资源保护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严格限额采伐，着力防控森林火灾和林业有害生物灾害。</w:t>
            </w:r>
            <w:bookmarkEnd w:id="4"/>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1、完成</w:t>
            </w:r>
            <w:r>
              <w:rPr>
                <w:rFonts w:hint="eastAsia" w:ascii="仿宋_GB2312" w:hAnsi="仿宋_GB2312" w:eastAsia="仿宋_GB2312" w:cs="仿宋_GB2312"/>
                <w:color w:val="000000"/>
                <w:sz w:val="24"/>
              </w:rPr>
              <w:t>造林</w:t>
            </w:r>
            <w:r>
              <w:rPr>
                <w:rFonts w:hint="eastAsia" w:ascii="仿宋_GB2312" w:hAnsi="仿宋_GB2312" w:eastAsia="仿宋_GB2312" w:cs="仿宋_GB2312"/>
                <w:color w:val="000000"/>
                <w:sz w:val="24"/>
                <w:lang w:val="en-US" w:eastAsia="zh-CN"/>
              </w:rPr>
              <w:t>1.61</w:t>
            </w:r>
            <w:r>
              <w:rPr>
                <w:rFonts w:hint="eastAsia" w:ascii="仿宋_GB2312" w:hAnsi="仿宋_GB2312" w:eastAsia="仿宋_GB2312" w:cs="仿宋_GB2312"/>
                <w:color w:val="000000"/>
                <w:sz w:val="24"/>
              </w:rPr>
              <w:t>万亩；</w:t>
            </w:r>
            <w:r>
              <w:rPr>
                <w:rFonts w:hint="eastAsia" w:ascii="仿宋_GB2312" w:hAnsi="仿宋_GB2312" w:eastAsia="仿宋_GB2312" w:cs="仿宋_GB2312"/>
                <w:color w:val="000000"/>
                <w:sz w:val="24"/>
                <w:lang w:val="en-US" w:eastAsia="zh-CN"/>
              </w:rPr>
              <w:t>义务植树127.9万株</w:t>
            </w: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2、欧美杨清理1342亩，完成率100%、</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3、加强资源保护，</w:t>
            </w:r>
            <w:r>
              <w:rPr>
                <w:rFonts w:hint="eastAsia" w:ascii="仿宋_GB2312" w:hAnsi="仿宋_GB2312" w:eastAsia="仿宋_GB2312" w:cs="仿宋_GB2312"/>
                <w:color w:val="000000"/>
                <w:sz w:val="24"/>
              </w:rPr>
              <w:t>林地面积2.5</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万公顷，保有率100%；</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%以上；</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林业有害生物成灾率控制在</w:t>
            </w:r>
            <w:r>
              <w:rPr>
                <w:rFonts w:hint="eastAsia" w:ascii="仿宋_GB2312" w:hAnsi="仿宋_GB2312" w:eastAsia="仿宋_GB2312" w:cs="仿宋_GB2312"/>
                <w:color w:val="000000"/>
                <w:sz w:val="24"/>
                <w:lang w:val="en-US" w:eastAsia="zh-CN"/>
              </w:rPr>
              <w:t>3.5</w:t>
            </w:r>
            <w:r>
              <w:rPr>
                <w:rFonts w:hint="eastAsia" w:ascii="仿宋_GB2312" w:hAnsi="仿宋_GB2312" w:eastAsia="仿宋_GB2312" w:cs="仿宋_GB2312"/>
                <w:color w:val="000000"/>
                <w:sz w:val="24"/>
              </w:rPr>
              <w:t>‰以内。</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14:textFill>
                  <w14:solidFill>
                    <w14:schemeClr w14:val="tx1"/>
                  </w14:solidFill>
                </w14:textFill>
              </w:rPr>
              <w:t>指标1：指标</w:t>
            </w:r>
            <w:r>
              <w:rPr>
                <w:rFonts w:hint="eastAsia" w:ascii="仿宋_GB2312" w:hAnsi="仿宋_GB2312" w:eastAsia="仿宋_GB2312" w:cs="仿宋_GB2312"/>
                <w:color w:val="000000" w:themeColor="text1"/>
                <w:sz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、林地面积2.5</w:t>
            </w:r>
            <w:r>
              <w:rPr>
                <w:rFonts w:hint="eastAsia" w:ascii="仿宋_GB2312" w:hAnsi="仿宋_GB2312" w:eastAsia="仿宋_GB2312" w:cs="仿宋_GB2312"/>
                <w:color w:val="000000" w:themeColor="text1"/>
                <w:sz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14:textFill>
                  <w14:solidFill>
                    <w14:schemeClr w14:val="tx1"/>
                  </w14:solidFill>
                </w14:textFill>
              </w:rPr>
              <w:t>万公顷，保有率100%；：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指标2：森林覆盖率达到22.1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、森林蓄积量增长率稳定在4.</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指标4</w:t>
            </w:r>
            <w:r>
              <w:rPr>
                <w:rFonts w:hint="eastAsia" w:ascii="仿宋_GB2312" w:hAnsi="仿宋_GB2312" w:eastAsia="仿宋_GB2312" w:cs="仿宋_GB2312"/>
                <w:color w:val="000000"/>
                <w:sz w:val="24"/>
              </w:rPr>
              <w:t>、森林火灾受害率控制在</w:t>
            </w:r>
            <w:r>
              <w:rPr>
                <w:rFonts w:hint="eastAsia" w:ascii="仿宋_GB2312" w:hAnsi="仿宋_GB2312" w:eastAsia="仿宋_GB2312" w:cs="仿宋_GB2312"/>
                <w:color w:val="000000"/>
                <w:sz w:val="24"/>
                <w:lang w:val="en-US" w:eastAsia="zh-CN"/>
              </w:rPr>
              <w:t>0.9</w:t>
            </w:r>
            <w:r>
              <w:rPr>
                <w:rFonts w:hint="eastAsia" w:ascii="仿宋_GB2312" w:hAnsi="仿宋_GB2312" w:eastAsia="仿宋_GB2312" w:cs="仿宋_GB2312"/>
                <w:color w:val="000000"/>
                <w:sz w:val="24"/>
              </w:rPr>
              <w:t>‰以内；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无火灾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有害生物成灾率控制在3.5‰以内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指标1：造林</w:t>
            </w:r>
            <w:r>
              <w:rPr>
                <w:rFonts w:hint="eastAsia" w:ascii="仿宋_GB2312" w:hAnsi="仿宋_GB2312" w:eastAsia="仿宋_GB2312" w:cs="仿宋_GB2312"/>
                <w:color w:val="000000"/>
                <w:sz w:val="24"/>
                <w:lang w:val="en-US" w:eastAsia="zh-CN"/>
              </w:rPr>
              <w:t>1.61万</w:t>
            </w:r>
            <w:r>
              <w:rPr>
                <w:rFonts w:hint="eastAsia" w:ascii="仿宋_GB2312" w:hAnsi="仿宋_GB2312" w:eastAsia="仿宋_GB2312" w:cs="仿宋_GB2312"/>
                <w:color w:val="000000"/>
                <w:sz w:val="24"/>
              </w:rPr>
              <w:t>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欧美杨清理1342亩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2020年1月-12月</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运营成本得到有效控制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三公</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经费控制在基本支出的1%以下</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提高森林覆盖率、国土绿化率。推进林业产业发展，帮助林农解决就业问题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社会效益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提高林地生产力和林分质量。促进林业增效，促进林农增收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经济效益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保护森林资源，促进林业可持续发展，改善生态环境，维护生态平衡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生态效益</w:t>
            </w:r>
            <w:r>
              <w:rPr>
                <w:rFonts w:hint="eastAsia" w:ascii="仿宋_GB2312" w:hAnsi="仿宋_GB2312" w:eastAsia="仿宋_GB2312" w:cs="仿宋_GB2312"/>
                <w:b/>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社会公众或服务对象满意度95%以上。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晏佳贵</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局长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熊建华</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总工程师</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方丽红</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华容县林业局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10"/>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部门（单位）概况</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机构设置：</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本级内设机构：办公室、人事教育股、规划计财股、造林绿化股、森林资源管理股、野生动植物保护股、党风廉政室、自然保护地管理股、政策法规和改革发展股、行政审批服务股、机关党支部、防火办等12个股室（在编人员50人，实有人员50人）。</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部门主要职责：</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1、贯彻执行国家大政方针、政策和法律法规，研究拟订全县森林生态环境建设、森林资源保护和国土绿化的具体办法和措施，并组织实施。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2、拟订全县林业发展战略与中长期规划，并组织实施；管理全县林业资金，监督全县林业资金的使用。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3、组织开展植树造林和封山育林工作；组织指导以植树、种草等措施防治水土流失和防浪、治沙工作；指导国有林场、集体林场及基层林业工作站的业务。</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组织、指导森林资源（含经济林、薪炭林、用材林、防护林及其它特种用途林）的管理，组织全县森林资源调查，监督森林资源的使用，组织实施森林采伐限额；监督林木、竹林的凭证采伐与运输；组织、指导林地、林权管理、林业产权交易，并对依法应由县政府批准的林地征用、占用进行审核；监督林地开发利用工作；负责协调山林纠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5、组织、指导陆生野生动植物资源的保护和合理开发利用。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6、组织协调、指导、监督全县森林防火工作；负责指导全县森林公安工作；组织指导全县森林病虫害的防治、检疫工作。</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7、研究提出林业产业发展的有关措施建议；监督国家林业资产，指导林业产业发展；申报重点林业建设项目。</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8、指导各类商品林（含用材林、经济林、薪炭林、落叶林、竹林、特种用途林）和风景林及林木花卉的发展与培育。</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9、组织、指导林业科技宣传工作，指导全县林业队伍的建设。</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10、承办县委、县政府和上级主管部门交办的其他事项。</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1、收入情况：全年收入</w:t>
            </w:r>
            <w:r>
              <w:rPr>
                <w:rFonts w:hint="eastAsia" w:ascii="仿宋" w:hAnsi="仿宋" w:eastAsia="仿宋" w:cs="仿宋"/>
                <w:bCs/>
                <w:sz w:val="28"/>
                <w:szCs w:val="28"/>
                <w:lang w:val="en-US" w:eastAsia="zh-CN"/>
              </w:rPr>
              <w:t>1829.76</w:t>
            </w:r>
            <w:r>
              <w:rPr>
                <w:rFonts w:hint="eastAsia" w:ascii="仿宋" w:hAnsi="仿宋" w:eastAsia="仿宋" w:cs="仿宋"/>
                <w:bCs/>
                <w:sz w:val="28"/>
                <w:szCs w:val="28"/>
              </w:rPr>
              <w:t>万元，其中：公共财政拨款</w:t>
            </w:r>
            <w:r>
              <w:rPr>
                <w:rFonts w:hint="eastAsia" w:ascii="仿宋" w:hAnsi="仿宋" w:eastAsia="仿宋" w:cs="仿宋"/>
                <w:bCs/>
                <w:sz w:val="28"/>
                <w:szCs w:val="28"/>
                <w:lang w:val="en-US" w:eastAsia="zh-CN"/>
              </w:rPr>
              <w:t xml:space="preserve">  1829.76</w:t>
            </w:r>
            <w:r>
              <w:rPr>
                <w:rFonts w:hint="eastAsia" w:ascii="仿宋" w:hAnsi="仿宋" w:eastAsia="仿宋" w:cs="仿宋"/>
                <w:bCs/>
                <w:sz w:val="28"/>
                <w:szCs w:val="28"/>
              </w:rPr>
              <w:t>万元。</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2、支出情况:全年支出</w:t>
            </w:r>
            <w:r>
              <w:rPr>
                <w:rFonts w:hint="eastAsia" w:ascii="仿宋" w:hAnsi="仿宋" w:eastAsia="仿宋" w:cs="仿宋"/>
                <w:bCs/>
                <w:sz w:val="28"/>
                <w:szCs w:val="28"/>
                <w:lang w:val="en-US" w:eastAsia="zh-CN"/>
              </w:rPr>
              <w:t xml:space="preserve"> 1829.76 </w:t>
            </w:r>
            <w:r>
              <w:rPr>
                <w:rFonts w:hint="eastAsia" w:ascii="仿宋" w:hAnsi="仿宋" w:eastAsia="仿宋" w:cs="仿宋"/>
                <w:bCs/>
                <w:sz w:val="28"/>
                <w:szCs w:val="28"/>
              </w:rPr>
              <w:t>万元，其中：基本支出</w:t>
            </w:r>
            <w:r>
              <w:rPr>
                <w:rFonts w:hint="eastAsia" w:ascii="仿宋" w:hAnsi="仿宋" w:eastAsia="仿宋" w:cs="仿宋"/>
                <w:bCs/>
                <w:sz w:val="28"/>
                <w:szCs w:val="28"/>
                <w:lang w:val="en-US" w:eastAsia="zh-CN"/>
              </w:rPr>
              <w:t xml:space="preserve"> 1050.99  </w:t>
            </w:r>
            <w:r>
              <w:rPr>
                <w:rFonts w:hint="eastAsia" w:ascii="仿宋" w:hAnsi="仿宋" w:eastAsia="仿宋" w:cs="仿宋"/>
                <w:bCs/>
                <w:sz w:val="28"/>
                <w:szCs w:val="28"/>
              </w:rPr>
              <w:t>万元（人员支出</w:t>
            </w:r>
            <w:r>
              <w:rPr>
                <w:rFonts w:hint="eastAsia" w:ascii="仿宋" w:hAnsi="仿宋" w:eastAsia="仿宋" w:cs="仿宋"/>
                <w:bCs/>
                <w:sz w:val="28"/>
                <w:szCs w:val="28"/>
                <w:lang w:val="en-US" w:eastAsia="zh-CN"/>
              </w:rPr>
              <w:t xml:space="preserve">  916.30 万元（内含非税收入以基本支出下达） </w:t>
            </w:r>
            <w:r>
              <w:rPr>
                <w:rFonts w:hint="eastAsia" w:ascii="仿宋" w:hAnsi="仿宋" w:eastAsia="仿宋" w:cs="仿宋"/>
                <w:bCs/>
                <w:sz w:val="28"/>
                <w:szCs w:val="28"/>
              </w:rPr>
              <w:t>，公用支出</w:t>
            </w:r>
            <w:r>
              <w:rPr>
                <w:rFonts w:hint="eastAsia" w:ascii="仿宋" w:hAnsi="仿宋" w:eastAsia="仿宋" w:cs="仿宋"/>
                <w:bCs/>
                <w:sz w:val="28"/>
                <w:szCs w:val="28"/>
                <w:lang w:val="en-US" w:eastAsia="zh-CN"/>
              </w:rPr>
              <w:t xml:space="preserve"> 134.69 </w:t>
            </w:r>
            <w:r>
              <w:rPr>
                <w:rFonts w:hint="eastAsia" w:ascii="仿宋" w:hAnsi="仿宋" w:eastAsia="仿宋" w:cs="仿宋"/>
                <w:bCs/>
                <w:sz w:val="28"/>
                <w:szCs w:val="28"/>
              </w:rPr>
              <w:t>万元），项目支出</w:t>
            </w:r>
            <w:r>
              <w:rPr>
                <w:rFonts w:hint="eastAsia" w:ascii="仿宋" w:hAnsi="仿宋" w:eastAsia="仿宋" w:cs="仿宋"/>
                <w:bCs/>
                <w:sz w:val="28"/>
                <w:szCs w:val="28"/>
                <w:lang w:val="en-US" w:eastAsia="zh-CN"/>
              </w:rPr>
              <w:t xml:space="preserve"> 778.77 </w:t>
            </w:r>
            <w:r>
              <w:rPr>
                <w:rFonts w:hint="eastAsia" w:ascii="仿宋" w:hAnsi="仿宋" w:eastAsia="仿宋" w:cs="仿宋"/>
                <w:bCs/>
                <w:sz w:val="28"/>
                <w:szCs w:val="28"/>
              </w:rPr>
              <w:t>万元。本年结余</w:t>
            </w:r>
            <w:r>
              <w:rPr>
                <w:rFonts w:hint="eastAsia" w:ascii="仿宋" w:hAnsi="仿宋" w:eastAsia="仿宋" w:cs="仿宋"/>
                <w:bCs/>
                <w:sz w:val="28"/>
                <w:szCs w:val="28"/>
                <w:lang w:val="en-US" w:eastAsia="zh-CN"/>
              </w:rPr>
              <w:t>无</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（二）部门整体支出管理及使用情况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2020年林业部门基本支出为1050.99万元，主要包括人员工资、医疗保险、住房公积金和日常公用定额标准等费用。</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2020年林业部门认真贯彻落实厉行节约、严控“三公”经费、降低一般运行经费、加强项目支出管理等方面取得了一定的成绩。先后出台了本单位财务管理、公务接待、车辆使用和会议培训等制度，实行“三公”经费预算和公示制度，有效地控制了“三公”经费支出。三公经费实际使用 5 万元，其中公务接待费5万元，公务用车运维费 0万元，没有因公出国费用。实际支出没有超出预算规模、范围和标准，没有挤占、摊派、乱收费和转移“三公”经费支出的行为，所有“三公”经费支出合法、合规。</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严格控制公务接待。林业部门公务接待工作按照务实节俭、杜绝浪费的原则进行管理和规范。公务接待明确标准和限额。要求出具接待函、用餐申报单、发票和菜单明细方可报销。每季度公开接待费用支出情况，实行动态管理。2020年接待费 5万元。</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2、2020年公务用车运行费用：无。</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3、没有出国经费。</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2020</w:t>
            </w:r>
            <w:r>
              <w:rPr>
                <w:rFonts w:hint="eastAsia" w:ascii="仿宋" w:hAnsi="仿宋" w:eastAsia="仿宋" w:cs="仿宋"/>
                <w:bCs/>
                <w:sz w:val="28"/>
                <w:szCs w:val="28"/>
              </w:rPr>
              <w:t>年林业专项</w:t>
            </w:r>
            <w:r>
              <w:rPr>
                <w:rFonts w:hint="eastAsia" w:ascii="仿宋" w:hAnsi="仿宋" w:eastAsia="仿宋" w:cs="仿宋"/>
                <w:bCs/>
                <w:sz w:val="28"/>
                <w:szCs w:val="28"/>
                <w:lang w:val="en-US" w:eastAsia="zh-CN"/>
              </w:rPr>
              <w:t>资金</w:t>
            </w:r>
            <w:r>
              <w:rPr>
                <w:rFonts w:hint="eastAsia" w:ascii="仿宋" w:hAnsi="仿宋" w:eastAsia="仿宋" w:cs="仿宋"/>
                <w:bCs/>
                <w:sz w:val="28"/>
                <w:szCs w:val="28"/>
              </w:rPr>
              <w:t>实际投入</w:t>
            </w:r>
            <w:r>
              <w:rPr>
                <w:rFonts w:hint="eastAsia" w:ascii="仿宋" w:hAnsi="仿宋" w:eastAsia="仿宋" w:cs="仿宋"/>
                <w:bCs/>
                <w:sz w:val="28"/>
                <w:szCs w:val="28"/>
                <w:lang w:val="en-US" w:eastAsia="zh-CN"/>
              </w:rPr>
              <w:t>778.77 万元，总</w:t>
            </w:r>
            <w:r>
              <w:rPr>
                <w:rFonts w:hint="eastAsia" w:ascii="仿宋" w:hAnsi="仿宋" w:eastAsia="仿宋" w:cs="仿宋"/>
                <w:bCs/>
                <w:sz w:val="28"/>
                <w:szCs w:val="28"/>
              </w:rPr>
              <w:t>投入包括</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上一轮退耕还林、森林抚育</w:t>
            </w:r>
            <w:bookmarkStart w:id="5" w:name="OLE_LINK26"/>
            <w:r>
              <w:rPr>
                <w:rFonts w:hint="eastAsia" w:ascii="仿宋" w:hAnsi="仿宋" w:eastAsia="仿宋" w:cs="仿宋"/>
                <w:bCs/>
                <w:sz w:val="28"/>
                <w:szCs w:val="28"/>
                <w:lang w:val="en-US" w:eastAsia="zh-CN"/>
              </w:rPr>
              <w:t>项目</w:t>
            </w:r>
            <w:bookmarkEnd w:id="5"/>
            <w:r>
              <w:rPr>
                <w:rFonts w:hint="eastAsia" w:ascii="仿宋" w:hAnsi="仿宋" w:eastAsia="仿宋" w:cs="仿宋"/>
                <w:bCs/>
                <w:sz w:val="28"/>
                <w:szCs w:val="28"/>
                <w:lang w:val="en-US" w:eastAsia="zh-CN"/>
              </w:rPr>
              <w:t>、生态公益林、造林补助资金项目、森林生态效益补偿项目、森林防火项目、禁食及繁育野生保护动物补偿资金项目、新冠疫情防控工作补助、林业防灾减灾资金、其他项目等</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2、专项资金（主要是指财政资金）实际使用情况分析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项目资金（主要是指财政资金）全部用于项目建设，使用率100%。惠农项目（生态公益林、森林抚育、</w:t>
            </w:r>
            <w:r>
              <w:rPr>
                <w:rFonts w:hint="eastAsia" w:ascii="仿宋" w:hAnsi="仿宋" w:eastAsia="仿宋" w:cs="仿宋"/>
                <w:bCs/>
                <w:sz w:val="28"/>
                <w:szCs w:val="28"/>
                <w:lang w:val="en-US" w:eastAsia="zh-CN"/>
              </w:rPr>
              <w:t>禁食及繁育野生保护动物补偿资金</w:t>
            </w:r>
            <w:r>
              <w:rPr>
                <w:rFonts w:hint="eastAsia" w:ascii="仿宋" w:hAnsi="仿宋" w:eastAsia="仿宋" w:cs="仿宋"/>
                <w:bCs/>
                <w:sz w:val="28"/>
                <w:szCs w:val="28"/>
              </w:rPr>
              <w:t>、长防林）资金均通过财政“一卡通”方式将补助资金发放到项目单位和农户；其他专项资金由县财政局直接将资金拨付给相关项目实施单位。</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按照项目资金管理规定管理资金，专款专用，资金使用与管理及时率100%、到位率100%、使用合格率100%。严格执行财经纪律，建立资金管理和控制体系，主动接受财政、审计部门审计、监督，杜绝了挪用、串用、截留、挤占等现象，保证了项目顺利实施。</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年，本部门有</w:t>
            </w:r>
            <w:r>
              <w:rPr>
                <w:rFonts w:hint="eastAsia" w:ascii="仿宋" w:hAnsi="仿宋" w:eastAsia="仿宋" w:cs="仿宋"/>
                <w:bCs/>
                <w:sz w:val="28"/>
                <w:szCs w:val="28"/>
                <w:lang w:val="en-US" w:eastAsia="zh-CN"/>
              </w:rPr>
              <w:t>上一轮退耕还林、森林防火</w:t>
            </w:r>
            <w:r>
              <w:rPr>
                <w:rFonts w:hint="eastAsia" w:ascii="仿宋" w:hAnsi="仿宋" w:eastAsia="仿宋" w:cs="仿宋"/>
                <w:bCs/>
                <w:sz w:val="28"/>
                <w:szCs w:val="28"/>
                <w:lang w:eastAsia="zh-CN"/>
              </w:rPr>
              <w:t>、</w:t>
            </w:r>
            <w:r>
              <w:rPr>
                <w:rFonts w:hint="eastAsia" w:ascii="仿宋" w:hAnsi="仿宋" w:eastAsia="仿宋" w:cs="仿宋"/>
                <w:bCs/>
                <w:sz w:val="28"/>
                <w:szCs w:val="28"/>
              </w:rPr>
              <w:t>森林抚育、</w:t>
            </w:r>
            <w:r>
              <w:rPr>
                <w:rFonts w:hint="eastAsia" w:ascii="仿宋" w:hAnsi="仿宋" w:eastAsia="仿宋" w:cs="仿宋"/>
                <w:bCs/>
                <w:sz w:val="28"/>
                <w:szCs w:val="28"/>
                <w:lang w:val="en-US" w:eastAsia="zh-CN"/>
              </w:rPr>
              <w:t>生态公益林、禁食及繁育野生保护动物补偿资金、造林补助资金</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林业防灾减灾资金、</w:t>
            </w:r>
            <w:r>
              <w:rPr>
                <w:rFonts w:hint="eastAsia" w:ascii="仿宋" w:hAnsi="仿宋" w:eastAsia="仿宋" w:cs="仿宋"/>
                <w:bCs/>
                <w:sz w:val="28"/>
                <w:szCs w:val="28"/>
              </w:rPr>
              <w:t>等多个专项，为保证各个专项顺利实施，本部门制定了组织实施方案，按资金来源分门别类建立了档案和台账，档案内容齐全，从专项资金下达、项目建设、政府采购、专项资金使用管理都指定专人负责。</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完善林业专项资金管理，从源头入手，落实责任，完善制度，合理使用，加强监管，确保林业项目资金的管理使用效率。一是加强领导，增强责任制意识。落实管理责任，成立项目实施领导小组，建立项目管理体系。二是加强资金管理制度建设。结合本部门的实际,制订出各项规章制度，将各项经济活动划分到具体工作岗位, 按照岗位确定任务、职责和权限，贯彻执行相关财务制度,加强制度执行的监督，使林业专项资金管理有章可循。三是加强资金的支出管理。坚持“专项核算、专人管理、专款专用”的原则，严禁挤占、挪用专项资金。</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部门（单位）整体支出绩效情况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hint="eastAsia" w:ascii="仿宋" w:hAnsi="仿宋" w:eastAsia="仿宋" w:cs="仿宋"/>
                <w:bCs/>
                <w:sz w:val="28"/>
                <w:szCs w:val="28"/>
                <w:lang w:eastAsia="zh-CN"/>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年度部门整体支出绩效情况如下：</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 资金使用效益高。表现在:一是保障了职工工资,津补贴的及时足额发放,没有出现拖欠职工工资、离退休费用等现象；二是保障了单位的正常运转,各项工作开展顺利,林业各项指标得到了增长,林农收入得到了提高；三是财政供养人员控制较好,；四是资金使用无虚列支出及随意使用现象,无大额现金支付现象。</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2.预算执行方面，支出总额控制在预算总额以内，其他专项工程建设资金按时拨付资金，较好的完成了当年任务目标，财政拨款支出总体控制较好。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3.预算管理方面，林业部门制定了切实有效的内部财务、车辆、资产内部管理制度，执行总体较为有效。</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按照部门整体支出绩效评价指标体系对照打分得出结果为9</w:t>
            </w:r>
            <w:r>
              <w:rPr>
                <w:rFonts w:hint="eastAsia" w:ascii="仿宋" w:hAnsi="仿宋" w:eastAsia="仿宋" w:cs="仿宋"/>
                <w:bCs/>
                <w:sz w:val="28"/>
                <w:szCs w:val="28"/>
                <w:lang w:val="en-US" w:eastAsia="zh-CN"/>
              </w:rPr>
              <w:t>5</w:t>
            </w:r>
            <w:r>
              <w:rPr>
                <w:rFonts w:hint="eastAsia" w:ascii="仿宋" w:hAnsi="仿宋" w:eastAsia="仿宋" w:cs="仿宋"/>
                <w:bCs/>
                <w:sz w:val="28"/>
                <w:szCs w:val="28"/>
              </w:rPr>
              <w:t>分，等级为优秀。</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存在的主要问题</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本部门在编制部门年度预算时，虽然根据本单位职能职责和年度工作计划，但在</w:t>
            </w:r>
            <w:r>
              <w:rPr>
                <w:rFonts w:hint="eastAsia" w:ascii="仿宋" w:hAnsi="仿宋" w:eastAsia="仿宋" w:cs="仿宋"/>
                <w:bCs/>
                <w:sz w:val="28"/>
                <w:szCs w:val="28"/>
                <w:lang w:eastAsia="zh-CN"/>
              </w:rPr>
              <w:t>20</w:t>
            </w:r>
            <w:r>
              <w:rPr>
                <w:rFonts w:hint="eastAsia" w:ascii="仿宋" w:hAnsi="仿宋" w:eastAsia="仿宋" w:cs="仿宋"/>
                <w:bCs/>
                <w:sz w:val="28"/>
                <w:szCs w:val="28"/>
                <w:lang w:val="en-US" w:eastAsia="zh-CN"/>
              </w:rPr>
              <w:t>20</w:t>
            </w:r>
            <w:r>
              <w:rPr>
                <w:rFonts w:hint="eastAsia" w:ascii="仿宋" w:hAnsi="仿宋" w:eastAsia="仿宋" w:cs="仿宋"/>
                <w:bCs/>
                <w:sz w:val="28"/>
                <w:szCs w:val="28"/>
              </w:rPr>
              <w:t>年部门预算执行过程中，仍然存在以下问题。</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1、由于上级交办林业调查监测任务的突发性，一些无法预计和列入年初预算的项目支出，需要在年度中间进行预算追加和调整。</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2、非税收入执收项目无法事先控制，如部门收费标准和依据临时调整，非税收入预算编制难以准确编制。</w:t>
            </w: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六、改进措施和有关建议</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一、</w:t>
            </w:r>
            <w:r>
              <w:rPr>
                <w:rFonts w:hint="eastAsia" w:ascii="仿宋" w:hAnsi="仿宋" w:eastAsia="仿宋" w:cs="仿宋"/>
                <w:bCs/>
                <w:sz w:val="28"/>
                <w:szCs w:val="28"/>
              </w:rPr>
              <w:t>是按照预算规定的项目和用途严格财务审核，经费支出严格按预算规定项目的财务支出内容进行财务核算，在预算金额内严格控制费用的支出。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二是严格控制“三公经费”支出，杜绝挪用和挤占其他预算资金；进一步细化“三公经费”管理，压缩“三公经费”支出。</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三是加强项目资金的使用管理，充分发挥财政专项资金的使用效益。同时，强化项目资金的监督，主动接受相关职能部门的检查和审计监督，并加强项目建设指导和检查验收。</w:t>
            </w:r>
            <w:r>
              <w:rPr>
                <w:rFonts w:hint="eastAsia" w:ascii="仿宋" w:hAnsi="仿宋" w:eastAsia="仿宋" w:cs="仿宋"/>
                <w:bCs/>
                <w:sz w:val="28"/>
                <w:szCs w:val="28"/>
                <w:lang w:val="en-US" w:eastAsia="zh-CN"/>
              </w:rPr>
              <w:t xml:space="preserve">       </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w:t>
            </w:r>
          </w:p>
          <w:p>
            <w:pPr>
              <w:spacing w:line="560" w:lineRule="exact"/>
              <w:ind w:firstLine="560" w:firstLineChars="200"/>
              <w:rPr>
                <w:rFonts w:hint="default" w:ascii="仿宋" w:hAnsi="仿宋" w:eastAsia="仿宋" w:cs="仿宋"/>
                <w:bCs/>
                <w:sz w:val="28"/>
                <w:szCs w:val="28"/>
                <w:lang w:val="en-US"/>
              </w:rPr>
            </w:pPr>
            <w:r>
              <w:rPr>
                <w:rFonts w:hint="eastAsia" w:ascii="仿宋" w:hAnsi="仿宋" w:eastAsia="仿宋" w:cs="仿宋"/>
                <w:bCs/>
                <w:sz w:val="28"/>
                <w:szCs w:val="28"/>
                <w:lang w:val="en-US" w:eastAsia="zh-CN"/>
              </w:rPr>
              <w:t xml:space="preserve">                                     2021.7.22</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rPr>
        <w:sym w:font="Wingdings 2" w:char="00A3"/>
      </w:r>
      <w:r>
        <w:rPr>
          <w:rFonts w:hint="eastAsia" w:eastAsia="仿宋_GB2312"/>
          <w:sz w:val="32"/>
          <w:szCs w:val="32"/>
        </w:rPr>
        <w:t xml:space="preserve">   项目完成结果评价</w:t>
      </w:r>
      <w:r>
        <w:rPr>
          <w:rFonts w:hint="eastAsia" w:eastAsia="仿宋_GB2312"/>
          <w:sz w:val="32"/>
          <w:szCs w:val="32"/>
        </w:rPr>
        <w:sym w:font="Wingdings 2" w:char="0052"/>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lang w:val="en-US" w:eastAsia="zh-CN"/>
        </w:rPr>
        <w:t xml:space="preserve">    </w:t>
      </w:r>
      <w:r>
        <w:rPr>
          <w:rFonts w:hint="eastAsia" w:eastAsia="仿宋_GB2312"/>
          <w:sz w:val="32"/>
          <w:u w:val="single"/>
        </w:rPr>
        <w:t xml:space="preserve"> 森林生态效益补偿补助                                    </w:t>
      </w:r>
    </w:p>
    <w:p>
      <w:pPr>
        <w:spacing w:before="156" w:beforeLines="50" w:line="760" w:lineRule="exact"/>
        <w:ind w:firstLine="480" w:firstLineChars="150"/>
        <w:rPr>
          <w:rFonts w:hint="eastAsia" w:eastAsia="仿宋_GB2312"/>
          <w:sz w:val="32"/>
          <w:u w:val="single"/>
        </w:rPr>
      </w:pPr>
      <w:r>
        <w:rPr>
          <w:rFonts w:hint="eastAsia" w:eastAsia="仿宋_GB2312"/>
          <w:sz w:val="32"/>
        </w:rPr>
        <w:t>项目单位：</w:t>
      </w:r>
      <w:r>
        <w:rPr>
          <w:rFonts w:hint="eastAsia" w:eastAsia="仿宋_GB2312"/>
          <w:sz w:val="32"/>
          <w:u w:val="single"/>
        </w:rPr>
        <w:t xml:space="preserve"> 东山镇（关山村、仙鹅寺村、桃花山村、白果树村）、三封寺镇华一村、塔市国有林场、胜峰国有林场。</w:t>
      </w:r>
    </w:p>
    <w:p>
      <w:pPr>
        <w:spacing w:before="156" w:beforeLines="50" w:line="760" w:lineRule="exact"/>
        <w:ind w:firstLine="480" w:firstLineChars="150"/>
        <w:rPr>
          <w:rFonts w:hint="default" w:eastAsia="仿宋_GB2312"/>
          <w:sz w:val="32"/>
          <w:u w:val="single"/>
          <w:lang w:val="en-US" w:eastAsia="zh-CN"/>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华容县林业局</w:t>
      </w:r>
      <w:r>
        <w:rPr>
          <w:rFonts w:hint="eastAsia" w:eastAsia="仿宋_GB2312"/>
          <w:sz w:val="32"/>
          <w:u w:val="single"/>
          <w:lang w:val="en-US" w:eastAsia="zh-CN"/>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22</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10"/>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ind w:firstLine="480" w:firstLineChars="200"/>
              <w:rPr>
                <w:rFonts w:hint="default" w:eastAsia="仿宋_GB2312"/>
                <w:sz w:val="24"/>
                <w:lang w:val="en-US" w:eastAsia="zh-CN"/>
              </w:rPr>
            </w:pPr>
            <w:r>
              <w:rPr>
                <w:rFonts w:hint="eastAsia" w:eastAsia="仿宋_GB2312"/>
                <w:sz w:val="24"/>
                <w:lang w:val="en-US" w:eastAsia="zh-CN"/>
              </w:rPr>
              <w:t>周  伟</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18684510543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r>
              <w:rPr>
                <w:rFonts w:hint="eastAsia" w:eastAsia="仿宋_GB2312"/>
                <w:sz w:val="24"/>
              </w:rPr>
              <w:t xml:space="preserve"> 东山镇（关山村、仙鹅寺村、桃花山村、白果树村）</w:t>
            </w:r>
            <w:r>
              <w:rPr>
                <w:rFonts w:hint="eastAsia" w:eastAsia="仿宋_GB2312"/>
                <w:sz w:val="24"/>
                <w:lang w:eastAsia="zh-CN"/>
              </w:rPr>
              <w:t>、</w:t>
            </w:r>
            <w:r>
              <w:rPr>
                <w:rFonts w:hint="eastAsia" w:eastAsia="仿宋_GB2312"/>
                <w:sz w:val="24"/>
              </w:rPr>
              <w:t>三封寺镇华一村、塔市国有林场、胜峰国有林场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6</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103.22</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103.22</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103.22</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76.46</w:t>
            </w: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76.46</w:t>
            </w: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76.46</w:t>
            </w: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26.76</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26.76</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26.76</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w:t>
            </w:r>
            <w:r>
              <w:rPr>
                <w:rFonts w:hint="eastAsia" w:eastAsia="仿宋_GB2312"/>
                <w:sz w:val="24"/>
              </w:rPr>
              <w:t>个人补偿</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35.9368</w:t>
            </w:r>
          </w:p>
        </w:tc>
        <w:tc>
          <w:tcPr>
            <w:tcW w:w="2342" w:type="dxa"/>
            <w:gridSpan w:val="5"/>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通过华容县乡镇财政管理局“惠农补贴一卡通”发放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w:t>
            </w:r>
            <w:r>
              <w:rPr>
                <w:rFonts w:hint="eastAsia" w:eastAsia="仿宋_GB2312"/>
                <w:sz w:val="24"/>
              </w:rPr>
              <w:t>塔市国有林场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20.7784</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直接由县财政局拨付国有林场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-胜峰</w:t>
            </w:r>
            <w:r>
              <w:rPr>
                <w:rFonts w:hint="eastAsia" w:eastAsia="仿宋_GB2312"/>
                <w:sz w:val="24"/>
              </w:rPr>
              <w:t>国有林场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15.0165</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直接由县财政局拨付国有林场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-东山镇（4个村）</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26.5910</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直接由县财政局拨付乡镇财政所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森林生态效益补偿</w:t>
            </w:r>
            <w:r>
              <w:rPr>
                <w:rFonts w:hint="eastAsia" w:eastAsia="仿宋_GB2312"/>
                <w:sz w:val="24"/>
                <w:lang w:val="en-US" w:eastAsia="zh-CN"/>
              </w:rPr>
              <w:t>-三封寺镇华一村</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1.8605</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无</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直接由县财政局拨付乡镇财政所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县林业局</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3.0348</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9月51#、11月93#、12月23#</w:t>
            </w:r>
          </w:p>
        </w:tc>
        <w:tc>
          <w:tcPr>
            <w:tcW w:w="3036" w:type="dxa"/>
            <w:gridSpan w:val="3"/>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直接由县财政局拨付单位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val="0"/>
                <w:bCs/>
                <w:sz w:val="24"/>
                <w:lang w:val="en-US" w:eastAsia="zh-CN"/>
              </w:rPr>
              <w:t>103.22</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Layout w:type="fixed"/>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val="0"/>
                <w:bCs/>
                <w:sz w:val="24"/>
              </w:rPr>
            </w:pPr>
            <w:r>
              <w:rPr>
                <w:rFonts w:hint="eastAsia" w:eastAsia="仿宋_GB2312"/>
                <w:b w:val="0"/>
                <w:bCs/>
                <w:sz w:val="24"/>
              </w:rPr>
              <w:t>2020年度</w:t>
            </w:r>
            <w:r>
              <w:rPr>
                <w:rFonts w:hint="eastAsia" w:eastAsia="仿宋_GB2312"/>
                <w:b w:val="0"/>
                <w:bCs/>
                <w:sz w:val="24"/>
                <w:lang w:val="en-US" w:eastAsia="zh-CN"/>
              </w:rPr>
              <w:t>应完成</w:t>
            </w:r>
            <w:r>
              <w:rPr>
                <w:rFonts w:hint="eastAsia" w:eastAsia="仿宋_GB2312"/>
                <w:b w:val="0"/>
                <w:bCs/>
                <w:sz w:val="24"/>
              </w:rPr>
              <w:t>公益林补偿总面积62155亩</w:t>
            </w:r>
            <w:r>
              <w:rPr>
                <w:rFonts w:hint="eastAsia" w:eastAsia="仿宋_GB2312"/>
                <w:b w:val="0"/>
                <w:bCs/>
                <w:sz w:val="24"/>
                <w:lang w:eastAsia="zh-CN"/>
              </w:rPr>
              <w:t>，</w:t>
            </w:r>
            <w:r>
              <w:rPr>
                <w:rFonts w:hint="eastAsia" w:eastAsia="仿宋_GB2312"/>
                <w:b w:val="0"/>
                <w:bCs/>
                <w:sz w:val="24"/>
              </w:rPr>
              <w:t xml:space="preserve">应拨付乡（镇）和国有林场的森林生态效益补偿基金103.22万元， </w:t>
            </w:r>
          </w:p>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b w:val="0"/>
                <w:bCs/>
                <w:sz w:val="24"/>
              </w:rPr>
              <w:t>2020年度</w:t>
            </w:r>
            <w:r>
              <w:rPr>
                <w:rFonts w:hint="eastAsia" w:eastAsia="仿宋_GB2312"/>
                <w:b w:val="0"/>
                <w:bCs/>
                <w:sz w:val="24"/>
                <w:lang w:val="en-US" w:eastAsia="zh-CN"/>
              </w:rPr>
              <w:t>完成</w:t>
            </w:r>
            <w:r>
              <w:rPr>
                <w:rFonts w:hint="eastAsia" w:eastAsia="仿宋_GB2312"/>
                <w:b w:val="0"/>
                <w:bCs/>
                <w:sz w:val="24"/>
              </w:rPr>
              <w:t>公益林补偿总面积62155亩</w:t>
            </w:r>
            <w:r>
              <w:rPr>
                <w:rFonts w:hint="eastAsia" w:eastAsia="仿宋_GB2312"/>
                <w:b w:val="0"/>
                <w:bCs/>
                <w:sz w:val="24"/>
                <w:lang w:eastAsia="zh-CN"/>
              </w:rPr>
              <w:t>，</w:t>
            </w:r>
            <w:r>
              <w:rPr>
                <w:rFonts w:hint="eastAsia" w:eastAsia="仿宋_GB2312"/>
                <w:b w:val="0"/>
                <w:bCs/>
                <w:sz w:val="24"/>
                <w:lang w:val="en-US" w:eastAsia="zh-CN"/>
              </w:rPr>
              <w:t>实际</w:t>
            </w:r>
            <w:r>
              <w:rPr>
                <w:rFonts w:hint="eastAsia" w:eastAsia="仿宋_GB2312"/>
                <w:b w:val="0"/>
                <w:bCs/>
                <w:sz w:val="24"/>
                <w:lang w:eastAsia="zh-CN"/>
              </w:rPr>
              <w:t>拨付乡（镇）和国有林场的森林生态效益补偿基金103.22万元，</w:t>
            </w:r>
            <w:r>
              <w:rPr>
                <w:rFonts w:hint="eastAsia" w:eastAsia="仿宋_GB2312"/>
                <w:b/>
                <w:sz w:val="24"/>
                <w:lang w:eastAsia="zh-CN"/>
              </w:rPr>
              <w:t xml:space="preserve"> </w:t>
            </w:r>
          </w:p>
          <w:p>
            <w:pPr>
              <w:spacing w:line="400" w:lineRule="exact"/>
              <w:jc w:val="center"/>
              <w:rPr>
                <w:rFonts w:hint="eastAsia" w:eastAsia="仿宋_GB2312"/>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rPr>
              <w:t>收益农户数</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highlight w:val="none"/>
                <w:lang w:val="en-US" w:eastAsia="zh-CN"/>
              </w:rPr>
              <w:t>1022</w:t>
            </w:r>
            <w:r>
              <w:rPr>
                <w:rFonts w:hint="eastAsia" w:eastAsia="仿宋_GB2312"/>
                <w:sz w:val="24"/>
                <w:lang w:val="en-US" w:eastAsia="zh-CN"/>
              </w:rPr>
              <w:t>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highlight w:val="none"/>
                <w:lang w:val="en-US" w:eastAsia="zh-CN"/>
              </w:rPr>
              <w:t>1022</w:t>
            </w:r>
            <w:r>
              <w:rPr>
                <w:rFonts w:hint="eastAsia" w:eastAsia="仿宋_GB2312"/>
                <w:sz w:val="24"/>
                <w:lang w:val="en-US" w:eastAsia="zh-CN"/>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管护面积</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6.2155万亩</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6.2155万亩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资金拨付率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使用率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管护率</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100%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p>
            <w:pPr>
              <w:spacing w:line="360" w:lineRule="exact"/>
              <w:jc w:val="center"/>
              <w:rPr>
                <w:rFonts w:hint="default" w:eastAsia="仿宋_GB2312"/>
                <w:sz w:val="24"/>
                <w:lang w:val="en-US" w:eastAsia="zh-CN"/>
              </w:rPr>
            </w:pPr>
            <w:r>
              <w:rPr>
                <w:rFonts w:hint="eastAsia" w:eastAsia="仿宋_GB2312"/>
                <w:sz w:val="24"/>
                <w:lang w:val="en-US" w:eastAsia="zh-CN"/>
              </w:rPr>
              <w:t>完成时间</w:t>
            </w:r>
          </w:p>
        </w:tc>
        <w:tc>
          <w:tcPr>
            <w:tcW w:w="108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2020年1-6月</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成本使用合理</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无超支、结余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促进生态效益发展</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提高了森林资源管护成效显著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提供劳力（含护林员）</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增加林农的基础经济收入，提高了林农对森林资源保护意识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default" w:eastAsia="仿宋_GB2312"/>
                <w:sz w:val="24"/>
                <w:lang w:val="en-US" w:eastAsia="zh-CN"/>
              </w:rPr>
            </w:pPr>
            <w:r>
              <w:rPr>
                <w:rFonts w:hint="eastAsia" w:eastAsia="仿宋_GB2312"/>
                <w:sz w:val="24"/>
                <w:lang w:val="en-US" w:eastAsia="zh-CN"/>
              </w:rPr>
              <w:t>正常有序</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rPr>
              <w:t>全县公益林林区没有发生一起森林火灾和乱砍滥伐事件，森林资源得到有效保护，林区生产生活正常有序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keepNext w:val="0"/>
              <w:keepLines w:val="0"/>
              <w:widowControl/>
              <w:suppressLineNumbers w:val="0"/>
              <w:jc w:val="left"/>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林业有害生物无公害防治率</w:t>
            </w:r>
          </w:p>
        </w:tc>
        <w:tc>
          <w:tcPr>
            <w:tcW w:w="1082" w:type="dxa"/>
            <w:gridSpan w:val="2"/>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≥80%</w:t>
            </w:r>
          </w:p>
        </w:tc>
        <w:tc>
          <w:tcPr>
            <w:tcW w:w="3036" w:type="dxa"/>
            <w:gridSpan w:val="3"/>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keepNext w:val="0"/>
              <w:keepLines w:val="0"/>
              <w:widowControl/>
              <w:suppressLineNumbers w:val="0"/>
              <w:jc w:val="left"/>
              <w:textAlignment w:val="center"/>
              <w:rPr>
                <w:rFonts w:hint="default" w:eastAsia="仿宋_GB2312"/>
                <w:sz w:val="24"/>
                <w:lang w:val="en-US" w:eastAsia="zh-CN"/>
              </w:rPr>
            </w:pPr>
            <w:r>
              <w:rPr>
                <w:rFonts w:hint="eastAsia" w:ascii="宋体" w:hAnsi="宋体" w:eastAsia="宋体" w:cs="宋体"/>
                <w:i w:val="0"/>
                <w:color w:val="000000"/>
                <w:kern w:val="0"/>
                <w:sz w:val="20"/>
                <w:szCs w:val="20"/>
                <w:u w:val="none"/>
                <w:lang w:val="en-US" w:eastAsia="zh-CN" w:bidi="ar"/>
              </w:rPr>
              <w:t>森林、湿地生态系统生态效益发挥</w:t>
            </w:r>
          </w:p>
        </w:tc>
        <w:tc>
          <w:tcPr>
            <w:tcW w:w="1082" w:type="dxa"/>
            <w:gridSpan w:val="2"/>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明显</w:t>
            </w:r>
          </w:p>
        </w:tc>
        <w:tc>
          <w:tcPr>
            <w:tcW w:w="3036" w:type="dxa"/>
            <w:gridSpan w:val="3"/>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keepNext w:val="0"/>
              <w:keepLines w:val="0"/>
              <w:widowControl/>
              <w:suppressLineNumbers w:val="0"/>
              <w:jc w:val="left"/>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林区职工、周边群众满意度</w:t>
            </w:r>
          </w:p>
        </w:tc>
        <w:tc>
          <w:tcPr>
            <w:tcW w:w="1082" w:type="dxa"/>
            <w:gridSpan w:val="2"/>
            <w:tcBorders>
              <w:bottom w:val="single" w:color="auto" w:sz="4" w:space="0"/>
            </w:tcBorders>
            <w:noWrap w:val="0"/>
            <w:vAlign w:val="center"/>
          </w:tcPr>
          <w:p>
            <w:pPr>
              <w:keepNext w:val="0"/>
              <w:keepLines w:val="0"/>
              <w:widowControl/>
              <w:suppressLineNumbers w:val="0"/>
              <w:jc w:val="center"/>
              <w:textAlignment w:val="center"/>
              <w:rPr>
                <w:rFonts w:hint="eastAsia" w:eastAsia="仿宋_GB2312"/>
                <w:sz w:val="24"/>
              </w:rPr>
            </w:pPr>
            <w:r>
              <w:rPr>
                <w:rFonts w:hint="eastAsia" w:ascii="宋体" w:hAnsi="宋体" w:eastAsia="宋体" w:cs="宋体"/>
                <w:i w:val="0"/>
                <w:color w:val="000000"/>
                <w:kern w:val="0"/>
                <w:sz w:val="20"/>
                <w:szCs w:val="20"/>
                <w:u w:val="none"/>
                <w:lang w:val="en-US" w:eastAsia="zh-CN" w:bidi="ar"/>
              </w:rPr>
              <w:t>≥80%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ind w:firstLine="240" w:firstLineChars="100"/>
              <w:rPr>
                <w:rFonts w:hint="eastAsia" w:eastAsia="仿宋_GB2312"/>
                <w:sz w:val="24"/>
              </w:rPr>
            </w:pPr>
            <w:r>
              <w:rPr>
                <w:rFonts w:hint="eastAsia" w:eastAsia="仿宋_GB2312"/>
                <w:sz w:val="24"/>
                <w:lang w:val="en-US" w:eastAsia="zh-CN"/>
              </w:rPr>
              <w:t>晏佳贵</w:t>
            </w:r>
          </w:p>
        </w:tc>
        <w:tc>
          <w:tcPr>
            <w:tcW w:w="2332" w:type="dxa"/>
            <w:gridSpan w:val="4"/>
            <w:noWrap w:val="0"/>
            <w:vAlign w:val="center"/>
          </w:tcPr>
          <w:p>
            <w:pPr>
              <w:ind w:firstLine="240" w:firstLineChars="100"/>
              <w:rPr>
                <w:rFonts w:hint="eastAsia" w:eastAsia="仿宋_GB2312"/>
                <w:sz w:val="24"/>
              </w:rPr>
            </w:pPr>
            <w:r>
              <w:rPr>
                <w:rFonts w:hint="eastAsia" w:eastAsia="仿宋_GB2312"/>
                <w:sz w:val="24"/>
                <w:lang w:val="en-US" w:eastAsia="zh-CN"/>
              </w:rPr>
              <w:t>局长</w:t>
            </w:r>
          </w:p>
        </w:tc>
        <w:tc>
          <w:tcPr>
            <w:tcW w:w="1950" w:type="dxa"/>
            <w:gridSpan w:val="4"/>
            <w:noWrap w:val="0"/>
            <w:vAlign w:val="center"/>
          </w:tcPr>
          <w:p>
            <w:pPr>
              <w:rPr>
                <w:rFonts w:hint="eastAsia" w:eastAsia="仿宋_GB2312"/>
                <w:sz w:val="24"/>
              </w:rPr>
            </w:pPr>
            <w:bookmarkStart w:id="6" w:name="OLE_LINK66"/>
            <w:r>
              <w:rPr>
                <w:rFonts w:hint="eastAsia" w:eastAsia="仿宋_GB2312"/>
                <w:sz w:val="24"/>
                <w:lang w:val="en-US" w:eastAsia="zh-CN"/>
              </w:rPr>
              <w:t>华容县林业局</w:t>
            </w:r>
            <w:bookmarkEnd w:id="6"/>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ind w:firstLine="240" w:firstLineChars="100"/>
              <w:rPr>
                <w:rFonts w:hint="default" w:eastAsia="仿宋_GB2312"/>
                <w:sz w:val="24"/>
                <w:lang w:val="en-US" w:eastAsia="zh-CN"/>
              </w:rPr>
            </w:pPr>
            <w:r>
              <w:rPr>
                <w:rFonts w:hint="eastAsia" w:eastAsia="仿宋_GB2312"/>
                <w:sz w:val="24"/>
                <w:lang w:val="en-US" w:eastAsia="zh-CN"/>
              </w:rPr>
              <w:t>易旭辉</w:t>
            </w:r>
          </w:p>
        </w:tc>
        <w:tc>
          <w:tcPr>
            <w:tcW w:w="2332" w:type="dxa"/>
            <w:gridSpan w:val="4"/>
            <w:noWrap w:val="0"/>
            <w:vAlign w:val="center"/>
          </w:tcPr>
          <w:p>
            <w:pPr>
              <w:ind w:firstLine="240" w:firstLineChars="100"/>
              <w:rPr>
                <w:rFonts w:hint="eastAsia" w:eastAsia="仿宋_GB2312"/>
                <w:sz w:val="24"/>
              </w:rPr>
            </w:pPr>
            <w:r>
              <w:rPr>
                <w:rFonts w:hint="eastAsia" w:eastAsia="仿宋_GB2312"/>
                <w:sz w:val="24"/>
                <w:lang w:val="en-US" w:eastAsia="zh-CN"/>
              </w:rPr>
              <w:t>副局长</w:t>
            </w:r>
          </w:p>
        </w:tc>
        <w:tc>
          <w:tcPr>
            <w:tcW w:w="1950" w:type="dxa"/>
            <w:gridSpan w:val="4"/>
            <w:noWrap w:val="0"/>
            <w:vAlign w:val="center"/>
          </w:tcPr>
          <w:p>
            <w:pPr>
              <w:rPr>
                <w:rFonts w:hint="eastAsia" w:eastAsia="仿宋_GB2312"/>
                <w:sz w:val="24"/>
              </w:rPr>
            </w:pPr>
            <w:r>
              <w:rPr>
                <w:rFonts w:hint="eastAsia" w:eastAsia="仿宋_GB2312"/>
                <w:sz w:val="24"/>
                <w:lang w:val="en-US" w:eastAsia="zh-CN"/>
              </w:rPr>
              <w:t>华容县林业局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ind w:firstLine="240" w:firstLineChars="100"/>
              <w:rPr>
                <w:rFonts w:hint="default" w:eastAsia="仿宋_GB2312"/>
                <w:sz w:val="24"/>
                <w:lang w:val="en-US" w:eastAsia="zh-CN"/>
              </w:rPr>
            </w:pPr>
            <w:r>
              <w:rPr>
                <w:rFonts w:hint="eastAsia" w:eastAsia="仿宋_GB2312"/>
                <w:sz w:val="24"/>
                <w:lang w:val="en-US" w:eastAsia="zh-CN"/>
              </w:rPr>
              <w:t>方丽红</w:t>
            </w:r>
          </w:p>
        </w:tc>
        <w:tc>
          <w:tcPr>
            <w:tcW w:w="2332" w:type="dxa"/>
            <w:gridSpan w:val="4"/>
            <w:noWrap w:val="0"/>
            <w:vAlign w:val="center"/>
          </w:tcPr>
          <w:p>
            <w:pPr>
              <w:ind w:firstLine="240" w:firstLineChars="100"/>
              <w:rPr>
                <w:rFonts w:hint="default" w:eastAsia="仿宋_GB2312"/>
                <w:sz w:val="24"/>
                <w:lang w:val="en-US" w:eastAsia="zh-CN"/>
              </w:rPr>
            </w:pPr>
            <w:r>
              <w:rPr>
                <w:rFonts w:hint="eastAsia" w:eastAsia="仿宋_GB2312"/>
                <w:sz w:val="24"/>
                <w:lang w:val="en-US" w:eastAsia="zh-CN"/>
              </w:rPr>
              <w:t>股长</w:t>
            </w:r>
          </w:p>
        </w:tc>
        <w:tc>
          <w:tcPr>
            <w:tcW w:w="1950" w:type="dxa"/>
            <w:gridSpan w:val="4"/>
            <w:noWrap w:val="0"/>
            <w:vAlign w:val="center"/>
          </w:tcPr>
          <w:p>
            <w:pPr>
              <w:rPr>
                <w:rFonts w:hint="eastAsia" w:eastAsia="仿宋_GB2312"/>
                <w:sz w:val="24"/>
                <w:lang w:val="en-US" w:eastAsia="zh-CN"/>
              </w:rPr>
            </w:pPr>
            <w:r>
              <w:rPr>
                <w:rFonts w:hint="eastAsia" w:eastAsia="仿宋_GB2312"/>
                <w:sz w:val="24"/>
                <w:lang w:val="en-US" w:eastAsia="zh-CN"/>
              </w:rPr>
              <w:t>华容县林业局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ind w:firstLine="240" w:firstLineChars="100"/>
              <w:rPr>
                <w:rFonts w:hint="default" w:eastAsia="仿宋_GB2312"/>
                <w:sz w:val="24"/>
                <w:lang w:val="en-US" w:eastAsia="zh-CN"/>
              </w:rPr>
            </w:pPr>
            <w:r>
              <w:rPr>
                <w:rFonts w:hint="eastAsia" w:eastAsia="仿宋_GB2312"/>
                <w:sz w:val="24"/>
                <w:lang w:val="en-US" w:eastAsia="zh-CN"/>
              </w:rPr>
              <w:t>周伟</w:t>
            </w:r>
          </w:p>
        </w:tc>
        <w:tc>
          <w:tcPr>
            <w:tcW w:w="2332" w:type="dxa"/>
            <w:gridSpan w:val="4"/>
            <w:noWrap w:val="0"/>
            <w:vAlign w:val="center"/>
          </w:tcPr>
          <w:p>
            <w:pPr>
              <w:ind w:firstLine="240" w:firstLineChars="100"/>
              <w:rPr>
                <w:rFonts w:hint="default" w:eastAsia="仿宋_GB2312"/>
                <w:sz w:val="24"/>
                <w:lang w:val="en-US" w:eastAsia="zh-CN"/>
              </w:rPr>
            </w:pPr>
            <w:r>
              <w:rPr>
                <w:rFonts w:hint="eastAsia" w:eastAsia="仿宋_GB2312"/>
                <w:sz w:val="24"/>
                <w:lang w:val="en-US" w:eastAsia="zh-CN"/>
              </w:rPr>
              <w:t>股长</w:t>
            </w:r>
          </w:p>
        </w:tc>
        <w:tc>
          <w:tcPr>
            <w:tcW w:w="1950" w:type="dxa"/>
            <w:gridSpan w:val="4"/>
            <w:noWrap w:val="0"/>
            <w:vAlign w:val="center"/>
          </w:tcPr>
          <w:p>
            <w:pPr>
              <w:rPr>
                <w:rFonts w:hint="eastAsia" w:eastAsia="仿宋_GB2312"/>
                <w:sz w:val="24"/>
              </w:rPr>
            </w:pPr>
            <w:r>
              <w:rPr>
                <w:rFonts w:hint="eastAsia" w:eastAsia="仿宋_GB2312"/>
                <w:sz w:val="24"/>
                <w:lang w:val="en-US" w:eastAsia="zh-CN"/>
              </w:rPr>
              <w:t>华容县林业局</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10"/>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2"/>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ind w:firstLine="600" w:firstLineChars="200"/>
              <w:rPr>
                <w:rFonts w:hint="eastAsia" w:eastAsia="仿宋_GB2312"/>
                <w:sz w:val="30"/>
                <w:szCs w:val="30"/>
                <w:u w:val="single"/>
              </w:rPr>
            </w:pPr>
            <w:r>
              <w:rPr>
                <w:rFonts w:hint="eastAsia" w:eastAsia="仿宋_GB2312"/>
                <w:sz w:val="30"/>
                <w:szCs w:val="30"/>
                <w:lang w:val="en-US" w:eastAsia="zh-CN"/>
              </w:rPr>
              <w:t>一、</w:t>
            </w:r>
            <w:r>
              <w:rPr>
                <w:rFonts w:hint="eastAsia" w:eastAsia="仿宋_GB2312"/>
                <w:sz w:val="30"/>
                <w:szCs w:val="30"/>
              </w:rPr>
              <w:t>项目名称：</w:t>
            </w:r>
            <w:r>
              <w:rPr>
                <w:rFonts w:hint="eastAsia" w:eastAsia="仿宋_GB2312"/>
                <w:sz w:val="30"/>
                <w:szCs w:val="30"/>
                <w:u w:val="single"/>
              </w:rPr>
              <w:t>森林生态效益补偿补助</w:t>
            </w:r>
          </w:p>
          <w:p>
            <w:pPr>
              <w:spacing w:line="560" w:lineRule="exact"/>
              <w:ind w:firstLine="600" w:firstLineChars="200"/>
              <w:rPr>
                <w:rFonts w:hint="eastAsia" w:eastAsia="仿宋_GB2312"/>
                <w:sz w:val="30"/>
                <w:szCs w:val="30"/>
                <w:u w:val="single"/>
              </w:rPr>
            </w:pPr>
            <w:r>
              <w:rPr>
                <w:rFonts w:hint="eastAsia" w:eastAsia="仿宋_GB2312"/>
                <w:sz w:val="30"/>
                <w:szCs w:val="30"/>
                <w:lang w:val="en-US" w:eastAsia="zh-CN"/>
              </w:rPr>
              <w:t>二、</w:t>
            </w:r>
            <w:r>
              <w:rPr>
                <w:rFonts w:hint="eastAsia" w:eastAsia="仿宋_GB2312"/>
                <w:sz w:val="30"/>
                <w:szCs w:val="30"/>
                <w:lang w:eastAsia="zh-CN"/>
              </w:rPr>
              <w:t>华容县</w:t>
            </w:r>
            <w:r>
              <w:rPr>
                <w:rFonts w:hint="eastAsia" w:eastAsia="仿宋_GB2312"/>
                <w:sz w:val="30"/>
                <w:szCs w:val="30"/>
              </w:rPr>
              <w:t>项目地点：</w:t>
            </w:r>
            <w:r>
              <w:rPr>
                <w:rFonts w:hint="eastAsia" w:eastAsia="仿宋_GB2312"/>
                <w:sz w:val="30"/>
                <w:szCs w:val="30"/>
                <w:u w:val="single"/>
                <w:lang w:eastAsia="zh-CN"/>
              </w:rPr>
              <w:t>华容</w:t>
            </w:r>
            <w:r>
              <w:rPr>
                <w:rFonts w:hint="eastAsia" w:eastAsia="仿宋_GB2312"/>
                <w:sz w:val="30"/>
                <w:szCs w:val="30"/>
                <w:u w:val="single"/>
              </w:rPr>
              <w:t>县</w:t>
            </w:r>
            <w:r>
              <w:rPr>
                <w:rFonts w:hint="eastAsia" w:eastAsia="仿宋_GB2312"/>
                <w:sz w:val="30"/>
                <w:szCs w:val="30"/>
                <w:u w:val="single"/>
                <w:lang w:eastAsia="zh-CN"/>
              </w:rPr>
              <w:t>东山</w:t>
            </w:r>
            <w:r>
              <w:rPr>
                <w:rFonts w:hint="eastAsia" w:eastAsia="仿宋_GB2312"/>
                <w:sz w:val="30"/>
                <w:szCs w:val="30"/>
                <w:u w:val="single"/>
              </w:rPr>
              <w:t>镇（关山村、仙鹅寺村、桃花山村、白果树村）、三封寺镇华一村、塔市国有林场、胜峰国有林场</w:t>
            </w:r>
          </w:p>
          <w:p>
            <w:pPr>
              <w:spacing w:line="560" w:lineRule="exact"/>
              <w:ind w:firstLine="600" w:firstLineChars="200"/>
              <w:rPr>
                <w:rFonts w:hint="eastAsia" w:eastAsia="仿宋_GB2312"/>
                <w:sz w:val="30"/>
                <w:szCs w:val="30"/>
                <w:u w:val="single"/>
              </w:rPr>
            </w:pPr>
            <w:r>
              <w:rPr>
                <w:rFonts w:hint="eastAsia" w:eastAsia="仿宋_GB2312"/>
                <w:sz w:val="30"/>
                <w:szCs w:val="30"/>
                <w:lang w:val="en-US" w:eastAsia="zh-CN"/>
              </w:rPr>
              <w:t>三、</w:t>
            </w:r>
            <w:r>
              <w:rPr>
                <w:rFonts w:hint="eastAsia" w:eastAsia="仿宋_GB2312"/>
                <w:sz w:val="30"/>
                <w:szCs w:val="30"/>
              </w:rPr>
              <w:t>建 设 期：</w:t>
            </w:r>
            <w:r>
              <w:rPr>
                <w:rFonts w:hint="eastAsia" w:eastAsia="仿宋_GB2312"/>
                <w:sz w:val="30"/>
                <w:szCs w:val="30"/>
                <w:u w:val="single"/>
              </w:rPr>
              <w:t xml:space="preserve">  20</w:t>
            </w:r>
            <w:r>
              <w:rPr>
                <w:rFonts w:hint="eastAsia" w:eastAsia="仿宋_GB2312"/>
                <w:sz w:val="30"/>
                <w:szCs w:val="30"/>
                <w:u w:val="single"/>
                <w:lang w:val="en-US" w:eastAsia="zh-CN"/>
              </w:rPr>
              <w:t>20</w:t>
            </w:r>
            <w:r>
              <w:rPr>
                <w:rFonts w:hint="eastAsia" w:eastAsia="仿宋_GB2312"/>
                <w:sz w:val="30"/>
                <w:szCs w:val="30"/>
                <w:u w:val="single"/>
              </w:rPr>
              <w:t>年</w:t>
            </w:r>
            <w:r>
              <w:rPr>
                <w:rFonts w:hint="eastAsia" w:eastAsia="仿宋_GB2312"/>
                <w:sz w:val="30"/>
                <w:szCs w:val="30"/>
                <w:u w:val="single"/>
                <w:lang w:val="en-US" w:eastAsia="zh-CN"/>
              </w:rPr>
              <w:t>1</w:t>
            </w:r>
            <w:r>
              <w:rPr>
                <w:rFonts w:hint="eastAsia" w:eastAsia="仿宋_GB2312"/>
                <w:sz w:val="30"/>
                <w:szCs w:val="30"/>
                <w:u w:val="single"/>
              </w:rPr>
              <w:t>月-20</w:t>
            </w:r>
            <w:r>
              <w:rPr>
                <w:rFonts w:hint="eastAsia" w:eastAsia="仿宋_GB2312"/>
                <w:sz w:val="30"/>
                <w:szCs w:val="30"/>
                <w:u w:val="single"/>
                <w:lang w:val="en-US" w:eastAsia="zh-CN"/>
              </w:rPr>
              <w:t>20</w:t>
            </w:r>
            <w:r>
              <w:rPr>
                <w:rFonts w:hint="eastAsia" w:eastAsia="仿宋_GB2312"/>
                <w:sz w:val="30"/>
                <w:szCs w:val="30"/>
                <w:u w:val="single"/>
              </w:rPr>
              <w:t>年</w:t>
            </w:r>
            <w:r>
              <w:rPr>
                <w:rFonts w:hint="eastAsia" w:eastAsia="仿宋_GB2312"/>
                <w:sz w:val="30"/>
                <w:szCs w:val="30"/>
                <w:u w:val="single"/>
                <w:lang w:val="en-US" w:eastAsia="zh-CN"/>
              </w:rPr>
              <w:t>6</w:t>
            </w:r>
            <w:r>
              <w:rPr>
                <w:rFonts w:hint="eastAsia" w:eastAsia="仿宋_GB2312"/>
                <w:sz w:val="30"/>
                <w:szCs w:val="30"/>
                <w:u w:val="single"/>
              </w:rPr>
              <w:t>月</w:t>
            </w:r>
          </w:p>
          <w:p>
            <w:pPr>
              <w:spacing w:line="560" w:lineRule="exact"/>
              <w:ind w:firstLine="600" w:firstLineChars="200"/>
              <w:rPr>
                <w:rFonts w:hint="eastAsia" w:eastAsia="仿宋_GB2312"/>
                <w:sz w:val="30"/>
                <w:szCs w:val="30"/>
              </w:rPr>
            </w:pP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(二)</w:t>
            </w:r>
            <w:r>
              <w:rPr>
                <w:rFonts w:hint="eastAsia" w:eastAsia="仿宋_GB2312"/>
                <w:sz w:val="30"/>
                <w:szCs w:val="30"/>
              </w:rPr>
              <w:t>项目资金使用及管理情况</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本次项目资金103.22万元，中央及省级财政投入资金103.22万元。</w:t>
            </w:r>
          </w:p>
          <w:p>
            <w:pPr>
              <w:spacing w:line="560" w:lineRule="exact"/>
              <w:ind w:firstLine="600" w:firstLineChars="200"/>
              <w:jc w:val="both"/>
              <w:rPr>
                <w:rFonts w:hint="eastAsia" w:eastAsia="仿宋_GB2312"/>
                <w:sz w:val="30"/>
                <w:szCs w:val="30"/>
                <w:lang w:eastAsia="zh-CN"/>
              </w:rPr>
            </w:pPr>
            <w:r>
              <w:rPr>
                <w:rFonts w:hint="eastAsia" w:eastAsia="仿宋_GB2312"/>
                <w:sz w:val="30"/>
                <w:szCs w:val="30"/>
                <w:lang w:val="en-US" w:eastAsia="zh-CN"/>
              </w:rPr>
              <w:t>已于2020年6月完成全县生态公益林补偿打卡发放，共发放补偿资金103.22万元，直接收益农户数1038人。资金到位率和发放率100%。                  (</w:t>
            </w:r>
            <w:r>
              <w:rPr>
                <w:rFonts w:hint="eastAsia" w:eastAsia="仿宋_GB2312"/>
                <w:sz w:val="30"/>
                <w:szCs w:val="30"/>
              </w:rPr>
              <w:t>三</w:t>
            </w:r>
            <w:r>
              <w:rPr>
                <w:rFonts w:hint="eastAsia" w:eastAsia="仿宋_GB2312"/>
                <w:sz w:val="30"/>
                <w:szCs w:val="30"/>
                <w:lang w:val="en-US" w:eastAsia="zh-CN"/>
              </w:rPr>
              <w:t>)</w:t>
            </w:r>
            <w:r>
              <w:rPr>
                <w:rFonts w:hint="eastAsia" w:eastAsia="仿宋_GB2312"/>
                <w:sz w:val="30"/>
                <w:szCs w:val="30"/>
              </w:rPr>
              <w:t>项目组织实施情况</w:t>
            </w: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一、是严格执行《中央财政森林生态效益补偿基金管理办法》和《湖南省森林生态效益补偿基金管理实施细则》，从制度和机制上确保中央财政补偿资金安全运行</w:t>
            </w:r>
            <w:r>
              <w:rPr>
                <w:rFonts w:hint="eastAsia" w:eastAsia="仿宋_GB2312"/>
                <w:sz w:val="30"/>
                <w:szCs w:val="30"/>
              </w:rPr>
              <w:t>目履行单位也应服从项目执行单位的指挥和调度。</w:t>
            </w:r>
          </w:p>
          <w:p>
            <w:pPr>
              <w:spacing w:line="560" w:lineRule="exact"/>
              <w:ind w:firstLine="600" w:firstLineChars="200"/>
              <w:rPr>
                <w:rFonts w:hint="eastAsia" w:eastAsia="仿宋_GB2312"/>
                <w:sz w:val="30"/>
                <w:szCs w:val="30"/>
              </w:rPr>
            </w:pPr>
            <w:r>
              <w:rPr>
                <w:rFonts w:hint="eastAsia" w:eastAsia="仿宋_GB2312"/>
                <w:sz w:val="30"/>
                <w:szCs w:val="30"/>
                <w:lang w:eastAsia="zh-CN"/>
              </w:rPr>
              <w:t>二、</w:t>
            </w:r>
            <w:r>
              <w:rPr>
                <w:rFonts w:hint="eastAsia" w:eastAsia="仿宋_GB2312"/>
                <w:sz w:val="30"/>
                <w:szCs w:val="30"/>
              </w:rPr>
              <w:t>是中央财政补偿基金由县财政局专帐管理，专款专用。农户个人补偿统一采用一卡通形式发放，确保管护资金及时、足额发放到位。</w:t>
            </w:r>
          </w:p>
          <w:p>
            <w:pPr>
              <w:spacing w:line="560" w:lineRule="exact"/>
              <w:ind w:firstLine="600" w:firstLineChars="200"/>
              <w:rPr>
                <w:rFonts w:hint="eastAsia" w:eastAsia="仿宋_GB2312"/>
                <w:sz w:val="30"/>
                <w:szCs w:val="30"/>
              </w:rPr>
            </w:pPr>
            <w:r>
              <w:rPr>
                <w:rFonts w:hint="eastAsia" w:eastAsia="仿宋_GB2312"/>
                <w:sz w:val="30"/>
                <w:szCs w:val="30"/>
              </w:rPr>
              <w:t>三</w:t>
            </w:r>
            <w:r>
              <w:rPr>
                <w:rFonts w:hint="eastAsia" w:eastAsia="仿宋_GB2312"/>
                <w:sz w:val="30"/>
                <w:szCs w:val="30"/>
                <w:lang w:eastAsia="zh-CN"/>
              </w:rPr>
              <w:t>、</w:t>
            </w:r>
            <w:r>
              <w:rPr>
                <w:rFonts w:hint="eastAsia" w:eastAsia="仿宋_GB2312"/>
                <w:sz w:val="30"/>
                <w:szCs w:val="30"/>
              </w:rPr>
              <w:t>是通过不定期的督促、检查和年终考核，加大项目资金使用监管，将集体补偿资金的使用情况，纳入年度管理考核的重点内容，进一步规范项目资金管理使用，强化责任意识，防微杜渐。</w:t>
            </w:r>
          </w:p>
          <w:p>
            <w:pPr>
              <w:spacing w:line="560" w:lineRule="exact"/>
              <w:ind w:firstLine="600" w:firstLineChars="200"/>
              <w:rPr>
                <w:rFonts w:hint="eastAsia" w:eastAsia="仿宋_GB2312"/>
                <w:sz w:val="30"/>
                <w:szCs w:val="30"/>
              </w:rPr>
            </w:pPr>
          </w:p>
          <w:p>
            <w:p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四</w:t>
            </w:r>
            <w:r>
              <w:rPr>
                <w:rFonts w:hint="eastAsia" w:eastAsia="仿宋_GB2312"/>
                <w:sz w:val="30"/>
                <w:szCs w:val="30"/>
                <w:lang w:eastAsia="zh-CN"/>
              </w:rPr>
              <w:t>）</w:t>
            </w:r>
            <w:r>
              <w:rPr>
                <w:rFonts w:hint="eastAsia" w:eastAsia="仿宋_GB2312"/>
                <w:sz w:val="30"/>
                <w:szCs w:val="30"/>
              </w:rPr>
              <w:t>综合评价情况及评价结论</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优</w:t>
            </w:r>
          </w:p>
          <w:p>
            <w:pPr>
              <w:spacing w:line="560" w:lineRule="exact"/>
              <w:ind w:firstLine="600" w:firstLineChars="200"/>
              <w:rPr>
                <w:rFonts w:hint="eastAsia"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五</w:t>
            </w:r>
            <w:r>
              <w:rPr>
                <w:rFonts w:hint="eastAsia" w:eastAsia="仿宋_GB2312"/>
                <w:sz w:val="30"/>
                <w:szCs w:val="30"/>
                <w:lang w:eastAsia="zh-CN"/>
              </w:rPr>
              <w:t>）</w:t>
            </w:r>
            <w:r>
              <w:rPr>
                <w:rFonts w:hint="eastAsia" w:eastAsia="仿宋_GB2312"/>
                <w:sz w:val="30"/>
                <w:szCs w:val="30"/>
              </w:rPr>
              <w:t>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生态效益</w:t>
            </w:r>
          </w:p>
          <w:p>
            <w:pPr>
              <w:spacing w:line="560" w:lineRule="exact"/>
              <w:ind w:firstLine="600" w:firstLineChars="200"/>
              <w:rPr>
                <w:rFonts w:hint="eastAsia" w:eastAsia="仿宋_GB2312"/>
                <w:sz w:val="30"/>
                <w:szCs w:val="30"/>
              </w:rPr>
            </w:pPr>
            <w:r>
              <w:rPr>
                <w:rFonts w:hint="eastAsia" w:eastAsia="仿宋_GB2312"/>
                <w:sz w:val="30"/>
                <w:szCs w:val="30"/>
              </w:rPr>
              <w:t>通过生态公益林补偿，使我县省级以上公益林森林资源和野生动植物资源得到有效的保护和恢复，同时对涵养水源、保持水土、调解气候、净化空气和水质，对我县森林资源的保护具有十分重要意义。</w:t>
            </w:r>
          </w:p>
          <w:p>
            <w:pPr>
              <w:numPr>
                <w:ilvl w:val="0"/>
                <w:numId w:val="3"/>
              </w:numPr>
              <w:spacing w:line="560" w:lineRule="exact"/>
              <w:ind w:firstLine="600" w:firstLineChars="200"/>
              <w:rPr>
                <w:rFonts w:hint="eastAsia" w:eastAsia="仿宋_GB2312"/>
                <w:sz w:val="30"/>
                <w:szCs w:val="30"/>
              </w:rPr>
            </w:pPr>
            <w:r>
              <w:rPr>
                <w:rFonts w:hint="eastAsia" w:eastAsia="仿宋_GB2312"/>
                <w:sz w:val="30"/>
                <w:szCs w:val="30"/>
              </w:rPr>
              <w:t>社会效益</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虽然生态补偿标准不高，但森林资源管护成效显著，主要表现为：一是通过增加林农的基础经济收入，提高了林农对森林资源保护意识；二是2020年全县公益林林区没有发生一起森林火灾和乱砍滥伐事件，森林资源得到有效保护，林区生产生活正常有序。三是巩固了我县森林资源的保护成果。</w:t>
            </w:r>
          </w:p>
          <w:p>
            <w:pPr>
              <w:spacing w:line="560" w:lineRule="exact"/>
              <w:ind w:firstLine="600" w:firstLineChars="200"/>
              <w:rPr>
                <w:rFonts w:hint="eastAsia" w:eastAsia="仿宋_GB2312"/>
                <w:sz w:val="30"/>
                <w:szCs w:val="30"/>
              </w:rPr>
            </w:pP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lang w:eastAsia="zh-CN"/>
              </w:rPr>
              <w:t>、</w:t>
            </w:r>
            <w:r>
              <w:rPr>
                <w:rFonts w:hint="eastAsia" w:eastAsia="仿宋_GB2312"/>
                <w:sz w:val="30"/>
                <w:szCs w:val="30"/>
              </w:rPr>
              <w:t>经济效益</w:t>
            </w:r>
          </w:p>
          <w:p>
            <w:pPr>
              <w:spacing w:line="560" w:lineRule="exact"/>
              <w:ind w:firstLine="600" w:firstLineChars="200"/>
              <w:rPr>
                <w:rFonts w:hint="eastAsia" w:eastAsia="仿宋_GB2312"/>
                <w:sz w:val="30"/>
                <w:szCs w:val="30"/>
              </w:rPr>
            </w:pPr>
            <w:r>
              <w:rPr>
                <w:rFonts w:hint="eastAsia" w:eastAsia="仿宋_GB2312"/>
                <w:sz w:val="30"/>
                <w:szCs w:val="30"/>
              </w:rPr>
              <w:t>全县省级以上公益林补偿103.22万元，直接用于对国有单位和林户的经济补偿占总资金的91.2%，用于公益林生态监测和护林员劳务等森林管护方面支出占总资金的8.8%，直接为农户增加了经济收入。</w:t>
            </w:r>
          </w:p>
          <w:p>
            <w:pPr>
              <w:spacing w:line="560" w:lineRule="exact"/>
              <w:ind w:firstLine="600" w:firstLineChars="200"/>
              <w:rPr>
                <w:rFonts w:hint="eastAsia" w:eastAsia="仿宋_GB2312"/>
                <w:sz w:val="30"/>
                <w:szCs w:val="30"/>
              </w:rPr>
            </w:pP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（六）、</w:t>
            </w:r>
            <w:r>
              <w:rPr>
                <w:rFonts w:hint="eastAsia" w:eastAsia="仿宋_GB2312"/>
                <w:sz w:val="30"/>
                <w:szCs w:val="30"/>
              </w:rPr>
              <w:t>主要经验及做法、存在问题和建议</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1、落实资金，推动建设工作顺利开展。</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公益林补偿资金由县财政局按项目管理，专户储存，单独建账，专款专用，直接打入林农账户上，到户率100%。</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2、注重农户意愿、提高建设综合效益。</w:t>
            </w:r>
          </w:p>
          <w:p>
            <w:p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为加强我县公益林的管护，防止森林火灾及病虫害发生，杜绝乱砍滥伐现象，调动林农生产积极性，维护林农经济利益，确保公益林面积不减少，林分蓄积量、碳贮量稳步提升，提供了有力保障。</w:t>
            </w:r>
          </w:p>
          <w:p>
            <w:pPr>
              <w:spacing w:line="560" w:lineRule="exact"/>
              <w:ind w:firstLine="904" w:firstLineChars="300"/>
              <w:rPr>
                <w:rFonts w:hint="eastAsia" w:eastAsia="仿宋_GB2312"/>
                <w:b/>
                <w:bCs/>
                <w:sz w:val="30"/>
                <w:szCs w:val="30"/>
              </w:rPr>
            </w:pPr>
            <w:r>
              <w:rPr>
                <w:rFonts w:hint="eastAsia" w:eastAsia="仿宋_GB2312"/>
                <w:b/>
                <w:bCs/>
                <w:sz w:val="30"/>
                <w:szCs w:val="30"/>
              </w:rPr>
              <w:t>问题和建议</w:t>
            </w:r>
          </w:p>
          <w:p>
            <w:pPr>
              <w:ind w:firstLine="600" w:firstLineChars="200"/>
              <w:rPr>
                <w:rFonts w:hint="eastAsia" w:eastAsia="仿宋_GB2312"/>
                <w:sz w:val="30"/>
                <w:szCs w:val="30"/>
              </w:rPr>
            </w:pPr>
            <w:r>
              <w:rPr>
                <w:rFonts w:hint="eastAsia" w:eastAsia="仿宋_GB2312"/>
                <w:sz w:val="30"/>
                <w:szCs w:val="30"/>
              </w:rPr>
              <w:t>关于补偿资金60个工作的硬性要求建议：按照《湖南省生态公益林补偿基金管理办法》湘财农〔2014〕1号文件第十二条之规定：县市区财政和林业主管部门要在收到补偿基金60个工作日内完成发放任务。</w:t>
            </w:r>
          </w:p>
          <w:p>
            <w:pPr>
              <w:ind w:firstLine="600" w:firstLineChars="200"/>
              <w:rPr>
                <w:rFonts w:hint="eastAsia" w:eastAsia="仿宋_GB2312"/>
                <w:sz w:val="30"/>
                <w:szCs w:val="30"/>
              </w:rPr>
            </w:pPr>
            <w:r>
              <w:rPr>
                <w:rFonts w:hint="eastAsia" w:eastAsia="仿宋_GB2312"/>
                <w:sz w:val="30"/>
                <w:szCs w:val="30"/>
              </w:rPr>
              <w:t>按照此项规定，基层在打卡发放实际操作过程中存在诸多难以回避的现实困难，具体情况如：</w:t>
            </w:r>
          </w:p>
          <w:p>
            <w:pPr>
              <w:ind w:firstLine="300" w:firstLineChars="100"/>
              <w:rPr>
                <w:rFonts w:hint="eastAsia" w:eastAsia="仿宋_GB2312"/>
                <w:sz w:val="30"/>
                <w:szCs w:val="30"/>
              </w:rPr>
            </w:pPr>
            <w:r>
              <w:rPr>
                <w:rFonts w:hint="eastAsia" w:eastAsia="仿宋_GB2312"/>
                <w:sz w:val="30"/>
                <w:szCs w:val="30"/>
              </w:rPr>
              <w:t>1.由于经济下行压力大，省级已拨付到县级，县级财政部门资金紧张，暂无资金拨付发放，严重影响全县发放进度；</w:t>
            </w:r>
          </w:p>
          <w:p>
            <w:pPr>
              <w:ind w:firstLine="300" w:firstLineChars="100"/>
              <w:rPr>
                <w:rFonts w:hint="eastAsia" w:eastAsia="仿宋_GB2312"/>
                <w:sz w:val="30"/>
                <w:szCs w:val="30"/>
              </w:rPr>
            </w:pPr>
            <w:r>
              <w:rPr>
                <w:rFonts w:hint="eastAsia" w:eastAsia="仿宋_GB2312"/>
                <w:sz w:val="30"/>
                <w:szCs w:val="30"/>
              </w:rPr>
              <w:t>2.乡镇林业站所人员非林业部门编制，机构改革后原林业站人员统规乡镇农业服务中心，人员变动大，导致上下工作衔接不及时、不通畅；</w:t>
            </w:r>
          </w:p>
          <w:p>
            <w:pPr>
              <w:ind w:firstLine="300" w:firstLineChars="100"/>
              <w:rPr>
                <w:rFonts w:hint="eastAsia" w:eastAsia="仿宋_GB2312"/>
                <w:sz w:val="30"/>
                <w:szCs w:val="30"/>
              </w:rPr>
            </w:pPr>
            <w:r>
              <w:rPr>
                <w:rFonts w:hint="eastAsia" w:eastAsia="仿宋_GB2312"/>
                <w:sz w:val="30"/>
                <w:szCs w:val="30"/>
              </w:rPr>
              <w:t>3.审核审批发放过程周期长。从基层村场材料造册、申报公示，到乡镇林业站初审，到县林业局审核，相关请示提请县人民政府主要领导审批，再县财政局复核，最后 “惠农惠民”一卡通平台输机打卡发放，程序走下来大大超过了60个工作日，并且所有材料的申报、审批、审核都不是一次能完成的，整个过程时间存在较大的变量性。</w:t>
            </w:r>
          </w:p>
          <w:p>
            <w:pPr>
              <w:ind w:firstLine="300" w:firstLineChars="100"/>
              <w:rPr>
                <w:rFonts w:hint="eastAsia" w:eastAsia="仿宋_GB2312"/>
                <w:sz w:val="30"/>
                <w:szCs w:val="30"/>
              </w:rPr>
            </w:pPr>
            <w:r>
              <w:rPr>
                <w:rFonts w:hint="eastAsia" w:eastAsia="仿宋_GB2312"/>
                <w:sz w:val="30"/>
                <w:szCs w:val="30"/>
              </w:rPr>
              <w:t>4</w:t>
            </w:r>
            <w:r>
              <w:rPr>
                <w:rFonts w:hint="eastAsia" w:eastAsia="仿宋_GB2312"/>
                <w:sz w:val="30"/>
                <w:szCs w:val="30"/>
                <w:lang w:val="en-US" w:eastAsia="zh-CN"/>
              </w:rPr>
              <w:t xml:space="preserve"> </w:t>
            </w:r>
            <w:r>
              <w:rPr>
                <w:rFonts w:hint="eastAsia" w:eastAsia="仿宋_GB2312"/>
                <w:sz w:val="30"/>
                <w:szCs w:val="30"/>
              </w:rPr>
              <w:t>.各级财政部门、纪检委督查检查均以项目资金发文时间推算60个工作日为准，而具体拨付时间又是以县财政局正式通知拨付时间为准，造成无法在规定时间内完成发放工作，并且追责问责又是县林业局，导致后期无休止的整改落实（县、市、省三级整改落实）。</w:t>
            </w:r>
          </w:p>
          <w:p>
            <w:pPr>
              <w:rPr>
                <w:rFonts w:hint="eastAsia" w:eastAsia="仿宋_GB2312"/>
                <w:sz w:val="30"/>
                <w:szCs w:val="30"/>
              </w:rPr>
            </w:pPr>
            <w:r>
              <w:rPr>
                <w:rFonts w:hint="eastAsia" w:eastAsia="仿宋_GB2312"/>
                <w:sz w:val="30"/>
                <w:szCs w:val="30"/>
              </w:rPr>
              <w:t>强烈建议：修改《湖南省生态公益林补偿基金管理办法》中60个工作日之规定，修改为：以县、市财政部门落实拨付资金的正式通知时间为准，严格按照补偿标准必须于本年度12月底前，足额将补偿基金发放到户。</w:t>
            </w:r>
          </w:p>
          <w:p>
            <w:pPr>
              <w:ind w:firstLine="300" w:firstLineChars="100"/>
              <w:rPr>
                <w:rFonts w:hint="eastAsia" w:eastAsia="仿宋_GB2312"/>
                <w:sz w:val="30"/>
                <w:szCs w:val="30"/>
              </w:rPr>
            </w:pPr>
            <w:r>
              <w:rPr>
                <w:rFonts w:hint="eastAsia" w:eastAsia="仿宋_GB2312"/>
                <w:sz w:val="30"/>
                <w:szCs w:val="30"/>
              </w:rPr>
              <w:t>只要基层各单位在本年度12月底前，按照补偿资金发放面积和标准，坚持公开、公平、公证的原则，严禁挤占、挪用、侵占专项资金，足额拨付或发放到农户手中，就可以解决诸多问题，避免因60个工作问题追责。实施生态公益林补偿是一项利国利民的好政策，不要因为过时的规定，而束缚了基层单位工作人员的手脚。</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0"/>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10"/>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10"/>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bookmarkStart w:id="7" w:name="_GoBack"/>
            <w:bookmarkEnd w:id="7"/>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7C55C9"/>
    <w:multiLevelType w:val="singleLevel"/>
    <w:tmpl w:val="8E7C55C9"/>
    <w:lvl w:ilvl="0" w:tentative="0">
      <w:start w:val="1"/>
      <w:numFmt w:val="chineseCounting"/>
      <w:suff w:val="nothing"/>
      <w:lvlText w:val="（%1）"/>
      <w:lvlJc w:val="left"/>
      <w:rPr>
        <w:rFonts w:hint="eastAsia"/>
      </w:rPr>
    </w:lvl>
  </w:abstractNum>
  <w:abstractNum w:abstractNumId="1">
    <w:nsid w:val="A6731C28"/>
    <w:multiLevelType w:val="singleLevel"/>
    <w:tmpl w:val="A6731C28"/>
    <w:lvl w:ilvl="0" w:tentative="0">
      <w:start w:val="1"/>
      <w:numFmt w:val="chineseCounting"/>
      <w:suff w:val="nothing"/>
      <w:lvlText w:val="%1、"/>
      <w:lvlJc w:val="left"/>
      <w:rPr>
        <w:rFonts w:hint="eastAsia"/>
      </w:rPr>
    </w:lvl>
  </w:abstractNum>
  <w:abstractNum w:abstractNumId="2">
    <w:nsid w:val="66DCDA8C"/>
    <w:multiLevelType w:val="singleLevel"/>
    <w:tmpl w:val="66DCDA8C"/>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12723B8"/>
    <w:rsid w:val="02357AA7"/>
    <w:rsid w:val="0370086C"/>
    <w:rsid w:val="048C48F5"/>
    <w:rsid w:val="05F43D2C"/>
    <w:rsid w:val="06537FF1"/>
    <w:rsid w:val="083749E7"/>
    <w:rsid w:val="084530A9"/>
    <w:rsid w:val="090F4B1E"/>
    <w:rsid w:val="095A1420"/>
    <w:rsid w:val="0B4F378C"/>
    <w:rsid w:val="0C436387"/>
    <w:rsid w:val="0C7B1F12"/>
    <w:rsid w:val="0DE528CD"/>
    <w:rsid w:val="0EDB10A4"/>
    <w:rsid w:val="0F7C21D3"/>
    <w:rsid w:val="115C3548"/>
    <w:rsid w:val="11705DAD"/>
    <w:rsid w:val="124910AD"/>
    <w:rsid w:val="15C06449"/>
    <w:rsid w:val="16901272"/>
    <w:rsid w:val="184B1F38"/>
    <w:rsid w:val="18725427"/>
    <w:rsid w:val="193A4650"/>
    <w:rsid w:val="19772F5E"/>
    <w:rsid w:val="1ABC496D"/>
    <w:rsid w:val="1AC35B1E"/>
    <w:rsid w:val="1BED52CC"/>
    <w:rsid w:val="1C1A6843"/>
    <w:rsid w:val="1CC777B2"/>
    <w:rsid w:val="1E587B04"/>
    <w:rsid w:val="208A5FA9"/>
    <w:rsid w:val="22F65292"/>
    <w:rsid w:val="24A04F81"/>
    <w:rsid w:val="254E2FC7"/>
    <w:rsid w:val="25C06248"/>
    <w:rsid w:val="263C173A"/>
    <w:rsid w:val="263C7BDF"/>
    <w:rsid w:val="26716BFA"/>
    <w:rsid w:val="27135B0A"/>
    <w:rsid w:val="279B3ED1"/>
    <w:rsid w:val="27CC5983"/>
    <w:rsid w:val="2A2B13AE"/>
    <w:rsid w:val="2A9132C8"/>
    <w:rsid w:val="2ACE2D6D"/>
    <w:rsid w:val="2B3B00EB"/>
    <w:rsid w:val="2BC12963"/>
    <w:rsid w:val="2CA33441"/>
    <w:rsid w:val="2CE55C20"/>
    <w:rsid w:val="2E22689E"/>
    <w:rsid w:val="2EB13A24"/>
    <w:rsid w:val="2F287302"/>
    <w:rsid w:val="2FBE63F2"/>
    <w:rsid w:val="303837FD"/>
    <w:rsid w:val="30426D13"/>
    <w:rsid w:val="327B7BD4"/>
    <w:rsid w:val="34DF305C"/>
    <w:rsid w:val="354105BC"/>
    <w:rsid w:val="35EF66D6"/>
    <w:rsid w:val="36C61111"/>
    <w:rsid w:val="37D56BC6"/>
    <w:rsid w:val="381E208F"/>
    <w:rsid w:val="3A43255A"/>
    <w:rsid w:val="3A686CBB"/>
    <w:rsid w:val="3C267D92"/>
    <w:rsid w:val="3C4E1B45"/>
    <w:rsid w:val="3D6201A1"/>
    <w:rsid w:val="3DA76783"/>
    <w:rsid w:val="3DB506CD"/>
    <w:rsid w:val="3DB955C8"/>
    <w:rsid w:val="3DC10C0D"/>
    <w:rsid w:val="3DC80D71"/>
    <w:rsid w:val="3DFE4505"/>
    <w:rsid w:val="3EC46785"/>
    <w:rsid w:val="3F8A6044"/>
    <w:rsid w:val="400A7328"/>
    <w:rsid w:val="401A7908"/>
    <w:rsid w:val="414447D5"/>
    <w:rsid w:val="41C30994"/>
    <w:rsid w:val="42DB3546"/>
    <w:rsid w:val="43AE3EC0"/>
    <w:rsid w:val="456232FC"/>
    <w:rsid w:val="4666503E"/>
    <w:rsid w:val="47232B44"/>
    <w:rsid w:val="477245B4"/>
    <w:rsid w:val="47A075A8"/>
    <w:rsid w:val="48307D6D"/>
    <w:rsid w:val="49661745"/>
    <w:rsid w:val="49D93DB4"/>
    <w:rsid w:val="49E90B3D"/>
    <w:rsid w:val="4B574C0A"/>
    <w:rsid w:val="4B8C0A30"/>
    <w:rsid w:val="4C1F61AD"/>
    <w:rsid w:val="4E386638"/>
    <w:rsid w:val="4E4F0BB0"/>
    <w:rsid w:val="4FBC55A0"/>
    <w:rsid w:val="507E2DC0"/>
    <w:rsid w:val="522F2ECF"/>
    <w:rsid w:val="53316FA5"/>
    <w:rsid w:val="537E0CF8"/>
    <w:rsid w:val="539A749B"/>
    <w:rsid w:val="54E1775F"/>
    <w:rsid w:val="559B048C"/>
    <w:rsid w:val="559E038D"/>
    <w:rsid w:val="55B94F98"/>
    <w:rsid w:val="56486B2A"/>
    <w:rsid w:val="566A27C7"/>
    <w:rsid w:val="569105D5"/>
    <w:rsid w:val="569304DB"/>
    <w:rsid w:val="56F50082"/>
    <w:rsid w:val="573C7239"/>
    <w:rsid w:val="576914E6"/>
    <w:rsid w:val="57694F9F"/>
    <w:rsid w:val="57A4585D"/>
    <w:rsid w:val="57DF56F8"/>
    <w:rsid w:val="58290254"/>
    <w:rsid w:val="58622FDE"/>
    <w:rsid w:val="58CE55B0"/>
    <w:rsid w:val="59422B0D"/>
    <w:rsid w:val="5A351058"/>
    <w:rsid w:val="5BE95901"/>
    <w:rsid w:val="5C7D3097"/>
    <w:rsid w:val="5DE6471F"/>
    <w:rsid w:val="5F3779EB"/>
    <w:rsid w:val="60483018"/>
    <w:rsid w:val="60A2522E"/>
    <w:rsid w:val="614D6E11"/>
    <w:rsid w:val="626B6DE5"/>
    <w:rsid w:val="630F1754"/>
    <w:rsid w:val="632A2848"/>
    <w:rsid w:val="64082D89"/>
    <w:rsid w:val="64FC72BC"/>
    <w:rsid w:val="65003371"/>
    <w:rsid w:val="651F3A49"/>
    <w:rsid w:val="65956918"/>
    <w:rsid w:val="68476498"/>
    <w:rsid w:val="68F616BE"/>
    <w:rsid w:val="692B07C6"/>
    <w:rsid w:val="6979664B"/>
    <w:rsid w:val="6A0A15CD"/>
    <w:rsid w:val="6AC538CB"/>
    <w:rsid w:val="6BA74026"/>
    <w:rsid w:val="6BBC693E"/>
    <w:rsid w:val="6C3F0EC6"/>
    <w:rsid w:val="6C9A0B9A"/>
    <w:rsid w:val="6CBB3564"/>
    <w:rsid w:val="6DD0641F"/>
    <w:rsid w:val="6DF352BD"/>
    <w:rsid w:val="70196F50"/>
    <w:rsid w:val="705E3E6D"/>
    <w:rsid w:val="707A73CC"/>
    <w:rsid w:val="70CB21FD"/>
    <w:rsid w:val="713C7816"/>
    <w:rsid w:val="716D3C3B"/>
    <w:rsid w:val="71C1048A"/>
    <w:rsid w:val="72292E5C"/>
    <w:rsid w:val="72E87D15"/>
    <w:rsid w:val="73A02E29"/>
    <w:rsid w:val="73F35F5B"/>
    <w:rsid w:val="755110ED"/>
    <w:rsid w:val="757C75AD"/>
    <w:rsid w:val="772B297D"/>
    <w:rsid w:val="77F74DED"/>
    <w:rsid w:val="78D344A3"/>
    <w:rsid w:val="79B869D7"/>
    <w:rsid w:val="79C04582"/>
    <w:rsid w:val="7A2626D7"/>
    <w:rsid w:val="7A6F7D3E"/>
    <w:rsid w:val="7AD02FB0"/>
    <w:rsid w:val="7B4249C1"/>
    <w:rsid w:val="7C743C2A"/>
    <w:rsid w:val="7CBE5FE3"/>
    <w:rsid w:val="7D1F0DA2"/>
    <w:rsid w:val="7D5D333E"/>
    <w:rsid w:val="7D6828D1"/>
    <w:rsid w:val="7DB8228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1">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2021-07-28T02:36:35Z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