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rPr>
      </w:pPr>
      <w:r>
        <w:rPr>
          <w:rFonts w:hint="eastAsia" w:eastAsia="仿宋_GB2312"/>
          <w:sz w:val="32"/>
        </w:rPr>
        <w:t>项目名称：2020年阳光政务大厅运行经费</w:t>
      </w:r>
    </w:p>
    <w:p>
      <w:pPr>
        <w:spacing w:beforeLines="50" w:line="760" w:lineRule="exact"/>
        <w:ind w:firstLine="480" w:firstLineChars="150"/>
        <w:rPr>
          <w:rFonts w:eastAsia="仿宋_GB2312"/>
          <w:sz w:val="32"/>
        </w:rPr>
      </w:pPr>
      <w:r>
        <w:rPr>
          <w:rFonts w:hint="eastAsia" w:eastAsia="仿宋_GB2312"/>
          <w:sz w:val="32"/>
        </w:rPr>
        <w:t>项目单位：华容县政务服务中心</w:t>
      </w:r>
    </w:p>
    <w:p>
      <w:pPr>
        <w:spacing w:beforeLines="50" w:line="760" w:lineRule="exact"/>
        <w:ind w:firstLine="480" w:firstLineChars="150"/>
        <w:rPr>
          <w:rFonts w:eastAsia="仿宋_GB2312"/>
          <w:sz w:val="32"/>
          <w:u w:val="single"/>
        </w:rPr>
      </w:pPr>
      <w:r>
        <w:rPr>
          <w:rFonts w:hint="eastAsia" w:eastAsia="仿宋_GB2312"/>
          <w:sz w:val="32"/>
        </w:rPr>
        <w:t>主管部门：华容县行政审批服务局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报告日期：2021年7月28日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r>
              <w:rPr>
                <w:rFonts w:hint="eastAsia" w:eastAsia="仿宋_GB2312"/>
                <w:sz w:val="24"/>
              </w:rPr>
              <w:t>华容县政务中心</w:t>
            </w:r>
          </w:p>
        </w:tc>
        <w:tc>
          <w:tcPr>
            <w:tcW w:w="1347"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2020年    1月起至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546</w:t>
            </w:r>
          </w:p>
        </w:tc>
        <w:tc>
          <w:tcPr>
            <w:tcW w:w="180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546</w:t>
            </w:r>
          </w:p>
        </w:tc>
        <w:tc>
          <w:tcPr>
            <w:tcW w:w="164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546</w:t>
            </w:r>
          </w:p>
        </w:tc>
        <w:tc>
          <w:tcPr>
            <w:tcW w:w="16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pPr>
              <w:rPr>
                <w:rFonts w:eastAsia="仿宋_GB2312"/>
                <w:spacing w:val="-6"/>
                <w:sz w:val="24"/>
              </w:rPr>
            </w:pPr>
          </w:p>
        </w:tc>
        <w:tc>
          <w:tcPr>
            <w:tcW w:w="1800" w:type="dxa"/>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pPr>
              <w:rPr>
                <w:rFonts w:eastAsia="仿宋_GB2312"/>
                <w:spacing w:val="-6"/>
                <w:sz w:val="24"/>
              </w:rPr>
            </w:pPr>
          </w:p>
        </w:tc>
        <w:tc>
          <w:tcPr>
            <w:tcW w:w="164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ign w:val="center"/>
          </w:tcPr>
          <w:p>
            <w:pPr>
              <w:rPr>
                <w:rFonts w:eastAsia="仿宋_GB2312"/>
                <w:spacing w:val="-6"/>
                <w:sz w:val="24"/>
              </w:rPr>
            </w:pPr>
          </w:p>
        </w:tc>
        <w:tc>
          <w:tcPr>
            <w:tcW w:w="1620"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pPr>
              <w:rPr>
                <w:rFonts w:eastAsia="仿宋_GB2312"/>
                <w:sz w:val="24"/>
              </w:rPr>
            </w:pPr>
            <w:r>
              <w:rPr>
                <w:rFonts w:hint="eastAsia" w:eastAsia="仿宋_GB2312"/>
                <w:sz w:val="24"/>
              </w:rPr>
              <w:t>546</w:t>
            </w:r>
          </w:p>
        </w:tc>
        <w:tc>
          <w:tcPr>
            <w:tcW w:w="180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pPr>
              <w:rPr>
                <w:rFonts w:eastAsia="仿宋_GB2312"/>
                <w:sz w:val="24"/>
              </w:rPr>
            </w:pPr>
            <w:r>
              <w:rPr>
                <w:rFonts w:hint="eastAsia" w:eastAsia="仿宋_GB2312"/>
                <w:sz w:val="24"/>
              </w:rPr>
              <w:t>546</w:t>
            </w: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noWrap/>
            <w:vAlign w:val="center"/>
          </w:tcPr>
          <w:p>
            <w:pPr>
              <w:rPr>
                <w:rFonts w:eastAsia="仿宋_GB2312"/>
                <w:sz w:val="24"/>
              </w:rPr>
            </w:pPr>
            <w:r>
              <w:rPr>
                <w:rFonts w:hint="eastAsia" w:eastAsia="仿宋_GB2312"/>
                <w:sz w:val="24"/>
              </w:rPr>
              <w:t>546</w:t>
            </w:r>
          </w:p>
        </w:tc>
        <w:tc>
          <w:tcPr>
            <w:tcW w:w="162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水费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9.1</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3月57#、8月25#、12月38#</w:t>
            </w:r>
          </w:p>
        </w:tc>
        <w:tc>
          <w:tcPr>
            <w:tcW w:w="3036" w:type="dxa"/>
            <w:gridSpan w:val="3"/>
            <w:tcBorders>
              <w:bottom w:val="single" w:color="auto" w:sz="4" w:space="0"/>
            </w:tcBorders>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电费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117.8</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3月13#、4月12#、5月27#、7月6#、9#、8月11#、12#、9月42#、11月45#、12月40#</w:t>
            </w:r>
          </w:p>
        </w:tc>
        <w:tc>
          <w:tcPr>
            <w:tcW w:w="3036" w:type="dxa"/>
            <w:gridSpan w:val="3"/>
            <w:tcBorders>
              <w:bottom w:val="single" w:color="auto" w:sz="4" w:space="0"/>
            </w:tcBorders>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邮电费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17.3</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3月20#、23#、4月27#、7月23#、8月16#、10月20#</w:t>
            </w:r>
          </w:p>
        </w:tc>
        <w:tc>
          <w:tcPr>
            <w:tcW w:w="3036" w:type="dxa"/>
            <w:gridSpan w:val="3"/>
            <w:tcBorders>
              <w:bottom w:val="single" w:color="auto" w:sz="4" w:space="0"/>
            </w:tcBorders>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取暖费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43</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9月41#、10月27#、11月46#、12月39#</w:t>
            </w:r>
          </w:p>
        </w:tc>
        <w:tc>
          <w:tcPr>
            <w:tcW w:w="3036" w:type="dxa"/>
            <w:gridSpan w:val="3"/>
            <w:tcBorders>
              <w:bottom w:val="single" w:color="auto" w:sz="4" w:space="0"/>
            </w:tcBorders>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物业管理费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20.8</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3月53#、6月33#、11月17#、18#</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含绿化款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专用材料费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40</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6月18#、7月16#、11月14#</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含工作服装购置款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维修（护）费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41.4</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3月28#、50#，4月18#、5月13#、16#、23#、29#，6月22#、27#，7月21#，8月14#、9月25#、27#、28#、48#、10月15#、16#、17#、11月13#、19#、24#、25#、12月8#、22#、33#</w:t>
            </w:r>
          </w:p>
        </w:tc>
        <w:tc>
          <w:tcPr>
            <w:tcW w:w="3036" w:type="dxa"/>
            <w:gridSpan w:val="3"/>
            <w:tcBorders>
              <w:bottom w:val="single" w:color="auto" w:sz="4" w:space="0"/>
            </w:tcBorders>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劳务费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103.3</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3月46#、47#、4月6#、7#，19#、5月5#、6月6#、7#、23#、28#、7月25#、8月22#、9月23#、26#、30#、10月22#、11月6#、20#、21#，12月19#、28#、29#</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含劳务派遣人员劳务费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委托业务费</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42.9</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3月32#、4月11#、20#、28#、5月10#、26#、6月9#、7月24#、8月15#、9月24#、10月10#、11月31#、12月30#</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含大厅保洁费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其他商品和服务支出</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79.1</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6月24#、7月28#、8月31#、9月35#、10月28#、11月37#、12月26#</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含大厅食堂伙食费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其他对个人和家庭的补助支出</w:t>
            </w:r>
          </w:p>
        </w:tc>
        <w:tc>
          <w:tcPr>
            <w:tcW w:w="1822" w:type="dxa"/>
            <w:gridSpan w:val="2"/>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31.3</w:t>
            </w:r>
          </w:p>
        </w:tc>
        <w:tc>
          <w:tcPr>
            <w:tcW w:w="2342" w:type="dxa"/>
            <w:gridSpan w:val="5"/>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3月55#、4月8#、6月8#，36#、7月14#、8月9#、11月26#、27#、28#、12月20#</w:t>
            </w:r>
          </w:p>
        </w:tc>
        <w:tc>
          <w:tcPr>
            <w:tcW w:w="3036" w:type="dxa"/>
            <w:gridSpan w:val="3"/>
            <w:tcBorders>
              <w:bottom w:val="single" w:color="auto" w:sz="4" w:space="0"/>
            </w:tcBorders>
            <w:noWrap/>
            <w:vAlign w:val="center"/>
          </w:tcPr>
          <w:p>
            <w:pPr>
              <w:spacing w:line="300" w:lineRule="exact"/>
              <w:jc w:val="center"/>
              <w:rPr>
                <w:rFonts w:eastAsia="仿宋_GB2312"/>
                <w:sz w:val="24"/>
              </w:rPr>
            </w:pPr>
            <w:r>
              <w:rPr>
                <w:rFonts w:hint="eastAsia" w:eastAsia="仿宋_GB2312"/>
                <w:sz w:val="24"/>
              </w:rPr>
              <w:t>含大厅考核奖励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noWrap/>
            <w:vAlign w:val="center"/>
          </w:tcPr>
          <w:p>
            <w:pPr>
              <w:jc w:val="center"/>
              <w:rPr>
                <w:rFonts w:eastAsia="仿宋_GB2312"/>
                <w:b/>
                <w:sz w:val="24"/>
              </w:rPr>
            </w:pPr>
            <w:r>
              <w:rPr>
                <w:rFonts w:hint="eastAsia" w:eastAsia="仿宋_GB2312"/>
                <w:b/>
                <w:sz w:val="24"/>
              </w:rPr>
              <w:t>546</w:t>
            </w:r>
          </w:p>
        </w:tc>
        <w:tc>
          <w:tcPr>
            <w:tcW w:w="2342" w:type="dxa"/>
            <w:gridSpan w:val="5"/>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073" w:type="dxa"/>
            <w:gridSpan w:val="10"/>
            <w:tcBorders>
              <w:bottom w:val="single" w:color="auto" w:sz="4" w:space="0"/>
            </w:tcBorders>
            <w:noWrap/>
            <w:vAlign w:val="center"/>
          </w:tcPr>
          <w:p>
            <w:pPr>
              <w:jc w:val="center"/>
              <w:rPr>
                <w:rFonts w:eastAsia="仿宋_GB2312"/>
                <w:b/>
                <w:sz w:val="24"/>
              </w:rPr>
            </w:pPr>
            <w:r>
              <w:rPr>
                <w:rFonts w:hint="eastAsia" w:eastAsia="仿宋_GB2312"/>
                <w:b/>
                <w:sz w:val="24"/>
              </w:rPr>
              <w:t>保障政务大厅安全、高效工作运转</w:t>
            </w:r>
          </w:p>
        </w:tc>
        <w:tc>
          <w:tcPr>
            <w:tcW w:w="3036" w:type="dxa"/>
            <w:gridSpan w:val="3"/>
            <w:tcBorders>
              <w:bottom w:val="single" w:color="auto" w:sz="4" w:space="0"/>
            </w:tcBorders>
            <w:noWrap/>
            <w:vAlign w:val="center"/>
          </w:tcPr>
          <w:p>
            <w:pPr>
              <w:spacing w:line="400" w:lineRule="exact"/>
              <w:jc w:val="center"/>
              <w:rPr>
                <w:rFonts w:eastAsia="仿宋_GB2312"/>
                <w:b/>
                <w:sz w:val="24"/>
              </w:rPr>
            </w:pPr>
            <w:r>
              <w:rPr>
                <w:rFonts w:hint="eastAsia" w:eastAsia="仿宋_GB2312"/>
                <w:b/>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目标完成率</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目标完成质量效果</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预定目标完成率</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绩效目标成本控制</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对区域经济的效益影响</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社会综合效益</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可持续性影响</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满意度</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pPr>
              <w:jc w:val="center"/>
              <w:rPr>
                <w:rFonts w:eastAsia="仿宋_GB2312"/>
                <w:sz w:val="24"/>
              </w:rPr>
            </w:pPr>
            <w:r>
              <w:rPr>
                <w:rFonts w:hint="eastAsia" w:eastAsia="仿宋_GB2312"/>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pPr>
              <w:jc w:val="cente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1950" w:type="dxa"/>
            <w:gridSpan w:val="4"/>
            <w:noWrap/>
            <w:vAlign w:val="center"/>
          </w:tcPr>
          <w:p>
            <w:pPr>
              <w:jc w:val="center"/>
              <w:rPr>
                <w:rFonts w:eastAsia="仿宋_GB2312"/>
                <w:sz w:val="24"/>
              </w:rPr>
            </w:pPr>
            <w:r>
              <w:rPr>
                <w:rFonts w:hint="eastAsia" w:eastAsia="仿宋_GB2312"/>
                <w:sz w:val="24"/>
              </w:rPr>
              <w:t>单  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ind w:firstLine="720" w:firstLineChars="300"/>
              <w:rPr>
                <w:rFonts w:hint="eastAsia" w:eastAsia="仿宋_GB2312"/>
                <w:sz w:val="24"/>
                <w:lang w:eastAsia="zh-CN"/>
              </w:rPr>
            </w:pPr>
            <w:r>
              <w:rPr>
                <w:rFonts w:hint="eastAsia" w:eastAsia="仿宋_GB2312"/>
                <w:sz w:val="24"/>
                <w:lang w:eastAsia="zh-CN"/>
              </w:rPr>
              <w:t>徐佳英</w:t>
            </w:r>
          </w:p>
        </w:tc>
        <w:tc>
          <w:tcPr>
            <w:tcW w:w="2332" w:type="dxa"/>
            <w:gridSpan w:val="4"/>
            <w:noWrap/>
            <w:vAlign w:val="center"/>
          </w:tcPr>
          <w:p>
            <w:pPr>
              <w:rPr>
                <w:rFonts w:hint="default" w:eastAsia="仿宋_GB2312"/>
                <w:sz w:val="24"/>
                <w:lang w:val="en-US" w:eastAsia="zh-CN"/>
              </w:rPr>
            </w:pPr>
            <w:r>
              <w:rPr>
                <w:rFonts w:hint="eastAsia" w:eastAsia="仿宋_GB2312"/>
                <w:sz w:val="24"/>
                <w:lang w:val="en-US" w:eastAsia="zh-CN"/>
              </w:rPr>
              <w:t xml:space="preserve">    副局长</w:t>
            </w:r>
          </w:p>
        </w:tc>
        <w:tc>
          <w:tcPr>
            <w:tcW w:w="1950" w:type="dxa"/>
            <w:gridSpan w:val="4"/>
            <w:noWrap/>
            <w:vAlign w:val="center"/>
          </w:tcPr>
          <w:p>
            <w:pPr>
              <w:rPr>
                <w:rFonts w:hint="eastAsia" w:eastAsia="仿宋_GB2312"/>
                <w:sz w:val="24"/>
                <w:lang w:eastAsia="zh-CN"/>
              </w:rPr>
            </w:pPr>
            <w:r>
              <w:rPr>
                <w:rFonts w:hint="eastAsia" w:eastAsia="仿宋_GB2312"/>
                <w:sz w:val="24"/>
                <w:lang w:eastAsia="zh-CN"/>
              </w:rPr>
              <w:t>行政审批服务局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hint="default" w:eastAsia="仿宋_GB2312"/>
                <w:sz w:val="24"/>
                <w:lang w:val="en-US" w:eastAsia="zh-CN"/>
              </w:rPr>
            </w:pPr>
            <w:r>
              <w:rPr>
                <w:rFonts w:hint="eastAsia" w:eastAsia="仿宋_GB2312"/>
                <w:sz w:val="24"/>
                <w:lang w:val="en-US" w:eastAsia="zh-CN"/>
              </w:rPr>
              <w:t xml:space="preserve">      刘达真</w:t>
            </w:r>
          </w:p>
        </w:tc>
        <w:tc>
          <w:tcPr>
            <w:tcW w:w="2332" w:type="dxa"/>
            <w:gridSpan w:val="4"/>
            <w:noWrap/>
            <w:vAlign w:val="center"/>
          </w:tcPr>
          <w:p>
            <w:pPr>
              <w:ind w:firstLine="240" w:firstLineChars="100"/>
              <w:rPr>
                <w:rFonts w:hint="eastAsia" w:eastAsia="仿宋_GB2312"/>
                <w:sz w:val="24"/>
                <w:lang w:eastAsia="zh-CN"/>
              </w:rPr>
            </w:pPr>
            <w:r>
              <w:rPr>
                <w:rFonts w:hint="eastAsia" w:eastAsia="仿宋_GB2312"/>
                <w:sz w:val="24"/>
                <w:lang w:eastAsia="zh-CN"/>
              </w:rPr>
              <w:t>政务中心主任</w:t>
            </w:r>
          </w:p>
        </w:tc>
        <w:tc>
          <w:tcPr>
            <w:tcW w:w="1950" w:type="dxa"/>
            <w:gridSpan w:val="4"/>
            <w:noWrap/>
            <w:vAlign w:val="center"/>
          </w:tcPr>
          <w:p>
            <w:pPr>
              <w:ind w:firstLine="240" w:firstLineChars="100"/>
              <w:rPr>
                <w:rFonts w:hint="eastAsia" w:eastAsia="仿宋_GB2312"/>
                <w:sz w:val="24"/>
                <w:lang w:eastAsia="zh-CN"/>
              </w:rPr>
            </w:pPr>
            <w:r>
              <w:rPr>
                <w:rFonts w:hint="eastAsia" w:eastAsia="仿宋_GB2312"/>
                <w:sz w:val="24"/>
                <w:lang w:eastAsia="zh-CN"/>
              </w:rPr>
              <w:t>政务中心</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hint="default" w:eastAsia="仿宋_GB2312"/>
                <w:sz w:val="24"/>
                <w:lang w:val="en-US" w:eastAsia="zh-CN"/>
              </w:rPr>
            </w:pPr>
            <w:r>
              <w:rPr>
                <w:rFonts w:hint="eastAsia" w:eastAsia="仿宋_GB2312"/>
                <w:sz w:val="24"/>
                <w:lang w:val="en-US" w:eastAsia="zh-CN"/>
              </w:rPr>
              <w:t xml:space="preserve">      李野草</w:t>
            </w:r>
          </w:p>
        </w:tc>
        <w:tc>
          <w:tcPr>
            <w:tcW w:w="2332" w:type="dxa"/>
            <w:gridSpan w:val="4"/>
            <w:noWrap/>
            <w:vAlign w:val="center"/>
          </w:tcPr>
          <w:p>
            <w:pPr>
              <w:ind w:firstLine="240" w:firstLineChars="100"/>
              <w:rPr>
                <w:rFonts w:hint="default" w:eastAsia="仿宋_GB2312"/>
                <w:sz w:val="24"/>
                <w:lang w:val="en-US" w:eastAsia="zh-CN"/>
              </w:rPr>
            </w:pPr>
            <w:r>
              <w:rPr>
                <w:rFonts w:hint="eastAsia" w:eastAsia="仿宋_GB2312"/>
                <w:sz w:val="24"/>
                <w:lang w:val="en-US" w:eastAsia="zh-CN"/>
              </w:rPr>
              <w:t>政务中心副主任</w:t>
            </w:r>
          </w:p>
        </w:tc>
        <w:tc>
          <w:tcPr>
            <w:tcW w:w="1950" w:type="dxa"/>
            <w:gridSpan w:val="4"/>
            <w:noWrap/>
            <w:vAlign w:val="center"/>
          </w:tcPr>
          <w:p>
            <w:pPr>
              <w:rPr>
                <w:rFonts w:hint="default" w:eastAsia="仿宋_GB2312"/>
                <w:sz w:val="24"/>
                <w:lang w:val="en-US" w:eastAsia="zh-CN"/>
              </w:rPr>
            </w:pPr>
            <w:r>
              <w:rPr>
                <w:rFonts w:hint="eastAsia" w:eastAsia="仿宋_GB2312"/>
                <w:sz w:val="24"/>
                <w:lang w:val="en-US" w:eastAsia="zh-CN"/>
              </w:rPr>
              <w:t xml:space="preserve">  </w:t>
            </w:r>
            <w:r>
              <w:rPr>
                <w:rFonts w:hint="eastAsia" w:eastAsia="仿宋_GB2312"/>
                <w:sz w:val="24"/>
                <w:lang w:eastAsia="zh-CN"/>
              </w:rPr>
              <w:t>政务中心</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000000"/>
                <w:sz w:val="24"/>
                <w:szCs w:val="24"/>
              </w:rPr>
            </w:pPr>
            <w:r>
              <w:rPr>
                <w:rFonts w:hint="eastAsia" w:ascii="仿宋_GB2312" w:hAnsi="仿宋_GB2312" w:eastAsia="仿宋_GB2312" w:cs="仿宋_GB2312"/>
                <w:sz w:val="32"/>
                <w:szCs w:val="32"/>
                <w:lang w:val="en-US" w:eastAsia="zh-CN"/>
              </w:rPr>
              <w:t>华容县政务服务中心为华容县行政审批服务局管理的公益一类事业单位，核定全额拨款事业编制12人，设一办三股，其大厅面积16000㎡，入驻大厅行政企事业单位52家，工作人员400余人，日均人流量10000余人次。阳光政务大厅按照“科学化、智能化、便民化”的标准设计，是“线上线下统一、实体与网上同步”的标准化政务服务大厅，基本达到了国务院“互联网+政务服务”改革“一网、一门、一次”的要求。</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2020年县级财政累计下达政务大厅运行经费546万元，主要用于保障政务大厅正常运转的费用，其中：水费9.1万元、电费117.8万元、邮电费17.3万元、取暖费43万元、物业管理费20.8万元、专用材料费40万元、维修维护费41.4万元、劳务费103.3万元、委托业务费42.9万元、其他商品服务79.1万元，其他对个人和家庭的补助支出31.3万元。</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numPr>
                <w:ilvl w:val="0"/>
                <w:numId w:val="0"/>
              </w:numPr>
              <w:ind w:leftChars="0" w:firstLine="640" w:firstLineChars="200"/>
              <w:rPr>
                <w:rFonts w:hint="eastAsia" w:eastAsia="仿宋_GB2312"/>
                <w:sz w:val="30"/>
                <w:szCs w:val="30"/>
              </w:rPr>
            </w:pPr>
            <w:r>
              <w:rPr>
                <w:rFonts w:hint="eastAsia" w:ascii="仿宋" w:hAnsi="仿宋" w:eastAsia="仿宋" w:cs="仿宋"/>
                <w:sz w:val="32"/>
                <w:szCs w:val="32"/>
                <w:lang w:val="en-US" w:eastAsia="zh-CN"/>
              </w:rPr>
              <w:t>为了让企业和群众充分享受实实在在的幸福感和获得感，中心在以往特色政务服务的基础上，不断拓展政务服务的广度和维度，真正让老百姓得到了实惠。一是预约前提下的</w:t>
            </w:r>
            <w:r>
              <w:rPr>
                <w:rFonts w:hint="eastAsia" w:ascii="仿宋" w:hAnsi="仿宋" w:eastAsia="仿宋" w:cs="仿宋"/>
                <w:b/>
                <w:bCs/>
                <w:sz w:val="32"/>
                <w:szCs w:val="32"/>
                <w:lang w:val="en-US" w:eastAsia="zh-CN"/>
              </w:rPr>
              <w:t>“延时办”</w:t>
            </w:r>
            <w:r>
              <w:rPr>
                <w:rFonts w:hint="eastAsia" w:ascii="仿宋" w:hAnsi="仿宋" w:eastAsia="仿宋" w:cs="仿宋"/>
                <w:sz w:val="32"/>
                <w:szCs w:val="32"/>
                <w:lang w:val="en-US" w:eastAsia="zh-CN"/>
              </w:rPr>
              <w:t>。为解决部分特殊人群的需求，倡导政务服务二十四小时“不打烊”服务，县级大厅各窗口“超时”服务已常态化。推出预约“5+2”“白加黑”延时服务，主动牺牲休息时间，最大限度满足不同人群的政务服务需求。特殊情况下，自然资源、公安等部门窗口还经常性地应群众、企业需求开展“上门”服务。上半年，各窗口单位就收到各类服务对象赠送的表扬锦旗十多面。二是便民服务</w:t>
            </w:r>
            <w:r>
              <w:rPr>
                <w:rFonts w:hint="eastAsia" w:ascii="仿宋" w:hAnsi="仿宋" w:eastAsia="仿宋" w:cs="仿宋"/>
                <w:b/>
                <w:bCs/>
                <w:sz w:val="32"/>
                <w:szCs w:val="32"/>
                <w:lang w:val="en-US" w:eastAsia="zh-CN"/>
              </w:rPr>
              <w:t>“免费办”</w:t>
            </w:r>
            <w:r>
              <w:rPr>
                <w:rFonts w:hint="eastAsia" w:ascii="仿宋" w:hAnsi="仿宋" w:eastAsia="仿宋" w:cs="仿宋"/>
                <w:sz w:val="32"/>
                <w:szCs w:val="32"/>
                <w:lang w:val="en-US" w:eastAsia="zh-CN"/>
              </w:rPr>
              <w:t>。阳光政务大厅很多窗口都是零收费，而且证件复印、照片彩印、信息咨询、查询都是免费服务，大厅还提供雨伞、饮用水、老花镜等服务，让办事群众有“家”的感觉，“上帝”的享受。三是贴心服务</w:t>
            </w:r>
            <w:r>
              <w:rPr>
                <w:rFonts w:hint="eastAsia" w:ascii="仿宋" w:hAnsi="仿宋" w:eastAsia="仿宋" w:cs="仿宋"/>
                <w:b/>
                <w:bCs/>
                <w:sz w:val="32"/>
                <w:szCs w:val="32"/>
                <w:lang w:val="en-US" w:eastAsia="zh-CN"/>
              </w:rPr>
              <w:t>“帮代办”</w:t>
            </w:r>
            <w:r>
              <w:rPr>
                <w:rFonts w:hint="eastAsia" w:ascii="仿宋" w:hAnsi="仿宋" w:eastAsia="仿宋" w:cs="仿宋"/>
                <w:sz w:val="32"/>
                <w:szCs w:val="32"/>
                <w:lang w:val="en-US" w:eastAsia="zh-CN"/>
              </w:rPr>
              <w:t>。成立2-3人的专职帮办代办队伍，另明确兼职帮办代办员12人，针对“老年人”“残疾人”等特殊群众，在服务台设立专窗，明确专人，进行引导以及提供“网办”审批等“手把手”的帮办代办服务。四是智慧服务</w:t>
            </w:r>
            <w:r>
              <w:rPr>
                <w:rFonts w:hint="eastAsia" w:ascii="仿宋" w:hAnsi="仿宋" w:eastAsia="仿宋" w:cs="仿宋"/>
                <w:b/>
                <w:bCs/>
                <w:sz w:val="32"/>
                <w:szCs w:val="32"/>
                <w:lang w:val="en-US" w:eastAsia="zh-CN"/>
              </w:rPr>
              <w:t>“自助办”。</w:t>
            </w:r>
            <w:r>
              <w:rPr>
                <w:rFonts w:hint="eastAsia" w:ascii="仿宋" w:hAnsi="仿宋" w:eastAsia="仿宋" w:cs="仿宋"/>
                <w:sz w:val="32"/>
                <w:szCs w:val="32"/>
                <w:lang w:val="en-US" w:eastAsia="zh-CN"/>
              </w:rPr>
              <w:t>在阳光政务一楼大厅设置了公安、水电气网、市政、税务、政务、综合和金融24小时自助办服务专区，让企业群众不分白天黑夜全天候地享受便捷舒心的政务服务。</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全年共征收建安增值各税及附加、契税4626万元，其中建安增值各税及附加871万元，契税3755万元。</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标准化、智能化、便民化的现代化大厅建成</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1.科学的设计布局。</w:t>
            </w:r>
            <w:r>
              <w:rPr>
                <w:rFonts w:hint="eastAsia" w:ascii="仿宋_GB2312" w:eastAsia="仿宋_GB2312"/>
                <w:sz w:val="32"/>
                <w:szCs w:val="32"/>
              </w:rPr>
              <w:t>内装饰设计时将软装系统、标识系统和家俱一并设计综合考量，大厅整体环境协调、和谐统一。新政务大厅设置前台239个，后台办公室88间，可进驻工作人员约300余人，目前已进驻260余人。</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2.智能化的“一体化”平台。</w:t>
            </w:r>
            <w:r>
              <w:rPr>
                <w:rFonts w:hint="eastAsia" w:ascii="仿宋_GB2312" w:eastAsia="仿宋_GB2312"/>
                <w:sz w:val="32"/>
                <w:szCs w:val="32"/>
              </w:rPr>
              <w:t>一是强化华容特色审批服务。实现少数事项能在村（社区）办结、大部分事项在村（社区）申请并提交资料、所有事项能在村（社区）查询；二是“个性化”软件已完成开发。</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3.先进的运行管理模式。</w:t>
            </w:r>
            <w:r>
              <w:rPr>
                <w:rFonts w:hint="eastAsia" w:ascii="仿宋_GB2312" w:eastAsia="仿宋_GB2312"/>
                <w:sz w:val="32"/>
                <w:szCs w:val="32"/>
              </w:rPr>
              <w:t>一是审批操作将展现新模式。大厅239个窗口均配备了服务显示屏和桌面交互平板仪，便捷的进行服务展示。二是日常管理将展现新思路。依托窗口音视频监控设备，实现了数字化工位监控功能。三是办件运行管理将展现新机制。全面推行“一号”申请制、“一窗”受理制、一次性告知制、统一收费、统一物流、统一监管等14项主要模式运行。</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pStyle w:val="5"/>
              <w:shd w:val="clear" w:color="auto" w:fill="FFFFFF"/>
              <w:spacing w:before="0" w:beforeAutospacing="0" w:after="0" w:afterAutospacing="0" w:line="560" w:lineRule="exact"/>
              <w:ind w:firstLine="640"/>
              <w:rPr>
                <w:rFonts w:ascii="楷体" w:hAnsi="楷体" w:eastAsia="楷体" w:cs="Times New Roman"/>
                <w:b/>
                <w:bCs/>
                <w:kern w:val="2"/>
                <w:sz w:val="32"/>
                <w:szCs w:val="32"/>
              </w:rPr>
            </w:pPr>
            <w:r>
              <w:rPr>
                <w:rFonts w:hint="eastAsia" w:ascii="楷体" w:hAnsi="楷体" w:eastAsia="楷体" w:cs="Times New Roman"/>
                <w:b/>
                <w:bCs/>
                <w:kern w:val="2"/>
                <w:sz w:val="32"/>
                <w:szCs w:val="32"/>
              </w:rPr>
              <w:t>（一） 关于“互联网+政务服务”</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部分“专网”单位不使用一体化平台，对网上办事诉求难呼应。建议一是对所谓“专网”单位，要有强制性的行政措施；二是加强顶层设计，要按照“最多跑一次”和“一件事跑一个牵头部门”的要求，对子系统软件开发、硬件建设进行总体设计。</w:t>
            </w:r>
          </w:p>
          <w:p>
            <w:pPr>
              <w:numPr>
                <w:ilvl w:val="0"/>
                <w:numId w:val="1"/>
              </w:num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 xml:space="preserve">关于“最多跑一次”改革  </w:t>
            </w:r>
          </w:p>
          <w:p>
            <w:pPr>
              <w:spacing w:line="560" w:lineRule="exact"/>
              <w:ind w:firstLine="640" w:firstLineChars="200"/>
              <w:rPr>
                <w:rFonts w:eastAsia="仿宋_GB2312"/>
                <w:sz w:val="30"/>
                <w:szCs w:val="30"/>
              </w:rPr>
            </w:pPr>
            <w:r>
              <w:rPr>
                <w:rFonts w:hint="eastAsia" w:ascii="仿宋_GB2312" w:eastAsia="仿宋_GB2312"/>
                <w:sz w:val="32"/>
                <w:szCs w:val="32"/>
              </w:rPr>
              <w:t>“最多跑一次”改革系统性、综合性非常强，涉及不同部门、不同行业，量大面广，很多工作需边启动、边推进、边完善，这项改革还存在一些突出问题和薄弱环节，需引起高度关注。建议</w:t>
            </w:r>
            <w:r>
              <w:rPr>
                <w:rFonts w:hint="eastAsia" w:ascii="仿宋_GB2312" w:eastAsia="仿宋_GB2312"/>
                <w:b/>
                <w:bCs/>
                <w:sz w:val="32"/>
                <w:szCs w:val="32"/>
              </w:rPr>
              <w:t>一是加强组织领导。</w:t>
            </w:r>
            <w:r>
              <w:rPr>
                <w:rFonts w:hint="eastAsia" w:ascii="仿宋_GB2312" w:eastAsia="仿宋_GB2312"/>
                <w:sz w:val="32"/>
                <w:szCs w:val="32"/>
              </w:rPr>
              <w:t>统筹协调“最多跑一次”、“放管服”、优化营商环境等改革中遇到的困难和问题，加强县直单位间协同联动</w:t>
            </w:r>
            <w:r>
              <w:rPr>
                <w:rFonts w:hint="eastAsia" w:ascii="仿宋_GB2312" w:eastAsia="仿宋_GB2312"/>
                <w:b/>
                <w:bCs/>
                <w:sz w:val="32"/>
                <w:szCs w:val="32"/>
              </w:rPr>
              <w:t>。二是全面协同推进。</w:t>
            </w:r>
            <w:r>
              <w:rPr>
                <w:rFonts w:hint="eastAsia" w:ascii="仿宋_GB2312" w:eastAsia="仿宋_GB2312"/>
                <w:sz w:val="32"/>
                <w:szCs w:val="32"/>
                <w:lang w:eastAsia="zh-CN"/>
              </w:rPr>
              <w:t>县住建、自然资源、市场监管</w:t>
            </w:r>
            <w:r>
              <w:rPr>
                <w:rFonts w:hint="eastAsia" w:ascii="仿宋_GB2312" w:eastAsia="仿宋_GB2312"/>
                <w:sz w:val="32"/>
                <w:szCs w:val="32"/>
              </w:rPr>
              <w:t>等作为主要牵头单位应各司其职，明确时间节点和工</w:t>
            </w:r>
            <w:r>
              <w:rPr>
                <w:rFonts w:hint="eastAsia" w:ascii="仿宋_GB2312" w:eastAsia="仿宋_GB2312"/>
                <w:b/>
                <w:bCs/>
                <w:sz w:val="32"/>
                <w:szCs w:val="32"/>
              </w:rPr>
              <w:t>作要求，环环协同</w:t>
            </w:r>
            <w:r>
              <w:rPr>
                <w:rFonts w:hint="eastAsia" w:ascii="仿宋_GB2312" w:eastAsia="仿宋_GB2312"/>
                <w:sz w:val="32"/>
                <w:szCs w:val="32"/>
              </w:rPr>
              <w:t>配合，积极营造“合力推进”的良好工作局面。三是强化督察问责。县纪委监委对改革推进不到位及被群众投诉较多且情况属实的县直单位进行问责。</w:t>
            </w:r>
          </w:p>
          <w:p/>
          <w:p>
            <w:pPr>
              <w:spacing w:line="560" w:lineRule="exact"/>
              <w:ind w:firstLine="600" w:firstLineChars="200"/>
              <w:rPr>
                <w:rFonts w:eastAsia="仿宋_GB2312"/>
                <w:sz w:val="30"/>
                <w:szCs w:val="30"/>
              </w:rPr>
            </w:pPr>
          </w:p>
          <w:p>
            <w:pPr>
              <w:rPr>
                <w:rFonts w:eastAsia="楷体_GB2312"/>
                <w:bCs/>
                <w:sz w:val="28"/>
                <w:szCs w:val="28"/>
              </w:rPr>
            </w:pPr>
          </w:p>
        </w:tc>
      </w:tr>
    </w:tbl>
    <w:p>
      <w:pPr>
        <w:rPr>
          <w:rFonts w:ascii="仿宋_GB2312" w:hAnsi="宋体" w:eastAsia="仿宋_GB2312" w:cs="宋体"/>
          <w:kern w:val="0"/>
          <w:szCs w:val="21"/>
        </w:rPr>
      </w:pPr>
      <w:r>
        <w:rPr>
          <w:rFonts w:ascii="黑体" w:hAnsi="黑体" w:eastAsia="黑体"/>
          <w:sz w:val="32"/>
          <w:szCs w:val="32"/>
        </w:rPr>
        <w:br w:type="page"/>
      </w:r>
      <w:r>
        <w:rPr>
          <w:rFonts w:ascii="仿宋_GB2312" w:hAnsi="宋体" w:eastAsia="仿宋_GB2312" w:cs="宋体"/>
          <w:kern w:val="0"/>
          <w:szCs w:val="21"/>
        </w:rPr>
        <w:t xml:space="preserve"> </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97</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838C2"/>
    <w:multiLevelType w:val="singleLevel"/>
    <w:tmpl w:val="056838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143AA"/>
    <w:rsid w:val="00015386"/>
    <w:rsid w:val="000632DD"/>
    <w:rsid w:val="00183193"/>
    <w:rsid w:val="002842B6"/>
    <w:rsid w:val="003F5504"/>
    <w:rsid w:val="00403CEA"/>
    <w:rsid w:val="004F4F99"/>
    <w:rsid w:val="005B364A"/>
    <w:rsid w:val="00663BFD"/>
    <w:rsid w:val="007B2063"/>
    <w:rsid w:val="007E1657"/>
    <w:rsid w:val="00836F25"/>
    <w:rsid w:val="008431CB"/>
    <w:rsid w:val="0088379F"/>
    <w:rsid w:val="00945818"/>
    <w:rsid w:val="009648D4"/>
    <w:rsid w:val="009C69C7"/>
    <w:rsid w:val="009E2FB2"/>
    <w:rsid w:val="00A6258F"/>
    <w:rsid w:val="00B80E3C"/>
    <w:rsid w:val="00C25C51"/>
    <w:rsid w:val="00C33A14"/>
    <w:rsid w:val="00C550C8"/>
    <w:rsid w:val="00C70FFD"/>
    <w:rsid w:val="00CC79CE"/>
    <w:rsid w:val="00D04205"/>
    <w:rsid w:val="00E22B8C"/>
    <w:rsid w:val="00F8475C"/>
    <w:rsid w:val="00F9170F"/>
    <w:rsid w:val="083749E7"/>
    <w:rsid w:val="0AB00E4F"/>
    <w:rsid w:val="0DE528CD"/>
    <w:rsid w:val="18725427"/>
    <w:rsid w:val="254E2FC7"/>
    <w:rsid w:val="263C173A"/>
    <w:rsid w:val="2B6E3678"/>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character" w:customStyle="1" w:styleId="10">
    <w:name w:val="页眉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681</Words>
  <Characters>3886</Characters>
  <Lines>32</Lines>
  <Paragraphs>9</Paragraphs>
  <TotalTime>2</TotalTime>
  <ScaleCrop>false</ScaleCrop>
  <LinksUpToDate>false</LinksUpToDate>
  <CharactersWithSpaces>4558</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dell</cp:lastModifiedBy>
  <cp:lastPrinted>2021-07-30T07:37:00Z</cp:lastPrinted>
  <dcterms:modified xsi:type="dcterms:W3CDTF">2021-08-09T02:20:35Z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F91423819E7B49AD98812AEFE54C0311</vt:lpwstr>
  </property>
</Properties>
</file>