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48" w:lineRule="auto"/>
        <w:rPr>
          <w:rFonts w:ascii="黑体" w:hAnsi="黑体" w:eastAsia="黑体" w:cs="黑体"/>
          <w:bCs/>
          <w:sz w:val="32"/>
          <w:szCs w:val="32"/>
        </w:rPr>
      </w:pPr>
      <w:r>
        <w:rPr>
          <w:rFonts w:hint="eastAsia" w:ascii="黑体" w:hAnsi="黑体" w:eastAsia="黑体" w:cs="黑体"/>
          <w:bCs/>
          <w:sz w:val="32"/>
          <w:szCs w:val="32"/>
        </w:rPr>
        <w:t>附件</w:t>
      </w:r>
      <w:r>
        <w:rPr>
          <w:rFonts w:ascii="黑体" w:hAnsi="黑体" w:eastAsia="黑体" w:cs="黑体"/>
          <w:bCs/>
          <w:sz w:val="32"/>
          <w:szCs w:val="32"/>
        </w:rPr>
        <w:t>2-1</w:t>
      </w:r>
    </w:p>
    <w:p>
      <w:pPr>
        <w:spacing w:line="348" w:lineRule="auto"/>
        <w:jc w:val="center"/>
        <w:rPr>
          <w:rFonts w:eastAsia="方正小标宋简体"/>
          <w:bCs/>
          <w:sz w:val="42"/>
          <w:szCs w:val="42"/>
        </w:rPr>
      </w:pPr>
    </w:p>
    <w:p>
      <w:pPr>
        <w:spacing w:line="800" w:lineRule="exact"/>
        <w:jc w:val="center"/>
        <w:rPr>
          <w:rFonts w:eastAsia="方正小标宋简体"/>
          <w:bCs/>
          <w:sz w:val="46"/>
          <w:szCs w:val="46"/>
        </w:rPr>
      </w:pPr>
      <w:r>
        <w:rPr>
          <w:rFonts w:hint="eastAsia" w:eastAsia="方正小标宋简体"/>
          <w:bCs/>
          <w:sz w:val="46"/>
          <w:szCs w:val="46"/>
        </w:rPr>
        <w:t>华容县</w:t>
      </w:r>
      <w:r>
        <w:rPr>
          <w:rFonts w:eastAsia="方正小标宋简体"/>
          <w:bCs/>
          <w:sz w:val="46"/>
          <w:szCs w:val="46"/>
        </w:rPr>
        <w:t>20</w:t>
      </w:r>
      <w:r>
        <w:rPr>
          <w:rFonts w:hint="eastAsia" w:eastAsia="方正小标宋简体"/>
          <w:bCs/>
          <w:sz w:val="46"/>
          <w:szCs w:val="46"/>
          <w:u w:val="single"/>
        </w:rPr>
        <w:t>20</w:t>
      </w:r>
      <w:r>
        <w:rPr>
          <w:rFonts w:hint="eastAsia" w:eastAsia="方正小标宋简体"/>
          <w:bCs/>
          <w:sz w:val="46"/>
          <w:szCs w:val="46"/>
        </w:rPr>
        <w:t>年度部门整体支出</w:t>
      </w:r>
    </w:p>
    <w:p>
      <w:pPr>
        <w:spacing w:line="800" w:lineRule="exact"/>
        <w:jc w:val="center"/>
        <w:rPr>
          <w:rFonts w:eastAsia="方正小标宋简体"/>
          <w:bCs/>
          <w:sz w:val="46"/>
          <w:szCs w:val="46"/>
        </w:rPr>
      </w:pPr>
      <w:r>
        <w:rPr>
          <w:rFonts w:hint="eastAsia" w:eastAsia="方正小标宋简体"/>
          <w:bCs/>
          <w:sz w:val="46"/>
          <w:szCs w:val="46"/>
        </w:rPr>
        <w:t>绩效评价自评报告</w:t>
      </w:r>
    </w:p>
    <w:p>
      <w:pPr>
        <w:rPr>
          <w:rFonts w:eastAsia="仿宋_GB2312"/>
          <w:b/>
          <w:sz w:val="32"/>
        </w:rPr>
      </w:pPr>
      <w:bookmarkStart w:id="0" w:name="_GoBack"/>
      <w:bookmarkEnd w:id="0"/>
    </w:p>
    <w:p>
      <w:pPr>
        <w:rPr>
          <w:rFonts w:eastAsia="仿宋_GB2312"/>
          <w:b/>
          <w:sz w:val="32"/>
        </w:rPr>
      </w:pPr>
    </w:p>
    <w:p>
      <w:pPr>
        <w:rPr>
          <w:rFonts w:eastAsia="仿宋_GB2312"/>
          <w:b/>
          <w:sz w:val="32"/>
        </w:rPr>
      </w:pPr>
    </w:p>
    <w:p>
      <w:pPr>
        <w:spacing w:beforeLines="50" w:line="348" w:lineRule="auto"/>
        <w:ind w:firstLine="476" w:firstLineChars="150"/>
        <w:rPr>
          <w:rFonts w:eastAsia="仿宋_GB2312"/>
          <w:sz w:val="32"/>
          <w:szCs w:val="32"/>
          <w:u w:val="single"/>
        </w:rPr>
      </w:pPr>
      <w:r>
        <w:rPr>
          <w:rFonts w:hint="eastAsia" w:eastAsia="仿宋_GB2312"/>
          <w:sz w:val="32"/>
          <w:szCs w:val="32"/>
        </w:rPr>
        <w:t>部门</w:t>
      </w:r>
      <w:r>
        <w:rPr>
          <w:rFonts w:eastAsia="仿宋_GB2312"/>
          <w:sz w:val="32"/>
          <w:szCs w:val="32"/>
        </w:rPr>
        <w:t>(</w:t>
      </w:r>
      <w:r>
        <w:rPr>
          <w:rFonts w:hint="eastAsia" w:eastAsia="仿宋_GB2312"/>
          <w:sz w:val="32"/>
          <w:szCs w:val="32"/>
        </w:rPr>
        <w:t>单位</w:t>
      </w:r>
      <w:r>
        <w:rPr>
          <w:rFonts w:eastAsia="仿宋_GB2312"/>
          <w:sz w:val="32"/>
          <w:szCs w:val="32"/>
        </w:rPr>
        <w:t>)</w:t>
      </w:r>
      <w:r>
        <w:rPr>
          <w:rFonts w:hint="eastAsia" w:eastAsia="仿宋_GB2312"/>
          <w:sz w:val="32"/>
          <w:szCs w:val="32"/>
        </w:rPr>
        <w:t>名称：华容县妇女联合会</w:t>
      </w:r>
    </w:p>
    <w:p>
      <w:pPr>
        <w:spacing w:beforeLines="50" w:line="348" w:lineRule="auto"/>
        <w:ind w:firstLine="476" w:firstLineChars="150"/>
        <w:rPr>
          <w:rFonts w:eastAsia="仿宋_GB2312"/>
          <w:spacing w:val="20"/>
          <w:sz w:val="32"/>
          <w:szCs w:val="32"/>
        </w:rPr>
      </w:pPr>
      <w:r>
        <w:rPr>
          <w:rFonts w:hint="eastAsia" w:eastAsia="仿宋_GB2312"/>
          <w:sz w:val="32"/>
          <w:szCs w:val="32"/>
        </w:rPr>
        <w:t>预</w:t>
      </w:r>
      <w:r>
        <w:rPr>
          <w:rFonts w:hint="eastAsia" w:eastAsia="仿宋_GB2312"/>
          <w:spacing w:val="30"/>
          <w:sz w:val="32"/>
          <w:szCs w:val="32"/>
        </w:rPr>
        <w:t>算编码：</w:t>
      </w:r>
      <w:r>
        <w:rPr>
          <w:rFonts w:eastAsia="仿宋_GB2312"/>
          <w:spacing w:val="30"/>
          <w:sz w:val="32"/>
          <w:szCs w:val="32"/>
        </w:rPr>
        <w:t>123001</w:t>
      </w:r>
    </w:p>
    <w:p>
      <w:pPr>
        <w:spacing w:beforeLines="50" w:line="348" w:lineRule="auto"/>
        <w:ind w:firstLine="476" w:firstLineChars="150"/>
        <w:rPr>
          <w:rFonts w:eastAsia="仿宋_GB2312"/>
          <w:sz w:val="32"/>
          <w:szCs w:val="32"/>
        </w:rPr>
      </w:pPr>
      <w:r>
        <w:rPr>
          <w:rFonts w:hint="eastAsia" w:eastAsia="仿宋_GB2312"/>
          <w:sz w:val="32"/>
          <w:szCs w:val="32"/>
        </w:rPr>
        <w:t>评价方式：部门（单位）绩效自评</w:t>
      </w:r>
    </w:p>
    <w:p>
      <w:pPr>
        <w:spacing w:beforeLines="50" w:line="348" w:lineRule="auto"/>
        <w:ind w:firstLine="476" w:firstLineChars="150"/>
        <w:rPr>
          <w:rFonts w:eastAsia="仿宋_GB2312"/>
          <w:sz w:val="32"/>
          <w:szCs w:val="32"/>
        </w:rPr>
      </w:pPr>
      <w:r>
        <w:rPr>
          <w:rFonts w:hint="eastAsia" w:eastAsia="仿宋_GB2312"/>
          <w:sz w:val="32"/>
          <w:szCs w:val="32"/>
        </w:rPr>
        <w:t>评价机构：部门（单位）评价组</w:t>
      </w: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720" w:lineRule="exact"/>
        <w:ind w:firstLine="2188" w:firstLineChars="690"/>
        <w:rPr>
          <w:rFonts w:eastAsia="仿宋_GB2312"/>
          <w:sz w:val="32"/>
        </w:rPr>
      </w:pPr>
    </w:p>
    <w:p>
      <w:pPr>
        <w:spacing w:line="348" w:lineRule="auto"/>
        <w:jc w:val="center"/>
        <w:rPr>
          <w:rFonts w:eastAsia="仿宋_GB2312"/>
          <w:sz w:val="32"/>
        </w:rPr>
      </w:pPr>
      <w:r>
        <w:rPr>
          <w:rFonts w:hint="eastAsia" w:eastAsia="仿宋_GB2312"/>
          <w:sz w:val="32"/>
        </w:rPr>
        <w:t>报告日期：</w:t>
      </w:r>
      <w:r>
        <w:rPr>
          <w:rFonts w:eastAsia="仿宋_GB2312"/>
          <w:sz w:val="32"/>
        </w:rPr>
        <w:t>202</w:t>
      </w:r>
      <w:r>
        <w:rPr>
          <w:rFonts w:hint="eastAsia" w:eastAsia="仿宋_GB2312"/>
          <w:sz w:val="32"/>
        </w:rPr>
        <w:t>1年</w:t>
      </w:r>
      <w:r>
        <w:rPr>
          <w:rFonts w:eastAsia="仿宋_GB2312"/>
          <w:sz w:val="32"/>
        </w:rPr>
        <w:t xml:space="preserve"> </w:t>
      </w:r>
      <w:r>
        <w:rPr>
          <w:rFonts w:hint="eastAsia" w:eastAsia="仿宋_GB2312"/>
          <w:sz w:val="32"/>
        </w:rPr>
        <w:t>7月</w:t>
      </w:r>
      <w:r>
        <w:rPr>
          <w:rFonts w:eastAsia="仿宋_GB2312"/>
          <w:sz w:val="32"/>
        </w:rPr>
        <w:t>2</w:t>
      </w:r>
      <w:r>
        <w:rPr>
          <w:rFonts w:hint="eastAsia" w:eastAsia="仿宋_GB2312"/>
          <w:sz w:val="32"/>
        </w:rPr>
        <w:t>8日</w:t>
      </w:r>
    </w:p>
    <w:p>
      <w:pPr>
        <w:autoSpaceDN w:val="0"/>
        <w:jc w:val="center"/>
        <w:textAlignment w:val="center"/>
        <w:rPr>
          <w:rFonts w:eastAsia="仿宋_GB2312"/>
          <w:sz w:val="32"/>
          <w:szCs w:val="32"/>
        </w:rPr>
        <w:sectPr>
          <w:footerReference r:id="rId3" w:type="default"/>
          <w:footerReference r:id="rId4" w:type="even"/>
          <w:pgSz w:w="11906" w:h="16838"/>
          <w:pgMar w:top="1588" w:right="1588" w:bottom="1588" w:left="1588" w:header="851" w:footer="992" w:gutter="0"/>
          <w:pgNumType w:start="1"/>
          <w:cols w:space="720" w:num="1"/>
          <w:docGrid w:type="linesAndChars" w:linePitch="602" w:charSpace="-782"/>
        </w:sectPr>
      </w:pPr>
      <w:r>
        <w:rPr>
          <w:rFonts w:hint="eastAsia" w:eastAsia="仿宋_GB2312"/>
          <w:sz w:val="32"/>
        </w:rPr>
        <w:t>华容县财政</w:t>
      </w:r>
      <w:r>
        <w:rPr>
          <w:rFonts w:hint="eastAsia" w:eastAsia="仿宋_GB2312"/>
          <w:sz w:val="32"/>
          <w:szCs w:val="32"/>
        </w:rPr>
        <w:t>局（制）</w:t>
      </w:r>
    </w:p>
    <w:tbl>
      <w:tblPr>
        <w:tblStyle w:val="8"/>
        <w:tblW w:w="9800" w:type="dxa"/>
        <w:jc w:val="center"/>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
      <w:tblGrid>
        <w:gridCol w:w="1441"/>
        <w:gridCol w:w="213"/>
        <w:gridCol w:w="46"/>
        <w:gridCol w:w="1080"/>
        <w:gridCol w:w="210"/>
        <w:gridCol w:w="1145"/>
        <w:gridCol w:w="272"/>
        <w:gridCol w:w="808"/>
        <w:gridCol w:w="1479"/>
        <w:gridCol w:w="226"/>
        <w:gridCol w:w="196"/>
        <w:gridCol w:w="259"/>
        <w:gridCol w:w="1080"/>
        <w:gridCol w:w="265"/>
        <w:gridCol w:w="139"/>
        <w:gridCol w:w="316"/>
        <w:gridCol w:w="625"/>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黑体" w:hAnsi="黑体" w:eastAsia="黑体" w:cs="黑体"/>
                <w:color w:val="000000"/>
                <w:sz w:val="28"/>
                <w:szCs w:val="28"/>
              </w:rPr>
              <w:t>一、部门（单位）基本概况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联系人</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孙莹</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联络电话</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18390157732</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人员编制</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实有人数</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50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职能职责概述</w:t>
            </w:r>
          </w:p>
        </w:tc>
        <w:tc>
          <w:tcPr>
            <w:tcW w:w="8146" w:type="dxa"/>
            <w:gridSpan w:val="15"/>
            <w:noWrap/>
            <w:vAlign w:val="center"/>
          </w:tcPr>
          <w:p>
            <w:pPr>
              <w:autoSpaceDN w:val="0"/>
              <w:spacing w:line="320" w:lineRule="exact"/>
              <w:textAlignment w:val="center"/>
              <w:rPr>
                <w:rFonts w:ascii="仿宋_GB2312" w:hAnsi="仿宋_GB2312" w:eastAsia="仿宋_GB2312" w:cs="仿宋_GB2312"/>
                <w:color w:val="000000"/>
                <w:sz w:val="24"/>
              </w:rPr>
            </w:pPr>
            <w:r>
              <w:rPr>
                <w:rFonts w:ascii="宋体" w:cs="宋体"/>
                <w:kern w:val="0"/>
                <w:sz w:val="32"/>
                <w:szCs w:val="32"/>
              </w:rPr>
              <w:t>1</w:t>
            </w:r>
            <w:r>
              <w:rPr>
                <w:rFonts w:hint="eastAsia" w:ascii="仿宋_GB2312" w:hAnsi="仿宋_GB2312" w:eastAsia="仿宋_GB2312" w:cs="仿宋_GB2312"/>
                <w:color w:val="000000"/>
                <w:sz w:val="24"/>
              </w:rPr>
              <w:t>、宣传、贯彻党的基本路线、方针、政策，团结动员广大妇女投身社会主义现代化建设，促进经济发展和社会进步。</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2</w:t>
            </w:r>
            <w:r>
              <w:rPr>
                <w:rFonts w:hint="eastAsia" w:ascii="仿宋_GB2312" w:hAnsi="仿宋_GB2312" w:eastAsia="仿宋_GB2312" w:cs="仿宋_GB2312"/>
                <w:color w:val="000000"/>
                <w:sz w:val="24"/>
              </w:rPr>
              <w:t>、根据党的中心任务，指导下属各级妇联组织依据《中华全国妇女联合会章程》和妇女代表大会的决议开展妇女儿童工作，加强与各团体会员间的关系，并予以业务指导。</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3</w:t>
            </w:r>
            <w:r>
              <w:rPr>
                <w:rFonts w:hint="eastAsia" w:ascii="仿宋_GB2312" w:hAnsi="仿宋_GB2312" w:eastAsia="仿宋_GB2312" w:cs="仿宋_GB2312"/>
                <w:color w:val="000000"/>
                <w:sz w:val="24"/>
              </w:rPr>
              <w:t>、教育、引导妇女增强自尊、自信、自立、自强的精神，组织开展家庭文明建设活动，促进社会主义精神文明建设。</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4</w:t>
            </w:r>
            <w:r>
              <w:rPr>
                <w:rFonts w:hint="eastAsia" w:ascii="仿宋_GB2312" w:hAnsi="仿宋_GB2312" w:eastAsia="仿宋_GB2312" w:cs="仿宋_GB2312"/>
                <w:color w:val="000000"/>
                <w:sz w:val="24"/>
              </w:rPr>
              <w:t>、调查研究全县各乡镇、各行业妇女儿童的情况和问题，及时向县委、县政府反映，提出合理化建议。推动妇女发展规划的实施。</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5</w:t>
            </w:r>
            <w:r>
              <w:rPr>
                <w:rFonts w:hint="eastAsia" w:ascii="仿宋_GB2312" w:hAnsi="仿宋_GB2312" w:eastAsia="仿宋_GB2312" w:cs="仿宋_GB2312"/>
                <w:color w:val="000000"/>
                <w:sz w:val="24"/>
              </w:rPr>
              <w:t>、指导各级妇联做好宣传舆论工作，及时发现、培养、推介、表彰各行各业的先进妇女典型。协助组织部门做好女干部的培养、教育、考察、推荐工作，促进妇女人才的成长</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6</w:t>
            </w:r>
            <w:r>
              <w:rPr>
                <w:rFonts w:hint="eastAsia" w:ascii="仿宋_GB2312" w:hAnsi="仿宋_GB2312" w:eastAsia="仿宋_GB2312" w:cs="仿宋_GB2312"/>
                <w:color w:val="000000"/>
                <w:sz w:val="24"/>
              </w:rPr>
              <w:t>、动员全县妇女参与社会事务和民主管理、民主监督，切实维护妇女儿童的合法权益。</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7</w:t>
            </w:r>
            <w:r>
              <w:rPr>
                <w:rFonts w:hint="eastAsia" w:ascii="仿宋_GB2312" w:hAnsi="仿宋_GB2312" w:eastAsia="仿宋_GB2312" w:cs="仿宋_GB2312"/>
                <w:color w:val="000000"/>
                <w:sz w:val="24"/>
              </w:rPr>
              <w:t>、加强与社会各界的联系，协调和推动社会各界为妇女儿童办实事、办好事。</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8</w:t>
            </w:r>
            <w:r>
              <w:rPr>
                <w:rFonts w:hint="eastAsia" w:ascii="仿宋_GB2312" w:hAnsi="仿宋_GB2312" w:eastAsia="仿宋_GB2312" w:cs="仿宋_GB2312"/>
                <w:color w:val="000000"/>
                <w:sz w:val="24"/>
              </w:rPr>
              <w:t>、推动《中国儿童发展纲要》的实施，加强自办园所及阵地活动的管理与指导。</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9</w:t>
            </w:r>
            <w:r>
              <w:rPr>
                <w:rFonts w:hint="eastAsia" w:ascii="仿宋_GB2312" w:hAnsi="仿宋_GB2312" w:eastAsia="仿宋_GB2312" w:cs="仿宋_GB2312"/>
                <w:color w:val="000000"/>
                <w:sz w:val="24"/>
              </w:rPr>
              <w:t>、加强对女知识分子协会、女领导干部联谊会的组织管理、领导与协调工作，拓展妇女工作领域。</w:t>
            </w:r>
          </w:p>
          <w:p>
            <w:pPr>
              <w:autoSpaceDN w:val="0"/>
              <w:spacing w:line="320" w:lineRule="exact"/>
              <w:textAlignment w:val="center"/>
              <w:rPr>
                <w:rFonts w:ascii="仿宋_GB2312" w:hAnsi="仿宋_GB2312" w:eastAsia="仿宋_GB2312" w:cs="仿宋_GB2312"/>
                <w:color w:val="000000"/>
                <w:sz w:val="24"/>
              </w:rPr>
            </w:pPr>
            <w:r>
              <w:rPr>
                <w:rFonts w:ascii="仿宋_GB2312" w:hAnsi="仿宋_GB2312" w:eastAsia="仿宋_GB2312" w:cs="仿宋_GB2312"/>
                <w:color w:val="000000"/>
                <w:sz w:val="24"/>
              </w:rPr>
              <w:t>10</w:t>
            </w:r>
            <w:r>
              <w:rPr>
                <w:rFonts w:hint="eastAsia" w:ascii="仿宋_GB2312" w:hAnsi="仿宋_GB2312" w:eastAsia="仿宋_GB2312" w:cs="仿宋_GB2312"/>
                <w:color w:val="000000"/>
                <w:sz w:val="24"/>
              </w:rPr>
              <w:t>、承办县委、县政府交办的有关事项。</w:t>
            </w:r>
          </w:p>
          <w:p>
            <w:pPr>
              <w:autoSpaceDN w:val="0"/>
              <w:spacing w:line="320" w:lineRule="exact"/>
              <w:jc w:val="left"/>
              <w:textAlignment w:val="center"/>
              <w:rPr>
                <w:rFonts w:ascii="仿宋_GB2312" w:hAnsi="仿宋_GB2312" w:eastAsia="仿宋_GB2312" w:cs="仿宋_GB2312"/>
                <w:color w:val="00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464" w:hRule="atLeast"/>
          <w:jc w:val="center"/>
        </w:trPr>
        <w:tc>
          <w:tcPr>
            <w:tcW w:w="1654" w:type="dxa"/>
            <w:gridSpan w:val="2"/>
            <w:noWrap/>
            <w:vAlign w:val="center"/>
          </w:tcPr>
          <w:p>
            <w:pPr>
              <w:autoSpaceDN w:val="0"/>
              <w:spacing w:line="320" w:lineRule="exac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年度主要</w:t>
            </w:r>
          </w:p>
          <w:p>
            <w:pPr>
              <w:autoSpaceDN w:val="0"/>
              <w:spacing w:line="320" w:lineRule="exac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工作内容</w:t>
            </w:r>
          </w:p>
        </w:tc>
        <w:tc>
          <w:tcPr>
            <w:tcW w:w="8146" w:type="dxa"/>
            <w:gridSpan w:val="15"/>
            <w:noWrap/>
            <w:vAlign w:val="center"/>
          </w:tcPr>
          <w:p>
            <w:pPr>
              <w:autoSpaceDN w:val="0"/>
              <w:spacing w:line="320" w:lineRule="exac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eastAsia="zh-CN"/>
              </w:rPr>
              <w:t>任务</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参与疫情防控有为有位</w:t>
            </w:r>
          </w:p>
          <w:p>
            <w:pPr>
              <w:autoSpaceDN w:val="0"/>
              <w:spacing w:line="320" w:lineRule="exac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eastAsia="zh-CN"/>
              </w:rPr>
              <w:t>任务</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帮扶困难群体扎实有效</w:t>
            </w:r>
          </w:p>
          <w:p>
            <w:pPr>
              <w:autoSpaceDN w:val="0"/>
              <w:spacing w:line="320" w:lineRule="exac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lang w:eastAsia="zh-CN"/>
              </w:rPr>
              <w:t>任务</w:t>
            </w:r>
            <w:r>
              <w:rPr>
                <w:rFonts w:hint="eastAsia" w:ascii="仿宋_GB2312" w:hAnsi="仿宋_GB2312" w:eastAsia="仿宋_GB2312" w:cs="仿宋_GB2312"/>
                <w:color w:val="auto"/>
                <w:sz w:val="24"/>
              </w:rPr>
              <w:t>3：</w:t>
            </w:r>
            <w:r>
              <w:rPr>
                <w:rFonts w:hint="eastAsia" w:ascii="仿宋_GB2312" w:hAnsi="仿宋_GB2312" w:eastAsia="仿宋_GB2312" w:cs="仿宋_GB2312"/>
                <w:color w:val="auto"/>
                <w:sz w:val="24"/>
                <w:lang w:eastAsia="zh-CN"/>
              </w:rPr>
              <w:t>开展维权服务到位到家</w:t>
            </w:r>
          </w:p>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lang w:eastAsia="zh-CN"/>
              </w:rPr>
              <w:t>任务</w:t>
            </w:r>
            <w:r>
              <w:rPr>
                <w:rFonts w:hint="eastAsia" w:ascii="仿宋_GB2312" w:hAnsi="仿宋_GB2312" w:eastAsia="仿宋_GB2312" w:cs="仿宋_GB2312"/>
                <w:color w:val="auto"/>
                <w:sz w:val="24"/>
              </w:rPr>
              <w:t>4：</w:t>
            </w:r>
            <w:r>
              <w:rPr>
                <w:rFonts w:hint="eastAsia" w:ascii="仿宋_GB2312" w:hAnsi="仿宋_GB2312" w:eastAsia="仿宋_GB2312" w:cs="仿宋_GB2312"/>
                <w:color w:val="auto"/>
                <w:sz w:val="24"/>
                <w:lang w:val="en-US" w:eastAsia="zh-CN"/>
              </w:rPr>
              <w:t>家庭文明创建亮点纷呈</w:t>
            </w:r>
          </w:p>
          <w:p>
            <w:pPr>
              <w:autoSpaceDN w:val="0"/>
              <w:spacing w:line="320" w:lineRule="exac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26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auto"/>
                <w:spacing w:val="-6"/>
                <w:sz w:val="24"/>
              </w:rPr>
            </w:pPr>
            <w:r>
              <w:rPr>
                <w:rFonts w:hint="eastAsia" w:ascii="仿宋_GB2312" w:hAnsi="仿宋_GB2312" w:eastAsia="仿宋_GB2312" w:cs="仿宋_GB2312"/>
                <w:color w:val="auto"/>
                <w:spacing w:val="-6"/>
                <w:sz w:val="24"/>
              </w:rPr>
              <w:t>年度部门（单位）总体运行情况及取得的成绩</w:t>
            </w:r>
          </w:p>
        </w:tc>
        <w:tc>
          <w:tcPr>
            <w:tcW w:w="8146" w:type="dxa"/>
            <w:gridSpan w:val="15"/>
            <w:noWrap/>
            <w:vAlign w:val="center"/>
          </w:tcPr>
          <w:p>
            <w:pPr>
              <w:autoSpaceDN w:val="0"/>
              <w:spacing w:line="320" w:lineRule="exact"/>
              <w:jc w:val="lef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被评为省妇联系统宣传工作先进单位、市三八红旗集体、县十佳人民调解组织、县扶贫工作先进单位、县信访工作先进集体、县禁毒工作先进集体</w:t>
            </w:r>
            <w:r>
              <w:rPr>
                <w:rFonts w:hint="eastAsia" w:ascii="仿宋_GB2312" w:hAnsi="仿宋_GB2312" w:eastAsia="仿宋_GB2312" w:cs="仿宋_GB2312"/>
                <w:color w:val="auto"/>
                <w:sz w:val="24"/>
                <w:lang w:eastAsia="zh-CN"/>
              </w:rPr>
              <w:t>。</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二、部门（单位）收支情况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年度收入情况（万元）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014" w:hRule="atLeast"/>
          <w:jc w:val="center"/>
        </w:trPr>
        <w:tc>
          <w:tcPr>
            <w:tcW w:w="1700" w:type="dxa"/>
            <w:gridSpan w:val="3"/>
            <w:vMerge w:val="continue"/>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上年结转</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公共财</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政拨款</w:t>
            </w:r>
          </w:p>
        </w:tc>
        <w:tc>
          <w:tcPr>
            <w:tcW w:w="1705"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政府基金拨款</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纳入专户管理的非税收入拨款</w:t>
            </w:r>
          </w:p>
        </w:tc>
        <w:tc>
          <w:tcPr>
            <w:tcW w:w="1080" w:type="dxa"/>
            <w:gridSpan w:val="3"/>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收入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772" w:hRule="atLeast"/>
          <w:jc w:val="center"/>
        </w:trPr>
        <w:tc>
          <w:tcPr>
            <w:tcW w:w="1700" w:type="dxa"/>
            <w:gridSpan w:val="3"/>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96.3</w:t>
            </w: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94.3</w:t>
            </w: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2</w:t>
            </w: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700" w:type="dxa"/>
            <w:gridSpan w:val="3"/>
            <w:noWrap/>
            <w:vAlign w:val="center"/>
          </w:tcPr>
          <w:p>
            <w:pPr>
              <w:spacing w:line="320" w:lineRule="exac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080" w:type="dxa"/>
            <w:tcBorders>
              <w:righ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355" w:type="dxa"/>
            <w:gridSpan w:val="2"/>
            <w:tcBorders>
              <w:left w:val="single" w:color="auto" w:sz="4" w:space="0"/>
            </w:tcBorders>
            <w:noWrap/>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080" w:type="dxa"/>
            <w:gridSpan w:val="2"/>
            <w:noWrap/>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705" w:type="dxa"/>
            <w:gridSpan w:val="2"/>
            <w:noWrap/>
            <w:vAlign w:val="center"/>
          </w:tcPr>
          <w:p>
            <w:pPr>
              <w:autoSpaceDN w:val="0"/>
              <w:spacing w:line="320" w:lineRule="exact"/>
              <w:jc w:val="left"/>
              <w:textAlignment w:val="center"/>
              <w:rPr>
                <w:rFonts w:ascii="仿宋_GB2312" w:hAnsi="仿宋_GB2312" w:eastAsia="仿宋_GB2312" w:cs="仿宋_GB2312"/>
                <w:color w:val="auto"/>
                <w:sz w:val="24"/>
              </w:rPr>
            </w:pPr>
          </w:p>
        </w:tc>
        <w:tc>
          <w:tcPr>
            <w:tcW w:w="180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3"/>
            <w:noWrap/>
            <w:vAlign w:val="center"/>
          </w:tcPr>
          <w:p>
            <w:pPr>
              <w:autoSpaceDN w:val="0"/>
              <w:spacing w:line="320" w:lineRule="exact"/>
              <w:jc w:val="lef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b/>
                <w:bCs/>
                <w:color w:val="auto"/>
                <w:sz w:val="24"/>
              </w:rPr>
              <w:t>部门（单位）年度支出和结余情况（万元）</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napToGrid w:val="0"/>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支出合计</w:t>
            </w:r>
          </w:p>
        </w:tc>
        <w:tc>
          <w:tcPr>
            <w:tcW w:w="5675" w:type="dxa"/>
            <w:gridSpan w:val="9"/>
            <w:tcBorders>
              <w:left w:val="single" w:color="auto" w:sz="4" w:space="0"/>
              <w:bottom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345" w:type="dxa"/>
            <w:gridSpan w:val="4"/>
            <w:tcBorders>
              <w:left w:val="single" w:color="auto" w:sz="4" w:space="0"/>
              <w:bottom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基本支出</w:t>
            </w:r>
          </w:p>
        </w:tc>
        <w:tc>
          <w:tcPr>
            <w:tcW w:w="3240" w:type="dxa"/>
            <w:gridSpan w:val="6"/>
            <w:tcBorders>
              <w:top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1080" w:type="dxa"/>
            <w:vMerge w:val="restart"/>
            <w:tcBorders>
              <w:top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项目支出</w:t>
            </w:r>
          </w:p>
        </w:tc>
        <w:tc>
          <w:tcPr>
            <w:tcW w:w="720" w:type="dxa"/>
            <w:gridSpan w:val="3"/>
            <w:vMerge w:val="restart"/>
            <w:tcBorders>
              <w:top w:val="single" w:color="auto" w:sz="4" w:space="0"/>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当年结余</w:t>
            </w:r>
          </w:p>
        </w:tc>
        <w:tc>
          <w:tcPr>
            <w:tcW w:w="625" w:type="dxa"/>
            <w:vMerge w:val="restart"/>
            <w:tcBorders>
              <w:top w:val="single" w:color="auto" w:sz="4" w:space="0"/>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累计结余</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人员支出</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公用支出</w:t>
            </w: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720" w:type="dxa"/>
            <w:gridSpan w:val="3"/>
            <w:vMerge w:val="continue"/>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77" w:hRule="atLeast"/>
          <w:jc w:val="center"/>
        </w:trPr>
        <w:tc>
          <w:tcPr>
            <w:tcW w:w="1700" w:type="dxa"/>
            <w:gridSpan w:val="3"/>
            <w:noWrap/>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96.3</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88.5</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43.8</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44.7</w:t>
            </w:r>
          </w:p>
        </w:tc>
        <w:tc>
          <w:tcPr>
            <w:tcW w:w="1080" w:type="dxa"/>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7.8</w:t>
            </w: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720" w:type="dxa"/>
            <w:gridSpan w:val="3"/>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625" w:type="dxa"/>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三公经费</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7020" w:type="dxa"/>
            <w:gridSpan w:val="13"/>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公务接待费</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公务用车运维费</w:t>
            </w: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公务用车购置费</w:t>
            </w: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因公出国费</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90" w:hRule="atLeast"/>
          <w:jc w:val="center"/>
        </w:trPr>
        <w:tc>
          <w:tcPr>
            <w:tcW w:w="1700" w:type="dxa"/>
            <w:gridSpan w:val="3"/>
            <w:noWrap/>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0.2</w:t>
            </w: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0.2</w:t>
            </w: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355" w:type="dxa"/>
            <w:gridSpan w:val="2"/>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1080"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160"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25" w:type="dxa"/>
            <w:gridSpan w:val="5"/>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restart"/>
            <w:noWrap/>
            <w:vAlign w:val="center"/>
          </w:tcPr>
          <w:p>
            <w:pPr>
              <w:spacing w:line="320" w:lineRule="exact"/>
              <w:jc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机构名称</w:t>
            </w:r>
          </w:p>
        </w:tc>
        <w:tc>
          <w:tcPr>
            <w:tcW w:w="1080" w:type="dxa"/>
            <w:vMerge w:val="restart"/>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固定资产</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合计</w:t>
            </w:r>
          </w:p>
        </w:tc>
        <w:tc>
          <w:tcPr>
            <w:tcW w:w="6079" w:type="dxa"/>
            <w:gridSpan w:val="11"/>
            <w:tcBorders>
              <w:left w:val="single" w:color="auto" w:sz="4" w:space="0"/>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其中：</w:t>
            </w:r>
          </w:p>
        </w:tc>
        <w:tc>
          <w:tcPr>
            <w:tcW w:w="941" w:type="dxa"/>
            <w:gridSpan w:val="2"/>
            <w:vMerge w:val="restart"/>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其他</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vMerge w:val="continue"/>
            <w:noWrap/>
            <w:vAlign w:val="center"/>
          </w:tcPr>
          <w:p>
            <w:pPr>
              <w:spacing w:line="320" w:lineRule="exact"/>
              <w:jc w:val="center"/>
              <w:rPr>
                <w:rFonts w:ascii="仿宋_GB2312" w:hAnsi="仿宋_GB2312" w:eastAsia="仿宋_GB2312" w:cs="仿宋_GB2312"/>
                <w:color w:val="auto"/>
                <w:sz w:val="24"/>
              </w:rPr>
            </w:pPr>
          </w:p>
        </w:tc>
        <w:tc>
          <w:tcPr>
            <w:tcW w:w="1080" w:type="dxa"/>
            <w:vMerge w:val="continue"/>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在用固定资产</w:t>
            </w:r>
          </w:p>
        </w:tc>
        <w:tc>
          <w:tcPr>
            <w:tcW w:w="3644" w:type="dxa"/>
            <w:gridSpan w:val="7"/>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出租固定资产</w:t>
            </w:r>
          </w:p>
        </w:tc>
        <w:tc>
          <w:tcPr>
            <w:tcW w:w="941" w:type="dxa"/>
            <w:gridSpan w:val="2"/>
            <w:vMerge w:val="continue"/>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55" w:hRule="atLeast"/>
          <w:jc w:val="center"/>
        </w:trPr>
        <w:tc>
          <w:tcPr>
            <w:tcW w:w="1700" w:type="dxa"/>
            <w:gridSpan w:val="3"/>
            <w:noWrap/>
            <w:vAlign w:val="center"/>
          </w:tcPr>
          <w:p>
            <w:pPr>
              <w:spacing w:line="320" w:lineRule="exact"/>
              <w:jc w:val="left"/>
              <w:rPr>
                <w:rFonts w:ascii="仿宋_GB2312" w:hAnsi="仿宋_GB2312" w:eastAsia="仿宋_GB2312" w:cs="仿宋_GB2312"/>
                <w:color w:val="auto"/>
                <w:sz w:val="24"/>
              </w:rPr>
            </w:pPr>
            <w:r>
              <w:rPr>
                <w:rFonts w:hint="eastAsia" w:ascii="仿宋_GB2312" w:hAnsi="仿宋_GB2312" w:eastAsia="仿宋_GB2312" w:cs="仿宋_GB2312"/>
                <w:color w:val="auto"/>
                <w:sz w:val="24"/>
              </w:rPr>
              <w:t>局机关及二级机构汇总</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10.7</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10.7</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、局机关</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10.7</w:t>
            </w: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ascii="仿宋_GB2312" w:hAnsi="仿宋_GB2312" w:eastAsia="仿宋_GB2312" w:cs="仿宋_GB2312"/>
                <w:color w:val="auto"/>
                <w:sz w:val="24"/>
              </w:rPr>
              <w:t>10.7</w:t>
            </w: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1</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24" w:hRule="atLeast"/>
          <w:jc w:val="center"/>
        </w:trPr>
        <w:tc>
          <w:tcPr>
            <w:tcW w:w="1700" w:type="dxa"/>
            <w:gridSpan w:val="3"/>
            <w:noWrap/>
            <w:vAlign w:val="center"/>
          </w:tcPr>
          <w:p>
            <w:pPr>
              <w:spacing w:line="320" w:lineRule="exact"/>
              <w:jc w:val="left"/>
              <w:rPr>
                <w:rFonts w:ascii="仿宋_GB2312" w:hAnsi="仿宋_GB2312" w:eastAsia="仿宋_GB2312" w:cs="仿宋_GB2312"/>
                <w:color w:val="auto"/>
                <w:sz w:val="24"/>
              </w:rPr>
            </w:pPr>
            <w:r>
              <w:rPr>
                <w:rFonts w:ascii="仿宋_GB2312" w:hAnsi="仿宋_GB2312" w:eastAsia="仿宋_GB2312" w:cs="仿宋_GB2312"/>
                <w:color w:val="auto"/>
                <w:sz w:val="24"/>
              </w:rPr>
              <w:t>3</w:t>
            </w:r>
            <w:r>
              <w:rPr>
                <w:rFonts w:hint="eastAsia" w:ascii="仿宋_GB2312" w:hAnsi="仿宋_GB2312" w:eastAsia="仿宋_GB2312" w:cs="仿宋_GB2312"/>
                <w:color w:val="auto"/>
                <w:sz w:val="24"/>
              </w:rPr>
              <w:t>、二级机构</w:t>
            </w:r>
            <w:r>
              <w:rPr>
                <w:rFonts w:ascii="仿宋_GB2312" w:hAnsi="仿宋_GB2312" w:eastAsia="仿宋_GB2312" w:cs="仿宋_GB2312"/>
                <w:color w:val="auto"/>
                <w:sz w:val="24"/>
              </w:rPr>
              <w:t>2</w:t>
            </w:r>
          </w:p>
        </w:tc>
        <w:tc>
          <w:tcPr>
            <w:tcW w:w="1080" w:type="dxa"/>
            <w:tcBorders>
              <w:righ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2435" w:type="dxa"/>
            <w:gridSpan w:val="4"/>
            <w:tcBorders>
              <w:left w:val="single" w:color="auto" w:sz="4" w:space="0"/>
            </w:tcBorders>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3644" w:type="dxa"/>
            <w:gridSpan w:val="7"/>
            <w:noWrap/>
            <w:vAlign w:val="center"/>
          </w:tcPr>
          <w:p>
            <w:pPr>
              <w:autoSpaceDN w:val="0"/>
              <w:spacing w:line="320" w:lineRule="exact"/>
              <w:jc w:val="center"/>
              <w:textAlignment w:val="center"/>
              <w:rPr>
                <w:rFonts w:ascii="仿宋_GB2312" w:hAnsi="仿宋_GB2312" w:eastAsia="仿宋_GB2312" w:cs="仿宋_GB2312"/>
                <w:color w:val="auto"/>
                <w:sz w:val="24"/>
              </w:rPr>
            </w:pPr>
          </w:p>
        </w:tc>
        <w:tc>
          <w:tcPr>
            <w:tcW w:w="941"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三、部门（单位）整体支出绩效自评情况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整体支出绩效定性目标及实施计划完成情况</w:t>
            </w:r>
          </w:p>
        </w:tc>
        <w:tc>
          <w:tcPr>
            <w:tcW w:w="3774" w:type="dxa"/>
            <w:gridSpan w:val="7"/>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预期目标</w:t>
            </w:r>
          </w:p>
        </w:tc>
        <w:tc>
          <w:tcPr>
            <w:tcW w:w="4585" w:type="dxa"/>
            <w:gridSpan w:val="9"/>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实际完成</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1172"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3774" w:type="dxa"/>
            <w:gridSpan w:val="7"/>
            <w:noWrap/>
            <w:vAlign w:val="center"/>
          </w:tcPr>
          <w:p>
            <w:pPr>
              <w:autoSpaceDN w:val="0"/>
              <w:spacing w:line="320" w:lineRule="exac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1</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参与疫情防控有为有位</w:t>
            </w:r>
          </w:p>
          <w:p>
            <w:pPr>
              <w:autoSpaceDN w:val="0"/>
              <w:spacing w:line="320" w:lineRule="exac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目标</w:t>
            </w:r>
            <w:r>
              <w:rPr>
                <w:rFonts w:ascii="仿宋_GB2312" w:hAnsi="仿宋_GB2312" w:eastAsia="仿宋_GB2312" w:cs="仿宋_GB2312"/>
                <w:color w:val="auto"/>
                <w:sz w:val="24"/>
              </w:rPr>
              <w:t>2</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val="en-US" w:eastAsia="zh-CN"/>
              </w:rPr>
              <w:t>帮扶困难群体扎实有效</w:t>
            </w:r>
          </w:p>
          <w:p>
            <w:pPr>
              <w:autoSpaceDN w:val="0"/>
              <w:spacing w:line="320" w:lineRule="exac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目标3：</w:t>
            </w:r>
            <w:r>
              <w:rPr>
                <w:rFonts w:hint="eastAsia" w:ascii="仿宋_GB2312" w:hAnsi="仿宋_GB2312" w:eastAsia="仿宋_GB2312" w:cs="仿宋_GB2312"/>
                <w:color w:val="auto"/>
                <w:sz w:val="24"/>
                <w:lang w:eastAsia="zh-CN"/>
              </w:rPr>
              <w:t>开展维权服务到位到家</w:t>
            </w:r>
          </w:p>
          <w:p>
            <w:pPr>
              <w:autoSpaceDN w:val="0"/>
              <w:spacing w:line="320" w:lineRule="exact"/>
              <w:jc w:val="left"/>
              <w:textAlignment w:val="center"/>
              <w:rPr>
                <w:rFonts w:hint="eastAsia" w:ascii="仿宋_GB2312" w:hAnsi="仿宋_GB2312" w:eastAsia="仿宋_GB2312" w:cs="仿宋_GB2312"/>
                <w:color w:val="auto"/>
                <w:sz w:val="24"/>
                <w:lang w:val="en-US" w:eastAsia="zh-CN"/>
              </w:rPr>
            </w:pPr>
            <w:r>
              <w:rPr>
                <w:rFonts w:hint="eastAsia" w:ascii="仿宋_GB2312" w:hAnsi="仿宋_GB2312" w:eastAsia="仿宋_GB2312" w:cs="仿宋_GB2312"/>
                <w:color w:val="auto"/>
                <w:sz w:val="24"/>
              </w:rPr>
              <w:t>目标4：</w:t>
            </w:r>
            <w:r>
              <w:rPr>
                <w:rFonts w:hint="eastAsia" w:ascii="仿宋_GB2312" w:hAnsi="仿宋_GB2312" w:eastAsia="仿宋_GB2312" w:cs="仿宋_GB2312"/>
                <w:color w:val="auto"/>
                <w:sz w:val="24"/>
                <w:lang w:val="en-US" w:eastAsia="zh-CN"/>
              </w:rPr>
              <w:t>家庭文明创建亮点纷呈</w:t>
            </w:r>
          </w:p>
          <w:p>
            <w:pPr>
              <w:autoSpaceDN w:val="0"/>
              <w:spacing w:line="320" w:lineRule="exact"/>
              <w:jc w:val="left"/>
              <w:textAlignment w:val="center"/>
              <w:rPr>
                <w:rFonts w:ascii="仿宋_GB2312" w:hAnsi="仿宋_GB2312" w:eastAsia="仿宋_GB2312" w:cs="仿宋_GB2312"/>
                <w:color w:val="auto"/>
                <w:sz w:val="24"/>
              </w:rPr>
            </w:pPr>
          </w:p>
        </w:tc>
        <w:tc>
          <w:tcPr>
            <w:tcW w:w="4585" w:type="dxa"/>
            <w:gridSpan w:val="9"/>
            <w:noWrap/>
            <w:vAlign w:val="center"/>
          </w:tcPr>
          <w:p>
            <w:pPr>
              <w:autoSpaceDN w:val="0"/>
              <w:spacing w:line="320" w:lineRule="exact"/>
              <w:jc w:val="both"/>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采取“线上+线下”相结合的方式，实现普法宣传“到位”又“到家”</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启动了“女童权益保护百场宣讲”活动，“女童权益保护知识讲座”通过网络直播的形式转播到了全县各中小学教室</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组织开展了“</w:t>
            </w:r>
            <w:r>
              <w:rPr>
                <w:rFonts w:hint="eastAsia" w:ascii="仿宋_GB2312" w:hAnsi="仿宋_GB2312" w:eastAsia="仿宋_GB2312" w:cs="仿宋_GB2312"/>
                <w:color w:val="auto"/>
                <w:sz w:val="24"/>
                <w:lang w:eastAsia="zh-CN"/>
              </w:rPr>
              <w:t>农村适龄妇女</w:t>
            </w:r>
            <w:r>
              <w:rPr>
                <w:rFonts w:hint="eastAsia" w:ascii="仿宋_GB2312" w:hAnsi="仿宋_GB2312" w:eastAsia="仿宋_GB2312" w:cs="仿宋_GB2312"/>
                <w:color w:val="auto"/>
                <w:sz w:val="24"/>
              </w:rPr>
              <w:t>两癌免费筛查”“关爱留守儿童</w:t>
            </w:r>
            <w:r>
              <w:rPr>
                <w:rFonts w:hint="eastAsia" w:ascii="仿宋_GB2312" w:hAnsi="仿宋_GB2312" w:eastAsia="仿宋_GB2312" w:cs="仿宋_GB2312"/>
                <w:color w:val="auto"/>
                <w:sz w:val="24"/>
                <w:lang w:val="en-US" w:eastAsia="zh-CN"/>
              </w:rPr>
              <w:t xml:space="preserve"> 读书活动进校园</w:t>
            </w:r>
            <w:r>
              <w:rPr>
                <w:rFonts w:hint="eastAsia" w:ascii="仿宋_GB2312" w:hAnsi="仿宋_GB2312" w:eastAsia="仿宋_GB2312" w:cs="仿宋_GB2312"/>
                <w:color w:val="auto"/>
                <w:sz w:val="24"/>
              </w:rPr>
              <w:t>”</w:t>
            </w:r>
            <w:r>
              <w:rPr>
                <w:rFonts w:hint="eastAsia" w:ascii="仿宋_GB2312" w:hAnsi="仿宋_GB2312" w:eastAsia="仿宋_GB2312" w:cs="仿宋_GB2312"/>
                <w:color w:val="auto"/>
                <w:sz w:val="24"/>
                <w:lang w:eastAsia="zh-CN"/>
              </w:rPr>
              <w:t>“户帮户亲帮亲</w:t>
            </w:r>
            <w:r>
              <w:rPr>
                <w:rFonts w:hint="eastAsia" w:ascii="仿宋_GB2312" w:hAnsi="仿宋_GB2312" w:eastAsia="仿宋_GB2312" w:cs="仿宋_GB2312"/>
                <w:color w:val="auto"/>
                <w:sz w:val="24"/>
                <w:lang w:val="en-US" w:eastAsia="zh-CN"/>
              </w:rPr>
              <w:t xml:space="preserve"> 我为贫困家庭添一物</w:t>
            </w:r>
            <w:r>
              <w:rPr>
                <w:rFonts w:hint="eastAsia" w:ascii="仿宋_GB2312" w:hAnsi="仿宋_GB2312" w:eastAsia="仿宋_GB2312" w:cs="仿宋_GB2312"/>
                <w:color w:val="auto"/>
                <w:sz w:val="24"/>
                <w:lang w:eastAsia="zh-CN"/>
              </w:rPr>
              <w:t>”</w:t>
            </w:r>
            <w:r>
              <w:rPr>
                <w:rFonts w:hint="eastAsia" w:ascii="仿宋_GB2312" w:hAnsi="仿宋_GB2312" w:eastAsia="仿宋_GB2312" w:cs="仿宋_GB2312"/>
                <w:color w:val="auto"/>
                <w:sz w:val="24"/>
              </w:rPr>
              <w:t>等活动，</w:t>
            </w:r>
            <w:r>
              <w:rPr>
                <w:rFonts w:hint="eastAsia" w:ascii="仿宋_GB2312" w:hAnsi="仿宋_GB2312" w:eastAsia="仿宋_GB2312" w:cs="仿宋_GB2312"/>
                <w:color w:val="auto"/>
                <w:sz w:val="24"/>
                <w:lang w:eastAsia="zh-CN"/>
              </w:rPr>
              <w:t>累计为</w:t>
            </w:r>
            <w:r>
              <w:rPr>
                <w:rFonts w:hint="eastAsia" w:ascii="仿宋_GB2312" w:hAnsi="仿宋_GB2312" w:eastAsia="仿宋_GB2312" w:cs="仿宋_GB2312"/>
                <w:color w:val="auto"/>
                <w:sz w:val="24"/>
                <w:lang w:val="en-US" w:eastAsia="zh-CN"/>
              </w:rPr>
              <w:t>360名留守儿童开展心理辅导，为198名留守儿童送去了价值5万多员的书籍和学习用品。全年完成了15532人次的两癌筛查任务，争取到35万元两癌救助金，为530户贫困妇女家庭送去慰问金3万余元，慰问物资8万余元，</w:t>
            </w:r>
            <w:r>
              <w:rPr>
                <w:rFonts w:hint="eastAsia" w:ascii="仿宋_GB2312" w:hAnsi="仿宋_GB2312" w:eastAsia="仿宋_GB2312" w:cs="仿宋_GB2312"/>
                <w:color w:val="auto"/>
                <w:sz w:val="24"/>
              </w:rPr>
              <w:t>帮助贫困群众解决实际问题</w:t>
            </w:r>
            <w:r>
              <w:rPr>
                <w:rFonts w:hint="eastAsia" w:ascii="仿宋_GB2312" w:hAnsi="仿宋_GB2312" w:eastAsia="仿宋_GB2312" w:cs="仿宋_GB2312"/>
                <w:color w:val="auto"/>
                <w:sz w:val="24"/>
                <w:lang w:val="en-US" w:eastAsia="zh-CN"/>
              </w:rPr>
              <w:t>100</w:t>
            </w:r>
            <w:r>
              <w:rPr>
                <w:rFonts w:hint="eastAsia" w:ascii="仿宋_GB2312" w:hAnsi="仿宋_GB2312" w:eastAsia="仿宋_GB2312" w:cs="仿宋_GB2312"/>
                <w:color w:val="auto"/>
                <w:sz w:val="24"/>
              </w:rPr>
              <w:t>余个。</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441" w:type="dxa"/>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整体支出</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绩效定量目标及实施计划完成情况</w:t>
            </w:r>
          </w:p>
        </w:tc>
        <w:tc>
          <w:tcPr>
            <w:tcW w:w="2966" w:type="dxa"/>
            <w:gridSpan w:val="6"/>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评价内容</w:t>
            </w:r>
          </w:p>
        </w:tc>
        <w:tc>
          <w:tcPr>
            <w:tcW w:w="2709" w:type="dxa"/>
            <w:gridSpan w:val="4"/>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绩效目标</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完成情况</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391"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产出目标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（部门工作实绩，包含上级部门和县委县政府布置的重点工作、实事任务等，根据部门实际进行调整细化）</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质量指标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w:t>
            </w:r>
            <w:r>
              <w:rPr>
                <w:rFonts w:hint="eastAsia" w:ascii="仿宋_GB2312" w:hAnsi="仿宋_GB2312" w:eastAsia="仿宋_GB2312" w:cs="仿宋_GB2312"/>
                <w:color w:val="auto"/>
                <w:sz w:val="24"/>
                <w:lang w:val="en-US" w:eastAsia="zh-CN"/>
              </w:rPr>
              <w:t>参与疫情防控有为有位</w:t>
            </w:r>
            <w:r>
              <w:rPr>
                <w:rFonts w:hint="eastAsia" w:ascii="仿宋_GB2312" w:hAnsi="仿宋_GB2312" w:eastAsia="仿宋_GB2312" w:cs="仿宋_GB2312"/>
                <w:color w:val="auto"/>
                <w:sz w:val="24"/>
              </w:rPr>
              <w:t>”</w:t>
            </w:r>
          </w:p>
          <w:p>
            <w:pPr>
              <w:autoSpaceDN w:val="0"/>
              <w:spacing w:line="320" w:lineRule="exact"/>
              <w:jc w:val="left"/>
              <w:textAlignment w:val="center"/>
              <w:rPr>
                <w:rFonts w:ascii="仿宋_GB2312" w:hAnsi="仿宋_GB2312" w:eastAsia="仿宋_GB2312" w:cs="仿宋_GB2312"/>
                <w:color w:val="auto"/>
                <w:sz w:val="24"/>
              </w:rPr>
            </w:pPr>
          </w:p>
        </w:tc>
        <w:tc>
          <w:tcPr>
            <w:tcW w:w="2684" w:type="dxa"/>
            <w:gridSpan w:val="6"/>
            <w:vMerge w:val="restart"/>
            <w:noWrap/>
            <w:vAlign w:val="center"/>
          </w:tcPr>
          <w:p>
            <w:pPr>
              <w:autoSpaceDN w:val="0"/>
              <w:spacing w:line="30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lang w:val="en-US" w:eastAsia="zh-CN"/>
              </w:rPr>
              <w:t>通过开展巾帼志愿服务、致敬“最美巾帼逆行者”主题宣传活动、慰问一线医务人员、筹款、筹物、助力复工复产、开设24小时心理援助热线等方式，组织动员全县各级妇联组织和妇联执委积极助力抗击疫情，共募集善款5万元、口罩2000只、慰问物资20多万元，慰问一线防疫工作者、隔离点未成年120余人。</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802"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数量指标</w:t>
            </w:r>
          </w:p>
        </w:tc>
        <w:tc>
          <w:tcPr>
            <w:tcW w:w="2709" w:type="dxa"/>
            <w:gridSpan w:val="4"/>
            <w:noWrap/>
            <w:vAlign w:val="center"/>
          </w:tcPr>
          <w:p>
            <w:pPr>
              <w:autoSpaceDN w:val="0"/>
              <w:spacing w:line="3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指标：农村适龄妇女两癌免费检查</w:t>
            </w:r>
          </w:p>
          <w:p>
            <w:pPr>
              <w:autoSpaceDN w:val="0"/>
              <w:spacing w:line="320" w:lineRule="exact"/>
              <w:jc w:val="left"/>
              <w:textAlignment w:val="center"/>
              <w:rPr>
                <w:rFonts w:ascii="仿宋_GB2312" w:hAnsi="仿宋_GB2312" w:eastAsia="仿宋_GB2312" w:cs="仿宋_GB2312"/>
                <w:color w:val="auto"/>
                <w:sz w:val="24"/>
              </w:rPr>
            </w:pPr>
          </w:p>
        </w:tc>
        <w:tc>
          <w:tcPr>
            <w:tcW w:w="2684" w:type="dxa"/>
            <w:gridSpan w:val="6"/>
            <w:noWrap/>
            <w:vAlign w:val="center"/>
          </w:tcPr>
          <w:p>
            <w:pPr>
              <w:autoSpaceDN w:val="0"/>
              <w:spacing w:line="3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完成了15532人次两癌免费检查。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27"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时效指标</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指标:年度内完成支付</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年度内完成支付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82"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成本指标</w:t>
            </w:r>
          </w:p>
        </w:tc>
        <w:tc>
          <w:tcPr>
            <w:tcW w:w="2709" w:type="dxa"/>
            <w:gridSpan w:val="4"/>
            <w:vMerge w:val="restart"/>
            <w:noWrap/>
            <w:vAlign w:val="center"/>
          </w:tcPr>
          <w:p>
            <w:pPr>
              <w:autoSpaceDN w:val="0"/>
              <w:spacing w:line="30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指标：预算内控制成本</w:t>
            </w:r>
          </w:p>
        </w:tc>
        <w:tc>
          <w:tcPr>
            <w:tcW w:w="2684" w:type="dxa"/>
            <w:gridSpan w:val="6"/>
            <w:noWrap/>
            <w:vAlign w:val="center"/>
          </w:tcPr>
          <w:p>
            <w:pPr>
              <w:autoSpaceDN w:val="0"/>
              <w:spacing w:line="320" w:lineRule="exact"/>
              <w:jc w:val="center"/>
              <w:textAlignment w:val="center"/>
              <w:rPr>
                <w:rFonts w:ascii="仿宋_GB2312" w:hAnsi="仿宋_GB2312" w:eastAsia="仿宋_GB2312" w:cs="仿宋_GB2312"/>
                <w:b/>
                <w:color w:val="auto"/>
                <w:sz w:val="24"/>
              </w:rPr>
            </w:pPr>
            <w:r>
              <w:rPr>
                <w:rFonts w:hint="eastAsia" w:ascii="仿宋_GB2312" w:hAnsi="仿宋_GB2312" w:eastAsia="仿宋_GB2312" w:cs="仿宋_GB2312"/>
                <w:color w:val="auto"/>
                <w:sz w:val="24"/>
              </w:rPr>
              <w:t>预算内控制成本</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restart"/>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效益目标</w:t>
            </w:r>
          </w:p>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（预期实现的效益）</w:t>
            </w:r>
          </w:p>
        </w:tc>
        <w:tc>
          <w:tcPr>
            <w:tcW w:w="1417"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社会效益</w:t>
            </w:r>
          </w:p>
        </w:tc>
        <w:tc>
          <w:tcPr>
            <w:tcW w:w="2709" w:type="dxa"/>
            <w:gridSpan w:val="4"/>
            <w:noWrap/>
            <w:vAlign w:val="center"/>
          </w:tcPr>
          <w:p>
            <w:pPr>
              <w:autoSpaceDN w:val="0"/>
              <w:spacing w:line="300" w:lineRule="exac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指标1：展示家庭文明新风貌</w:t>
            </w:r>
          </w:p>
          <w:p>
            <w:pPr>
              <w:autoSpaceDN w:val="0"/>
              <w:spacing w:line="300" w:lineRule="exact"/>
              <w:jc w:val="center"/>
              <w:textAlignment w:val="center"/>
              <w:rPr>
                <w:rFonts w:ascii="仿宋_GB2312" w:hAnsi="仿宋_GB2312" w:eastAsia="仿宋_GB2312" w:cs="仿宋_GB2312"/>
                <w:color w:val="auto"/>
                <w:sz w:val="24"/>
              </w:rPr>
            </w:pPr>
          </w:p>
        </w:tc>
        <w:tc>
          <w:tcPr>
            <w:tcW w:w="2684" w:type="dxa"/>
            <w:gridSpan w:val="6"/>
            <w:noWrap/>
            <w:vAlign w:val="center"/>
          </w:tcPr>
          <w:p>
            <w:pPr>
              <w:autoSpaceDN w:val="0"/>
              <w:spacing w:line="300" w:lineRule="exac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县妇联在全县范围内开展了“最美家庭”评选活动，评选出了</w:t>
            </w:r>
            <w:r>
              <w:rPr>
                <w:rFonts w:hint="eastAsia" w:ascii="仿宋_GB2312" w:hAnsi="仿宋_GB2312" w:eastAsia="仿宋_GB2312" w:cs="仿宋_GB2312"/>
                <w:color w:val="auto"/>
                <w:sz w:val="24"/>
                <w:lang w:val="en-US" w:eastAsia="zh-CN"/>
              </w:rPr>
              <w:t>10</w:t>
            </w:r>
            <w:r>
              <w:rPr>
                <w:rFonts w:hint="eastAsia" w:ascii="仿宋_GB2312" w:hAnsi="仿宋_GB2312" w:eastAsia="仿宋_GB2312" w:cs="仿宋_GB2312"/>
                <w:color w:val="auto"/>
                <w:sz w:val="24"/>
              </w:rPr>
              <w:t>户“最美家庭”</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50"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20" w:lineRule="exact"/>
              <w:jc w:val="lef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经济效益</w:t>
            </w:r>
          </w:p>
        </w:tc>
        <w:tc>
          <w:tcPr>
            <w:tcW w:w="2709" w:type="dxa"/>
            <w:gridSpan w:val="4"/>
            <w:noWrap/>
            <w:vAlign w:val="center"/>
          </w:tcPr>
          <w:p>
            <w:pPr>
              <w:autoSpaceDN w:val="0"/>
              <w:spacing w:line="320" w:lineRule="exact"/>
              <w:jc w:val="left"/>
              <w:textAlignment w:val="center"/>
              <w:rPr>
                <w:rFonts w:ascii="仿宋_GB2312" w:hAnsi="仿宋_GB2312" w:eastAsia="仿宋_GB2312" w:cs="仿宋_GB2312"/>
                <w:color w:val="auto"/>
                <w:sz w:val="24"/>
              </w:rPr>
            </w:pPr>
          </w:p>
        </w:tc>
        <w:tc>
          <w:tcPr>
            <w:tcW w:w="2684" w:type="dxa"/>
            <w:gridSpan w:val="6"/>
            <w:noWrap/>
            <w:vAlign w:val="center"/>
          </w:tcPr>
          <w:p>
            <w:pPr>
              <w:autoSpaceDN w:val="0"/>
              <w:spacing w:line="300" w:lineRule="exact"/>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00" w:lineRule="exac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生态效益</w:t>
            </w:r>
          </w:p>
        </w:tc>
        <w:tc>
          <w:tcPr>
            <w:tcW w:w="2709" w:type="dxa"/>
            <w:gridSpan w:val="4"/>
            <w:noWrap/>
            <w:vAlign w:val="center"/>
          </w:tcPr>
          <w:p>
            <w:pPr>
              <w:autoSpaceDN w:val="0"/>
              <w:spacing w:line="300" w:lineRule="exact"/>
              <w:textAlignment w:val="center"/>
              <w:rPr>
                <w:rFonts w:hint="eastAsia" w:ascii="仿宋_GB2312" w:hAnsi="仿宋_GB2312" w:eastAsia="仿宋_GB2312" w:cs="仿宋_GB2312"/>
                <w:color w:val="auto"/>
                <w:sz w:val="24"/>
                <w:lang w:eastAsia="zh-CN"/>
              </w:rPr>
            </w:pPr>
            <w:r>
              <w:rPr>
                <w:rFonts w:hint="eastAsia" w:ascii="仿宋_GB2312" w:hAnsi="仿宋_GB2312" w:eastAsia="仿宋_GB2312" w:cs="仿宋_GB2312"/>
                <w:color w:val="auto"/>
                <w:sz w:val="24"/>
              </w:rPr>
              <w:t>指标1</w:t>
            </w:r>
            <w:r>
              <w:rPr>
                <w:rFonts w:hint="eastAsia" w:ascii="仿宋_GB2312" w:hAnsi="仿宋_GB2312" w:eastAsia="仿宋_GB2312" w:cs="仿宋_GB2312"/>
                <w:color w:val="auto"/>
                <w:sz w:val="24"/>
                <w:lang w:eastAsia="zh-CN"/>
              </w:rPr>
              <w:t>：改善居民生活方式</w:t>
            </w:r>
          </w:p>
          <w:p>
            <w:pPr>
              <w:autoSpaceDN w:val="0"/>
              <w:spacing w:line="300" w:lineRule="exact"/>
              <w:textAlignment w:val="center"/>
              <w:rPr>
                <w:rFonts w:ascii="仿宋_GB2312" w:hAnsi="仿宋_GB2312" w:eastAsia="仿宋_GB2312" w:cs="仿宋_GB2312"/>
                <w:color w:val="auto"/>
                <w:sz w:val="24"/>
              </w:rPr>
            </w:pPr>
          </w:p>
        </w:tc>
        <w:tc>
          <w:tcPr>
            <w:tcW w:w="2684" w:type="dxa"/>
            <w:gridSpan w:val="6"/>
            <w:noWrap/>
            <w:vAlign w:val="center"/>
          </w:tcPr>
          <w:p>
            <w:pPr>
              <w:autoSpaceDN w:val="0"/>
              <w:spacing w:line="300" w:lineRule="exac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为净化绿化美化环境，助力打赢新冠肺炎疫情阻击战，华容县妇联先后向全县各级妇联组织、广大妇女姐妹发出“美家美妇齐行动 共建共享好家园”“垃圾分类总动员 家庭生活新风尚”“积极响应‘用餐改革’行动”等倡议书，全县各级妇联组织、巾帼志愿积极响应，在抗击疫情的同时，也为扮靓华容贡献“她”力量。</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54" w:hRule="atLeast"/>
          <w:jc w:val="center"/>
        </w:trPr>
        <w:tc>
          <w:tcPr>
            <w:tcW w:w="1441" w:type="dxa"/>
            <w:vMerge w:val="continue"/>
            <w:noWrap/>
            <w:vAlign w:val="center"/>
          </w:tcPr>
          <w:p>
            <w:pPr>
              <w:spacing w:line="320" w:lineRule="exact"/>
              <w:rPr>
                <w:rFonts w:ascii="仿宋_GB2312" w:hAnsi="仿宋_GB2312" w:eastAsia="仿宋_GB2312" w:cs="仿宋_GB2312"/>
                <w:color w:val="auto"/>
                <w:sz w:val="24"/>
              </w:rPr>
            </w:pPr>
          </w:p>
        </w:tc>
        <w:tc>
          <w:tcPr>
            <w:tcW w:w="1549" w:type="dxa"/>
            <w:gridSpan w:val="4"/>
            <w:vMerge w:val="continue"/>
            <w:noWrap/>
            <w:vAlign w:val="center"/>
          </w:tcPr>
          <w:p>
            <w:pPr>
              <w:autoSpaceDN w:val="0"/>
              <w:spacing w:line="320" w:lineRule="exact"/>
              <w:rPr>
                <w:rFonts w:ascii="仿宋_GB2312" w:hAnsi="仿宋_GB2312" w:eastAsia="仿宋_GB2312" w:cs="仿宋_GB2312"/>
                <w:color w:val="auto"/>
                <w:sz w:val="24"/>
              </w:rPr>
            </w:pPr>
          </w:p>
        </w:tc>
        <w:tc>
          <w:tcPr>
            <w:tcW w:w="1417" w:type="dxa"/>
            <w:gridSpan w:val="2"/>
            <w:noWrap/>
            <w:vAlign w:val="center"/>
          </w:tcPr>
          <w:p>
            <w:pPr>
              <w:autoSpaceDN w:val="0"/>
              <w:spacing w:line="300" w:lineRule="exac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社会公众或服务对象满意度</w:t>
            </w:r>
          </w:p>
        </w:tc>
        <w:tc>
          <w:tcPr>
            <w:tcW w:w="2709" w:type="dxa"/>
            <w:gridSpan w:val="4"/>
            <w:noWrap/>
            <w:vAlign w:val="center"/>
          </w:tcPr>
          <w:p>
            <w:pPr>
              <w:autoSpaceDN w:val="0"/>
              <w:spacing w:line="300" w:lineRule="exac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指标：社会公众或者服务对象满意度。</w:t>
            </w:r>
          </w:p>
        </w:tc>
        <w:tc>
          <w:tcPr>
            <w:tcW w:w="2684" w:type="dxa"/>
            <w:gridSpan w:val="6"/>
            <w:noWrap/>
            <w:vAlign w:val="center"/>
          </w:tcPr>
          <w:p>
            <w:pPr>
              <w:autoSpaceDN w:val="0"/>
              <w:spacing w:line="300" w:lineRule="exac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95%以上</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475" w:hRule="atLeast"/>
          <w:jc w:val="center"/>
        </w:trPr>
        <w:tc>
          <w:tcPr>
            <w:tcW w:w="2990" w:type="dxa"/>
            <w:gridSpan w:val="5"/>
            <w:noWrap/>
            <w:vAlign w:val="center"/>
          </w:tcPr>
          <w:p>
            <w:pPr>
              <w:autoSpaceDN w:val="0"/>
              <w:spacing w:line="3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绩效自评综合得分</w:t>
            </w:r>
          </w:p>
        </w:tc>
        <w:tc>
          <w:tcPr>
            <w:tcW w:w="6810" w:type="dxa"/>
            <w:gridSpan w:val="12"/>
            <w:noWrap/>
            <w:vAlign w:val="center"/>
          </w:tcPr>
          <w:p>
            <w:pPr>
              <w:autoSpaceDN w:val="0"/>
              <w:spacing w:line="300" w:lineRule="exac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97</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2990" w:type="dxa"/>
            <w:gridSpan w:val="5"/>
            <w:noWrap/>
            <w:vAlign w:val="center"/>
          </w:tcPr>
          <w:p>
            <w:pPr>
              <w:autoSpaceDN w:val="0"/>
              <w:spacing w:line="30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评价等次</w:t>
            </w:r>
          </w:p>
        </w:tc>
        <w:tc>
          <w:tcPr>
            <w:tcW w:w="6810" w:type="dxa"/>
            <w:gridSpan w:val="12"/>
            <w:noWrap/>
            <w:vAlign w:val="center"/>
          </w:tcPr>
          <w:p>
            <w:pPr>
              <w:autoSpaceDN w:val="0"/>
              <w:spacing w:line="300" w:lineRule="exact"/>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优秀</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9800" w:type="dxa"/>
            <w:gridSpan w:val="17"/>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黑体" w:hAnsi="黑体" w:eastAsia="黑体" w:cs="黑体"/>
                <w:color w:val="auto"/>
                <w:sz w:val="28"/>
                <w:szCs w:val="28"/>
              </w:rPr>
              <w:t>四、评价人员</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567"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姓名</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职务</w:t>
            </w:r>
            <w:r>
              <w:rPr>
                <w:rFonts w:ascii="仿宋_GB2312" w:hAnsi="仿宋_GB2312" w:eastAsia="仿宋_GB2312" w:cs="仿宋_GB2312"/>
                <w:color w:val="auto"/>
                <w:sz w:val="24"/>
              </w:rPr>
              <w:t>/</w:t>
            </w:r>
            <w:r>
              <w:rPr>
                <w:rFonts w:hint="eastAsia" w:ascii="仿宋_GB2312" w:hAnsi="仿宋_GB2312" w:eastAsia="仿宋_GB2312" w:cs="仿宋_GB2312"/>
                <w:color w:val="auto"/>
                <w:sz w:val="24"/>
              </w:rPr>
              <w:t>职称</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单位</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签字</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徐敏</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县妇联主席</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auto"/>
                <w:sz w:val="24"/>
              </w:rPr>
            </w:pPr>
            <w:r>
              <w:rPr>
                <w:rFonts w:hint="eastAsia" w:ascii="仿宋_GB2312" w:hAnsi="仿宋_GB2312" w:eastAsia="仿宋_GB2312" w:cs="仿宋_GB2312"/>
                <w:color w:val="auto"/>
                <w:sz w:val="24"/>
              </w:rPr>
              <w:t>县妇联</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auto"/>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sz w:val="24"/>
              </w:rPr>
              <w:t>付丽琼</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sz w:val="24"/>
              </w:rPr>
              <w:t>县妇联副主席</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sz w:val="24"/>
              </w:rPr>
              <w:t>县妇联</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sz w:val="24"/>
              </w:rPr>
              <w:t>周晓辉</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sz w:val="24"/>
              </w:rPr>
              <w:t>县妇联副主席</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sz w:val="24"/>
              </w:rPr>
              <w:t>县妇联</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680" w:hRule="atLeast"/>
          <w:jc w:val="center"/>
        </w:trPr>
        <w:tc>
          <w:tcPr>
            <w:tcW w:w="1654" w:type="dxa"/>
            <w:gridSpan w:val="2"/>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sz w:val="24"/>
              </w:rPr>
              <w:t>孙莹</w:t>
            </w:r>
          </w:p>
        </w:tc>
        <w:tc>
          <w:tcPr>
            <w:tcW w:w="3561" w:type="dxa"/>
            <w:gridSpan w:val="6"/>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sz w:val="24"/>
              </w:rPr>
              <w:t>县妇联出纳</w:t>
            </w:r>
          </w:p>
        </w:tc>
        <w:tc>
          <w:tcPr>
            <w:tcW w:w="1479" w:type="dxa"/>
            <w:noWrap/>
            <w:vAlign w:val="center"/>
          </w:tcPr>
          <w:p>
            <w:pPr>
              <w:autoSpaceDN w:val="0"/>
              <w:spacing w:line="320" w:lineRule="exact"/>
              <w:jc w:val="center"/>
              <w:textAlignment w:val="center"/>
              <w:rPr>
                <w:rFonts w:ascii="仿宋_GB2312" w:hAnsi="仿宋_GB2312" w:eastAsia="仿宋_GB2312" w:cs="仿宋_GB2312"/>
                <w:color w:val="FF0000"/>
                <w:sz w:val="24"/>
              </w:rPr>
            </w:pPr>
            <w:r>
              <w:rPr>
                <w:rFonts w:hint="eastAsia" w:ascii="仿宋_GB2312" w:hAnsi="仿宋_GB2312" w:eastAsia="仿宋_GB2312" w:cs="仿宋_GB2312"/>
                <w:sz w:val="24"/>
              </w:rPr>
              <w:t>县妇联</w:t>
            </w:r>
          </w:p>
        </w:tc>
        <w:tc>
          <w:tcPr>
            <w:tcW w:w="3106" w:type="dxa"/>
            <w:gridSpan w:val="8"/>
            <w:noWrap/>
            <w:vAlign w:val="center"/>
          </w:tcPr>
          <w:p>
            <w:pPr>
              <w:autoSpaceDN w:val="0"/>
              <w:spacing w:line="320" w:lineRule="exact"/>
              <w:jc w:val="center"/>
              <w:textAlignment w:val="center"/>
              <w:rPr>
                <w:rFonts w:ascii="仿宋_GB2312" w:hAnsi="仿宋_GB2312" w:eastAsia="仿宋_GB2312" w:cs="仿宋_GB2312"/>
                <w:color w:val="FF0000"/>
                <w:sz w:val="24"/>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评价组组长（签字）：</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22" w:hRule="atLeast"/>
          <w:jc w:val="center"/>
        </w:trPr>
        <w:tc>
          <w:tcPr>
            <w:tcW w:w="9800" w:type="dxa"/>
            <w:gridSpan w:val="17"/>
            <w:noWrap/>
            <w:vAlign w:val="center"/>
          </w:tcPr>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部门（单位）意见：</w:t>
            </w: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部门（单位）负责人（签章）：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ascii="仿宋_GB2312" w:hAnsi="仿宋_GB2312" w:eastAsia="仿宋_GB2312" w:cs="仿宋_GB2312"/>
                <w:color w:val="000000"/>
                <w:sz w:val="24"/>
              </w:rPr>
              <w:t>年月日</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5" w:type="dxa"/>
            <w:bottom w:w="0" w:type="dxa"/>
            <w:right w:w="15" w:type="dxa"/>
          </w:tblCellMar>
        </w:tblPrEx>
        <w:trPr>
          <w:trHeight w:val="2794" w:hRule="atLeast"/>
          <w:jc w:val="center"/>
        </w:trPr>
        <w:tc>
          <w:tcPr>
            <w:tcW w:w="9800" w:type="dxa"/>
            <w:gridSpan w:val="17"/>
            <w:noWrap/>
            <w:vAlign w:val="center"/>
          </w:tcPr>
          <w:p>
            <w:pPr>
              <w:spacing w:line="320" w:lineRule="exact"/>
              <w:rPr>
                <w:rFonts w:eastAsia="仿宋_GB2312"/>
                <w:sz w:val="24"/>
              </w:rPr>
            </w:pPr>
            <w:r>
              <w:rPr>
                <w:rFonts w:hint="eastAsia" w:eastAsia="仿宋_GB2312"/>
                <w:sz w:val="24"/>
              </w:rPr>
              <w:t>财政部门归口业务科室意见：</w:t>
            </w: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p>
          <w:p>
            <w:pPr>
              <w:spacing w:line="320" w:lineRule="exact"/>
              <w:rPr>
                <w:rFonts w:eastAsia="仿宋_GB2312"/>
                <w:sz w:val="24"/>
              </w:rPr>
            </w:pPr>
            <w:r>
              <w:rPr>
                <w:rFonts w:hint="eastAsia" w:eastAsia="仿宋_GB2312"/>
                <w:sz w:val="24"/>
              </w:rPr>
              <w:t>财政部门归口业务科室负责人（签章）：</w:t>
            </w:r>
          </w:p>
          <w:p>
            <w:pPr>
              <w:autoSpaceDN w:val="0"/>
              <w:spacing w:line="320" w:lineRule="exact"/>
              <w:jc w:val="left"/>
              <w:textAlignment w:val="center"/>
              <w:rPr>
                <w:rFonts w:ascii="仿宋_GB2312" w:hAnsi="仿宋_GB2312" w:eastAsia="仿宋_GB2312" w:cs="仿宋_GB2312"/>
                <w:color w:val="000000"/>
                <w:sz w:val="24"/>
              </w:rPr>
            </w:pPr>
            <w:r>
              <w:rPr>
                <w:rFonts w:hint="eastAsia" w:eastAsia="仿宋_GB2312"/>
                <w:sz w:val="24"/>
              </w:rPr>
              <w:t>年月日</w:t>
            </w:r>
          </w:p>
        </w:tc>
      </w:tr>
    </w:tbl>
    <w:p>
      <w:pPr>
        <w:rPr>
          <w:rFonts w:eastAsia="仿宋_GB2312" w:cs="仿宋_GB2312"/>
          <w:bCs/>
          <w:sz w:val="28"/>
          <w:szCs w:val="28"/>
        </w:rPr>
      </w:pPr>
      <w:r>
        <w:rPr>
          <w:rFonts w:hint="eastAsia" w:eastAsia="仿宋_GB2312" w:cs="仿宋_GB2312"/>
          <w:bCs/>
          <w:sz w:val="28"/>
          <w:szCs w:val="28"/>
        </w:rPr>
        <w:t>填报人（签名）：                        联系电话：</w:t>
      </w:r>
    </w:p>
    <w:tbl>
      <w:tblPr>
        <w:tblStyle w:val="8"/>
        <w:tblW w:w="9558" w:type="dxa"/>
        <w:jc w:val="center"/>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58"/>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12998" w:hRule="atLeast"/>
          <w:jc w:val="center"/>
        </w:trPr>
        <w:tc>
          <w:tcPr>
            <w:tcW w:w="9558" w:type="dxa"/>
            <w:noWrap/>
          </w:tcPr>
          <w:p>
            <w:pPr>
              <w:jc w:val="center"/>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五、评价报告综述（文字部分）</w:t>
            </w:r>
          </w:p>
          <w:p>
            <w:pPr>
              <w:spacing w:line="440" w:lineRule="exact"/>
              <w:ind w:firstLine="560" w:firstLineChars="200"/>
              <w:rPr>
                <w:rFonts w:ascii="仿宋_GB2312" w:hAnsi="宋体" w:eastAsia="仿宋_GB2312" w:cs="宋体"/>
                <w:sz w:val="28"/>
                <w:szCs w:val="28"/>
                <w:shd w:val="clear" w:color="auto" w:fill="FFFFFF"/>
              </w:rPr>
            </w:pP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一、部门（单位）概况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（一）部门（单位）基本情况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单位为财政全额预算拨款单位，核定人员编制</w:t>
            </w:r>
            <w:r>
              <w:rPr>
                <w:rFonts w:ascii="仿宋_GB2312" w:hAnsi="宋体" w:eastAsia="仿宋_GB2312" w:cs="宋体"/>
                <w:sz w:val="28"/>
                <w:szCs w:val="28"/>
                <w:shd w:val="clear" w:color="auto" w:fill="FFFFFF"/>
              </w:rPr>
              <w:t>4</w:t>
            </w:r>
            <w:r>
              <w:rPr>
                <w:rFonts w:hint="eastAsia" w:ascii="仿宋_GB2312" w:hAnsi="宋体" w:eastAsia="仿宋_GB2312" w:cs="宋体"/>
                <w:sz w:val="28"/>
                <w:szCs w:val="28"/>
                <w:shd w:val="clear" w:color="auto" w:fill="FFFFFF"/>
              </w:rPr>
              <w:t>人，实有人数为</w:t>
            </w:r>
            <w:r>
              <w:rPr>
                <w:rFonts w:ascii="仿宋_GB2312" w:hAnsi="宋体" w:eastAsia="仿宋_GB2312" w:cs="宋体"/>
                <w:sz w:val="28"/>
                <w:szCs w:val="28"/>
                <w:shd w:val="clear" w:color="auto" w:fill="FFFFFF"/>
              </w:rPr>
              <w:t>4</w:t>
            </w:r>
            <w:r>
              <w:rPr>
                <w:rFonts w:hint="eastAsia" w:ascii="仿宋_GB2312" w:hAnsi="宋体" w:eastAsia="仿宋_GB2312" w:cs="宋体"/>
                <w:sz w:val="28"/>
                <w:szCs w:val="28"/>
                <w:shd w:val="clear" w:color="auto" w:fill="FFFFFF"/>
              </w:rPr>
              <w:t>人。</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）职责职能：</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、宣传、贯彻党的基本路线、方针、政策，团结动员广大妇女投身社会主义现代化建设，促进经济发展和社会进步。</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、根据党的中心任务，指导下属各级妇联组织依据《中华全国妇女联合会章程》和妇女代表大会的决议开展妇女儿童工作，加强与各团体会员间的关系，并予以业务指导。</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、教育、引导妇女增强自尊、自信、自立、自强的精神，组织开展家庭文明建设活动，促进社会主义精神文明建设。</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4</w:t>
            </w:r>
            <w:r>
              <w:rPr>
                <w:rFonts w:hint="eastAsia" w:ascii="仿宋_GB2312" w:hAnsi="宋体" w:eastAsia="仿宋_GB2312" w:cs="宋体"/>
                <w:sz w:val="28"/>
                <w:szCs w:val="28"/>
                <w:shd w:val="clear" w:color="auto" w:fill="FFFFFF"/>
              </w:rPr>
              <w:t>、调查研究全县各乡镇、各行业妇女儿童的情况和问题，及时向县委、县政府反映，提出合理化建议。推动《妇女发展规划的实施。</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5</w:t>
            </w:r>
            <w:r>
              <w:rPr>
                <w:rFonts w:hint="eastAsia" w:ascii="仿宋_GB2312" w:hAnsi="宋体" w:eastAsia="仿宋_GB2312" w:cs="宋体"/>
                <w:sz w:val="28"/>
                <w:szCs w:val="28"/>
                <w:shd w:val="clear" w:color="auto" w:fill="FFFFFF"/>
              </w:rPr>
              <w:t>、指导各级妇联做好宣传舆论工作，及时发现、培养、推介、表彰各行各业的先进妇女典型。协助组织部门做好女干部的培养、教育、考察、推荐工作，促进妇女人才的成长</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6</w:t>
            </w:r>
            <w:r>
              <w:rPr>
                <w:rFonts w:hint="eastAsia" w:ascii="仿宋_GB2312" w:hAnsi="宋体" w:eastAsia="仿宋_GB2312" w:cs="宋体"/>
                <w:sz w:val="28"/>
                <w:szCs w:val="28"/>
                <w:shd w:val="clear" w:color="auto" w:fill="FFFFFF"/>
              </w:rPr>
              <w:t>、动员全县妇女参与社会事务和民主管理、民主监督，切实维护妇女儿童的合法权益。</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7</w:t>
            </w:r>
            <w:r>
              <w:rPr>
                <w:rFonts w:hint="eastAsia" w:ascii="仿宋_GB2312" w:hAnsi="宋体" w:eastAsia="仿宋_GB2312" w:cs="宋体"/>
                <w:sz w:val="28"/>
                <w:szCs w:val="28"/>
                <w:shd w:val="clear" w:color="auto" w:fill="FFFFFF"/>
              </w:rPr>
              <w:t>、加强与社会各界的联系，协调和推动社会各界为妇女儿童办实事、办好事。</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8</w:t>
            </w:r>
            <w:r>
              <w:rPr>
                <w:rFonts w:hint="eastAsia" w:ascii="仿宋_GB2312" w:hAnsi="宋体" w:eastAsia="仿宋_GB2312" w:cs="宋体"/>
                <w:sz w:val="28"/>
                <w:szCs w:val="28"/>
                <w:shd w:val="clear" w:color="auto" w:fill="FFFFFF"/>
              </w:rPr>
              <w:t>、推动《中国儿童发展纲要》的实施，加强自办园所及阵地活动的管理与指导。</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9</w:t>
            </w:r>
            <w:r>
              <w:rPr>
                <w:rFonts w:hint="eastAsia" w:ascii="仿宋_GB2312" w:hAnsi="宋体" w:eastAsia="仿宋_GB2312" w:cs="宋体"/>
                <w:sz w:val="28"/>
                <w:szCs w:val="28"/>
                <w:shd w:val="clear" w:color="auto" w:fill="FFFFFF"/>
              </w:rPr>
              <w:t>、加强对女知识分子协会、女领导干部联谊会的组织管理、领导与协调工作，拓展妇女工作领域。</w:t>
            </w:r>
          </w:p>
          <w:p>
            <w:pPr>
              <w:keepNext/>
              <w:keepLines/>
              <w:shd w:val="clear" w:color="auto" w:fill="FFFFFF"/>
              <w:autoSpaceDE w:val="0"/>
              <w:autoSpaceDN w:val="0"/>
              <w:adjustRightInd w:val="0"/>
              <w:ind w:firstLine="640"/>
              <w:jc w:val="left"/>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10</w:t>
            </w:r>
            <w:r>
              <w:rPr>
                <w:rFonts w:hint="eastAsia" w:ascii="仿宋_GB2312" w:hAnsi="宋体" w:eastAsia="仿宋_GB2312" w:cs="宋体"/>
                <w:sz w:val="28"/>
                <w:szCs w:val="28"/>
                <w:shd w:val="clear" w:color="auto" w:fill="FFFFFF"/>
              </w:rPr>
              <w:t>、承办县委、县政府交办的有关事项。</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）内设机构：无内设机构。</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（二）部门（单位）整体支出规模</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、收入情况：全年收入96.3万元，其中：财政拨款收入96.3万元。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、支出情况</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全年支出</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96.3万元，其中：基本支出88.5万元（人员支出43.8万元，公用支出44.7万元）；项目支出7.8万元。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二、部门（单位）整体支出管理及使用情况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（一）基本支出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、部门整体支出情况分析</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年整体支出96.3万元，其中基本支出88.5万元，人员支出</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43.8万元，占基本支出49.5</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，公用支出44.7万元，占基本支出50.5</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，项目支出7.8万元。</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、“三公经费”支出情况分析</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2019</w:t>
            </w:r>
            <w:r>
              <w:rPr>
                <w:rFonts w:hint="eastAsia" w:ascii="仿宋_GB2312" w:hAnsi="宋体" w:eastAsia="仿宋_GB2312" w:cs="宋体"/>
                <w:sz w:val="28"/>
                <w:szCs w:val="28"/>
                <w:shd w:val="clear" w:color="auto" w:fill="FFFFFF"/>
              </w:rPr>
              <w:t>年“三公经费”预算</w:t>
            </w:r>
            <w:r>
              <w:rPr>
                <w:rFonts w:ascii="仿宋_GB2312" w:hAnsi="宋体" w:eastAsia="仿宋_GB2312" w:cs="宋体"/>
                <w:sz w:val="28"/>
                <w:szCs w:val="28"/>
                <w:shd w:val="clear" w:color="auto" w:fill="FFFFFF"/>
              </w:rPr>
              <w:t>0.5</w:t>
            </w:r>
            <w:r>
              <w:rPr>
                <w:rFonts w:hint="eastAsia" w:ascii="仿宋_GB2312" w:hAnsi="宋体" w:eastAsia="仿宋_GB2312" w:cs="宋体"/>
                <w:sz w:val="28"/>
                <w:szCs w:val="28"/>
                <w:shd w:val="clear" w:color="auto" w:fill="FFFFFF"/>
              </w:rPr>
              <w:t>万元，实际开支0.2万元。“三公经费”与去年基本持平，控制在年初预算之内。</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3</w:t>
            </w:r>
            <w:r>
              <w:rPr>
                <w:rFonts w:hint="eastAsia" w:ascii="仿宋_GB2312" w:hAnsi="宋体" w:eastAsia="仿宋_GB2312" w:cs="宋体"/>
                <w:sz w:val="28"/>
                <w:szCs w:val="28"/>
                <w:shd w:val="clear" w:color="auto" w:fill="FFFFFF"/>
              </w:rPr>
              <w:t>、固定资产管理情况分析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按照例行节约，物尽其用的原则，资产管理采取统一建账，统一核算管理，对每件固定资产使用明确保管职责，闲置的资产，由办公室统一调整，合理流动，发挥其效益；至</w:t>
            </w:r>
            <w:r>
              <w:rPr>
                <w:rFonts w:ascii="仿宋_GB2312" w:hAnsi="宋体" w:eastAsia="仿宋_GB2312" w:cs="宋体"/>
                <w:sz w:val="28"/>
                <w:szCs w:val="28"/>
                <w:shd w:val="clear" w:color="auto" w:fill="FFFFFF"/>
              </w:rPr>
              <w:t>20</w:t>
            </w:r>
            <w:r>
              <w:rPr>
                <w:rFonts w:hint="eastAsia" w:ascii="仿宋_GB2312" w:hAnsi="宋体" w:eastAsia="仿宋_GB2312" w:cs="宋体"/>
                <w:sz w:val="28"/>
                <w:szCs w:val="28"/>
                <w:shd w:val="clear" w:color="auto" w:fill="FFFFFF"/>
              </w:rPr>
              <w:t>20年</w:t>
            </w:r>
            <w:r>
              <w:rPr>
                <w:rFonts w:ascii="仿宋_GB2312" w:hAnsi="宋体" w:eastAsia="仿宋_GB2312" w:cs="宋体"/>
                <w:sz w:val="28"/>
                <w:szCs w:val="28"/>
                <w:shd w:val="clear" w:color="auto" w:fill="FFFFFF"/>
              </w:rPr>
              <w:t>12</w:t>
            </w:r>
            <w:r>
              <w:rPr>
                <w:rFonts w:hint="eastAsia" w:ascii="仿宋_GB2312" w:hAnsi="宋体" w:eastAsia="仿宋_GB2312" w:cs="宋体"/>
                <w:sz w:val="28"/>
                <w:szCs w:val="28"/>
                <w:shd w:val="clear" w:color="auto" w:fill="FFFFFF"/>
              </w:rPr>
              <w:t>月末固定资产</w:t>
            </w:r>
            <w:r>
              <w:rPr>
                <w:rFonts w:ascii="仿宋_GB2312" w:hAnsi="宋体" w:eastAsia="仿宋_GB2312" w:cs="宋体"/>
                <w:sz w:val="28"/>
                <w:szCs w:val="28"/>
                <w:shd w:val="clear" w:color="auto" w:fill="FFFFFF"/>
              </w:rPr>
              <w:t>10.7</w:t>
            </w:r>
            <w:r>
              <w:rPr>
                <w:rFonts w:hint="eastAsia" w:ascii="仿宋_GB2312" w:hAnsi="宋体" w:eastAsia="仿宋_GB2312" w:cs="宋体"/>
                <w:sz w:val="28"/>
                <w:szCs w:val="28"/>
                <w:shd w:val="clear" w:color="auto" w:fill="FFFFFF"/>
              </w:rPr>
              <w:t>万元。</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（二）专项支出</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、专项资金安排落实、总投入等情况分析</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2020年项目支出</w:t>
            </w:r>
            <w:r>
              <w:rPr>
                <w:rFonts w:ascii="仿宋_GB2312" w:hAnsi="宋体" w:eastAsia="仿宋_GB2312" w:cs="宋体"/>
                <w:sz w:val="28"/>
                <w:szCs w:val="28"/>
                <w:shd w:val="clear" w:color="auto" w:fill="FFFFFF"/>
              </w:rPr>
              <w:t xml:space="preserve"> </w:t>
            </w:r>
            <w:r>
              <w:rPr>
                <w:rFonts w:hint="eastAsia" w:ascii="仿宋_GB2312" w:hAnsi="宋体" w:eastAsia="仿宋_GB2312" w:cs="宋体"/>
                <w:sz w:val="28"/>
                <w:szCs w:val="28"/>
                <w:shd w:val="clear" w:color="auto" w:fill="FFFFFF"/>
              </w:rPr>
              <w:t>7.8万元，主要用于两癌救助及疫情防控。</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三、部门（单位）整体支出绩效情况</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2020年，根据年初工作规划和重点工作，围绕县委、县政府的工作部署，积极履行职责，强化管理，较好地完成了年度工作目标，同时加强预算收支的管理，建立健全内部管理制度，严格内部管理流程，部门整体支出管理得到了提升。2020年度部门整体支出绩效情况如下：</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1.</w:t>
            </w:r>
            <w:r>
              <w:rPr>
                <w:rFonts w:hint="eastAsia" w:ascii="仿宋_GB2312" w:hAnsi="宋体" w:eastAsia="仿宋_GB2312" w:cs="宋体"/>
                <w:sz w:val="28"/>
                <w:szCs w:val="28"/>
                <w:shd w:val="clear" w:color="auto" w:fill="FFFFFF"/>
              </w:rPr>
              <w:t>严格预算支出管理。在支出预算编制上，人员经费按照配置定额，逐人核定编制，公用经费分类分档，按定额编制；根据“总量控制、计划管理”的要求从严控制行政经费，压缩一般性支出，严格控制“三公”经费，资产的配置严格政府采购，按照预算科目和项目资金的规定使用财政资金，保障部门整体支出的规范化、制度化。</w:t>
            </w:r>
          </w:p>
          <w:p>
            <w:pPr>
              <w:spacing w:line="560" w:lineRule="exact"/>
              <w:ind w:firstLine="560" w:firstLineChars="200"/>
              <w:rPr>
                <w:rFonts w:ascii="仿宋_GB2312" w:hAnsi="宋体" w:eastAsia="仿宋_GB2312" w:cs="宋体"/>
                <w:sz w:val="28"/>
                <w:szCs w:val="28"/>
                <w:shd w:val="clear" w:color="auto" w:fill="FFFFFF"/>
              </w:rPr>
            </w:pPr>
            <w:r>
              <w:rPr>
                <w:rFonts w:ascii="仿宋_GB2312" w:hAnsi="宋体" w:eastAsia="仿宋_GB2312" w:cs="宋体"/>
                <w:sz w:val="28"/>
                <w:szCs w:val="28"/>
                <w:shd w:val="clear" w:color="auto" w:fill="FFFFFF"/>
              </w:rPr>
              <w:t>2.</w:t>
            </w:r>
            <w:r>
              <w:rPr>
                <w:rFonts w:hint="eastAsia" w:ascii="仿宋_GB2312" w:hAnsi="宋体" w:eastAsia="仿宋_GB2312" w:cs="宋体"/>
                <w:sz w:val="28"/>
                <w:szCs w:val="28"/>
                <w:shd w:val="clear" w:color="auto" w:fill="FFFFFF"/>
              </w:rPr>
              <w:t>财务管理上，按照国家相关法律法规，制定了机关财务、公物购置使用、接待、会务、差旅等内部控制制度，并严格按照制度管理和执行，防范风险，保证财政资金的安全和高效运行。</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根据考核评分细则，严格按照国家的相关财务管理制度规定，财务制度健全、会计核算规范，依照计划管理使用，整体支出对保障正常运行、贯彻执行国家方针、政策、法律法规，发挥了重要作用，强化部门的责任，取得了一定的成绩，确保全县各项社会稳定。</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四、存在的主要问题</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一是“三公经费”有待更严格控制</w:t>
            </w:r>
            <w:r>
              <w:rPr>
                <w:rFonts w:ascii="仿宋_GB2312" w:hAnsi="宋体" w:eastAsia="仿宋_GB2312" w:cs="宋体"/>
                <w:sz w:val="28"/>
                <w:szCs w:val="28"/>
                <w:shd w:val="clear" w:color="auto" w:fill="FFFFFF"/>
              </w:rPr>
              <w:t>,</w:t>
            </w:r>
            <w:r>
              <w:rPr>
                <w:rFonts w:hint="eastAsia" w:ascii="仿宋_GB2312" w:hAnsi="宋体" w:eastAsia="仿宋_GB2312" w:cs="宋体"/>
                <w:sz w:val="28"/>
                <w:szCs w:val="28"/>
                <w:shd w:val="clear" w:color="auto" w:fill="FFFFFF"/>
              </w:rPr>
              <w:t>进一步加强厉行节约机制。</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二是预算编制与实际支出项目有的存在差异，有待进一步优化预算，提高预算编制的准确性。</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五、改进措施和有关建议</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一是按照预算规定的项目和用途严格财务审核，经费支出严格按预算规定项目的财务支出内容进行财务核算，在预算金额内严格控制费用的支出，先有预算，再有支出。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二是严格控制“三公经费”支出，杜绝挪用和挤占其他预算资金；进一步细化“三公经费”管理，压缩“三公经费”支出。</w:t>
            </w:r>
          </w:p>
          <w:p>
            <w:pPr>
              <w:spacing w:line="560" w:lineRule="exact"/>
              <w:ind w:firstLine="560" w:firstLineChars="200"/>
              <w:rPr>
                <w:rFonts w:ascii="仿宋_GB2312" w:hAnsi="宋体" w:eastAsia="仿宋_GB2312" w:cs="宋体"/>
                <w:sz w:val="28"/>
                <w:szCs w:val="28"/>
                <w:shd w:val="clear" w:color="auto" w:fill="FFFFFF"/>
              </w:rPr>
            </w:pPr>
            <w:r>
              <w:rPr>
                <w:rFonts w:hint="eastAsia" w:ascii="仿宋_GB2312" w:hAnsi="宋体" w:eastAsia="仿宋_GB2312" w:cs="宋体"/>
                <w:sz w:val="28"/>
                <w:szCs w:val="28"/>
                <w:shd w:val="clear" w:color="auto" w:fill="FFFFFF"/>
              </w:rPr>
              <w:t>三是预算财务分析常态化，定期做好预算支出财务分析，做好部门整体支出预算评价工作。</w:t>
            </w:r>
          </w:p>
          <w:p>
            <w:pPr>
              <w:spacing w:line="560" w:lineRule="exact"/>
              <w:ind w:firstLine="560" w:firstLineChars="200"/>
              <w:rPr>
                <w:rFonts w:ascii="仿宋_GB2312" w:hAnsi="宋体" w:eastAsia="仿宋_GB2312" w:cs="宋体"/>
                <w:sz w:val="28"/>
                <w:szCs w:val="28"/>
                <w:shd w:val="clear" w:color="auto" w:fill="FFFFFF"/>
              </w:rPr>
            </w:pPr>
          </w:p>
          <w:p>
            <w:pPr>
              <w:rPr>
                <w:rFonts w:ascii="仿宋_GB2312" w:hAnsi="宋体" w:eastAsia="仿宋_GB2312" w:cs="宋体"/>
                <w:sz w:val="28"/>
                <w:szCs w:val="28"/>
                <w:shd w:val="clear" w:color="auto" w:fill="FFFFFF"/>
              </w:rPr>
            </w:pPr>
          </w:p>
        </w:tc>
      </w:tr>
    </w:tbl>
    <w:p>
      <w:pPr>
        <w:rPr>
          <w:rFonts w:hint="eastAsia" w:ascii="黑体" w:hAnsi="黑体" w:eastAsia="黑体"/>
          <w:sz w:val="32"/>
          <w:szCs w:val="32"/>
        </w:rPr>
      </w:pPr>
    </w:p>
    <w:p>
      <w:pPr>
        <w:rPr>
          <w:rFonts w:ascii="黑体" w:hAnsi="黑体" w:eastAsia="黑体"/>
          <w:sz w:val="32"/>
          <w:szCs w:val="32"/>
        </w:rPr>
      </w:pPr>
      <w:r>
        <w:rPr>
          <w:rFonts w:hint="eastAsia" w:ascii="黑体" w:hAnsi="黑体" w:eastAsia="黑体"/>
          <w:sz w:val="32"/>
          <w:szCs w:val="32"/>
        </w:rPr>
        <w:t>附件3-1</w:t>
      </w:r>
    </w:p>
    <w:p>
      <w:pPr>
        <w:jc w:val="center"/>
        <w:rPr>
          <w:rFonts w:ascii="方正小标宋简体" w:eastAsia="方正小标宋简体"/>
          <w:sz w:val="38"/>
          <w:szCs w:val="38"/>
        </w:rPr>
      </w:pPr>
      <w:r>
        <w:rPr>
          <w:rFonts w:hint="eastAsia" w:ascii="方正小标宋简体" w:eastAsia="方正小标宋简体"/>
          <w:sz w:val="38"/>
          <w:szCs w:val="38"/>
        </w:rPr>
        <w:t>部门整体支出绩效评价评分表（参考样表）</w:t>
      </w:r>
    </w:p>
    <w:tbl>
      <w:tblPr>
        <w:tblStyle w:val="8"/>
        <w:tblW w:w="9894" w:type="dxa"/>
        <w:jc w:val="center"/>
        <w:tblInd w:w="0" w:type="dxa"/>
        <w:tblLayout w:type="fixed"/>
        <w:tblCellMar>
          <w:top w:w="0" w:type="dxa"/>
          <w:left w:w="108" w:type="dxa"/>
          <w:bottom w:w="0" w:type="dxa"/>
          <w:right w:w="108" w:type="dxa"/>
        </w:tblCellMar>
      </w:tblPr>
      <w:tblGrid>
        <w:gridCol w:w="976"/>
        <w:gridCol w:w="939"/>
        <w:gridCol w:w="1389"/>
        <w:gridCol w:w="4171"/>
        <w:gridCol w:w="619"/>
        <w:gridCol w:w="720"/>
        <w:gridCol w:w="1080"/>
      </w:tblGrid>
      <w:tr>
        <w:tblPrEx>
          <w:tblLayout w:type="fixed"/>
          <w:tblCellMar>
            <w:top w:w="0" w:type="dxa"/>
            <w:left w:w="108" w:type="dxa"/>
            <w:bottom w:w="0" w:type="dxa"/>
            <w:right w:w="108" w:type="dxa"/>
          </w:tblCellMar>
        </w:tblPrEx>
        <w:trPr>
          <w:trHeight w:val="525" w:hRule="atLeast"/>
          <w:jc w:val="center"/>
        </w:trPr>
        <w:tc>
          <w:tcPr>
            <w:tcW w:w="976"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3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8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7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19"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0"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0"/>
                <w:kern w:val="0"/>
                <w:sz w:val="18"/>
                <w:szCs w:val="18"/>
              </w:rPr>
            </w:pPr>
            <w:r>
              <w:rPr>
                <w:rFonts w:hint="eastAsia" w:ascii="仿宋_GB2312" w:hAnsi="宋体" w:eastAsia="仿宋_GB2312" w:cs="宋体"/>
                <w:b/>
                <w:bCs/>
                <w:spacing w:val="-10"/>
                <w:kern w:val="0"/>
                <w:sz w:val="18"/>
                <w:szCs w:val="18"/>
              </w:rPr>
              <w:t>扣分原因和其他说明</w:t>
            </w:r>
          </w:p>
        </w:tc>
      </w:tr>
      <w:tr>
        <w:tblPrEx>
          <w:tblLayout w:type="fixed"/>
          <w:tblCellMar>
            <w:top w:w="0" w:type="dxa"/>
            <w:left w:w="108" w:type="dxa"/>
            <w:bottom w:w="0" w:type="dxa"/>
            <w:right w:w="108" w:type="dxa"/>
          </w:tblCellMar>
        </w:tblPrEx>
        <w:trPr>
          <w:trHeight w:val="559"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投  入</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预算配置</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财政供养人员</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以100%为标准。在职人员控制率</w:t>
            </w:r>
            <w:r>
              <w:rPr>
                <w:rFonts w:hint="eastAsia" w:ascii="宋体" w:hAnsi="宋体" w:cs="宋体"/>
                <w:kern w:val="0"/>
                <w:sz w:val="18"/>
                <w:szCs w:val="18"/>
              </w:rPr>
              <w:t>≦</w:t>
            </w:r>
            <w:r>
              <w:rPr>
                <w:rFonts w:hint="eastAsia" w:ascii="仿宋_GB2312" w:hAnsi="宋体" w:eastAsia="仿宋_GB2312" w:cs="宋体"/>
                <w:kern w:val="0"/>
                <w:sz w:val="18"/>
                <w:szCs w:val="18"/>
              </w:rPr>
              <w:t>100%，计5分；每超过一个百分点扣0.5分，扣完为止。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80"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变动率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“三公经费”变动率</w:t>
            </w:r>
            <w:r>
              <w:rPr>
                <w:rFonts w:hint="eastAsia" w:ascii="宋体" w:hAnsi="宋体" w:cs="宋体"/>
                <w:kern w:val="0"/>
                <w:sz w:val="18"/>
                <w:szCs w:val="18"/>
              </w:rPr>
              <w:t>≦</w:t>
            </w:r>
            <w:r>
              <w:rPr>
                <w:rFonts w:hint="eastAsia" w:ascii="仿宋_GB2312" w:hAnsi="宋体" w:eastAsia="仿宋_GB2312" w:cs="宋体"/>
                <w:kern w:val="0"/>
                <w:sz w:val="18"/>
                <w:szCs w:val="18"/>
              </w:rPr>
              <w:t>0,计5分；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“三公经费”＞0，每超过一个百分点扣0.5分，扣完为止。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37"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重点支出</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安排率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重点支出安排率≥90%，计5分；80%（含）-90%，计4分；70%（含）-80%，计3分；60%（含）-70%，计2分；低于60%不得分。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5</w:t>
            </w:r>
          </w:p>
        </w:tc>
        <w:tc>
          <w:tcPr>
            <w:tcW w:w="108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776" w:hRule="atLeast"/>
          <w:jc w:val="center"/>
        </w:trPr>
        <w:tc>
          <w:tcPr>
            <w:tcW w:w="976"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（40分）</w:t>
            </w: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预算执行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预算调整率=0，计3分；0-10%（含），计2分；10-20%（含），计1分；20-30%（含），计0.5分；大于30%不得分。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03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支付进度</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每出现一个专项未按进度完成资金下达扣0.5分，扣完为止。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619"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资金结余</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无结余，3分；有结余，但不超过上年结转，2分；结余超过上年结转，不得分。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9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“三公经费”</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控制率</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以100%为标准。三公经费控制率</w:t>
            </w:r>
            <w:r>
              <w:rPr>
                <w:rFonts w:hint="eastAsia" w:ascii="宋体" w:hAnsi="宋体" w:cs="宋体"/>
                <w:kern w:val="0"/>
                <w:sz w:val="18"/>
                <w:szCs w:val="18"/>
              </w:rPr>
              <w:t>≦</w:t>
            </w:r>
            <w:r>
              <w:rPr>
                <w:rFonts w:hint="eastAsia" w:ascii="仿宋_GB2312" w:hAnsi="宋体" w:eastAsia="仿宋_GB2312" w:cs="宋体"/>
                <w:kern w:val="0"/>
                <w:sz w:val="18"/>
                <w:szCs w:val="18"/>
              </w:rPr>
              <w:t>100%，计6分；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每超过一个百分点扣1分，扣完为止。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6</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6</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915"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预算管理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（15分）</w:t>
            </w: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①已制定或具有预算资金管理办法，内部财务管理制度、会计核算制度等管理制度，1分；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②相关管理制度合法、合规、完整，1分；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③相关管理制度得到有效执行，1分。</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2</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1802" w:hRule="atLeast"/>
          <w:jc w:val="center"/>
        </w:trPr>
        <w:tc>
          <w:tcPr>
            <w:tcW w:w="976"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资金使用</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合规性</w:t>
            </w:r>
          </w:p>
        </w:tc>
        <w:tc>
          <w:tcPr>
            <w:tcW w:w="4171"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①支出符合国家财经法规和财务管理制度规定以及有关专项资金管理办法的规定；</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②资金拨付有完整的审批程序和手续；</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③项目支出按规定经过评估论证；</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④支出符合部门预算批复的用途；</w:t>
            </w:r>
            <w:r>
              <w:rPr>
                <w:rFonts w:hint="eastAsia" w:ascii="仿宋_GB2312" w:hAnsi="宋体" w:eastAsia="仿宋_GB2312" w:cs="宋体"/>
                <w:kern w:val="0"/>
                <w:sz w:val="18"/>
                <w:szCs w:val="18"/>
              </w:rPr>
              <w:br w:type="textWrapping"/>
            </w:r>
            <w:r>
              <w:rPr>
                <w:rFonts w:hint="eastAsia" w:ascii="仿宋_GB2312" w:hAnsi="宋体" w:eastAsia="仿宋_GB2312" w:cs="宋体"/>
                <w:spacing w:val="-6"/>
                <w:kern w:val="0"/>
                <w:sz w:val="18"/>
                <w:szCs w:val="18"/>
              </w:rPr>
              <w:t>⑤资金使用无截留、挤占、挪用、虚列支出等情况。</w:t>
            </w:r>
            <w:r>
              <w:rPr>
                <w:rFonts w:hint="eastAsia" w:ascii="仿宋_GB2312" w:hAnsi="宋体" w:eastAsia="仿宋_GB2312" w:cs="宋体"/>
                <w:spacing w:val="-6"/>
                <w:kern w:val="0"/>
                <w:sz w:val="18"/>
                <w:szCs w:val="18"/>
              </w:rPr>
              <w:br w:type="textWrapping"/>
            </w:r>
            <w:r>
              <w:rPr>
                <w:rFonts w:hint="eastAsia" w:ascii="仿宋_GB2312" w:hAnsi="宋体" w:eastAsia="仿宋_GB2312" w:cs="宋体"/>
                <w:spacing w:val="-6"/>
                <w:kern w:val="0"/>
                <w:sz w:val="18"/>
                <w:szCs w:val="18"/>
              </w:rPr>
              <w:t>以上情况每出现一例不符合要求的扣1分，扣完为止。</w:t>
            </w:r>
          </w:p>
        </w:tc>
        <w:tc>
          <w:tcPr>
            <w:tcW w:w="619"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r>
              <w:rPr>
                <w:rFonts w:hint="eastAsia" w:ascii="仿宋_GB2312" w:hAnsi="宋体" w:eastAsia="仿宋_GB2312" w:cs="宋体"/>
                <w:color w:val="000000"/>
                <w:kern w:val="0"/>
                <w:sz w:val="18"/>
                <w:szCs w:val="18"/>
              </w:rPr>
              <w:t>3</w:t>
            </w:r>
          </w:p>
        </w:tc>
        <w:tc>
          <w:tcPr>
            <w:tcW w:w="108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color w:val="000000"/>
                <w:kern w:val="0"/>
                <w:sz w:val="18"/>
                <w:szCs w:val="18"/>
              </w:rPr>
            </w:pPr>
          </w:p>
        </w:tc>
      </w:tr>
      <w:tr>
        <w:tblPrEx>
          <w:tblLayout w:type="fixed"/>
          <w:tblCellMar>
            <w:top w:w="0" w:type="dxa"/>
            <w:left w:w="108" w:type="dxa"/>
            <w:bottom w:w="0" w:type="dxa"/>
            <w:right w:w="108" w:type="dxa"/>
          </w:tblCellMar>
        </w:tblPrEx>
        <w:trPr>
          <w:trHeight w:val="45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预决算信息公开性和完善性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①按规定内容公开预决算信息，1分；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②按规定时限公开预决算信息，0.5分；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③基础数据信息和会计信息资料真实，0.5分；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④基础数据信息和会计信息资料完整，0.5分；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⑤基础数据信息和汇集信息资料准确，0.5分。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57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　</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政府采购</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执行率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政府采购执行率等于100%的，得3分；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每减少一个百分点，扣0.2分，扣完为止。</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2</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3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公务卡刷卡率达70％以上的，得3分。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每减少一个百分点，扣0.2分，扣完为止。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0" w:hRule="atLeast"/>
          <w:jc w:val="center"/>
        </w:trPr>
        <w:tc>
          <w:tcPr>
            <w:tcW w:w="976"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39" w:type="dxa"/>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8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管理制度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健全性</w:t>
            </w:r>
          </w:p>
        </w:tc>
        <w:tc>
          <w:tcPr>
            <w:tcW w:w="4171"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①已制定或具有资产管理制度，且相关资产管理制度合法、合规、完整，2分；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②相关资产管理制度得到有效执行，1分。                                           </w:t>
            </w:r>
          </w:p>
        </w:tc>
        <w:tc>
          <w:tcPr>
            <w:tcW w:w="619"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0"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bl>
    <w:p/>
    <w:tbl>
      <w:tblPr>
        <w:tblStyle w:val="8"/>
        <w:tblW w:w="9937" w:type="dxa"/>
        <w:jc w:val="center"/>
        <w:tblInd w:w="0" w:type="dxa"/>
        <w:tblLayout w:type="fixed"/>
        <w:tblCellMar>
          <w:top w:w="0" w:type="dxa"/>
          <w:left w:w="108" w:type="dxa"/>
          <w:bottom w:w="0" w:type="dxa"/>
          <w:right w:w="108" w:type="dxa"/>
        </w:tblCellMar>
      </w:tblPr>
      <w:tblGrid>
        <w:gridCol w:w="980"/>
        <w:gridCol w:w="943"/>
        <w:gridCol w:w="1395"/>
        <w:gridCol w:w="4190"/>
        <w:gridCol w:w="621"/>
        <w:gridCol w:w="723"/>
        <w:gridCol w:w="1085"/>
      </w:tblGrid>
      <w:tr>
        <w:tblPrEx>
          <w:tblLayout w:type="fixed"/>
          <w:tblCellMar>
            <w:top w:w="0" w:type="dxa"/>
            <w:left w:w="108" w:type="dxa"/>
            <w:bottom w:w="0" w:type="dxa"/>
            <w:right w:w="108" w:type="dxa"/>
          </w:tblCellMar>
        </w:tblPrEx>
        <w:trPr>
          <w:trHeight w:val="678" w:hRule="atLeast"/>
          <w:jc w:val="center"/>
        </w:trPr>
        <w:tc>
          <w:tcPr>
            <w:tcW w:w="980"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一级指标</w:t>
            </w:r>
          </w:p>
        </w:tc>
        <w:tc>
          <w:tcPr>
            <w:tcW w:w="943" w:type="dxa"/>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二级指标</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三级指标</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评分标准</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分值</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自评得分</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b/>
                <w:bCs/>
                <w:spacing w:val="-12"/>
                <w:kern w:val="0"/>
                <w:sz w:val="18"/>
                <w:szCs w:val="18"/>
              </w:rPr>
            </w:pPr>
            <w:r>
              <w:rPr>
                <w:rFonts w:hint="eastAsia" w:ascii="仿宋_GB2312" w:hAnsi="宋体" w:eastAsia="仿宋_GB2312" w:cs="宋体"/>
                <w:b/>
                <w:bCs/>
                <w:spacing w:val="-12"/>
                <w:kern w:val="0"/>
                <w:sz w:val="18"/>
                <w:szCs w:val="18"/>
              </w:rPr>
              <w:t>扣分原因和其他说明</w:t>
            </w:r>
          </w:p>
        </w:tc>
      </w:tr>
      <w:tr>
        <w:tblPrEx>
          <w:tblLayout w:type="fixed"/>
          <w:tblCellMar>
            <w:top w:w="0" w:type="dxa"/>
            <w:left w:w="108" w:type="dxa"/>
            <w:bottom w:w="0" w:type="dxa"/>
            <w:right w:w="108" w:type="dxa"/>
          </w:tblCellMar>
        </w:tblPrEx>
        <w:trPr>
          <w:trHeight w:val="2216" w:hRule="atLeast"/>
          <w:jc w:val="center"/>
        </w:trPr>
        <w:tc>
          <w:tcPr>
            <w:tcW w:w="980"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过  程</w:t>
            </w:r>
          </w:p>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（40分）</w:t>
            </w:r>
          </w:p>
        </w:tc>
        <w:tc>
          <w:tcPr>
            <w:tcW w:w="943"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（10分）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资产管理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安全性</w:t>
            </w:r>
          </w:p>
        </w:tc>
        <w:tc>
          <w:tcPr>
            <w:tcW w:w="4190"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①资产保存完整；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②资产配置合理；</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 xml:space="preserve">③资产处置规范； </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④资产账务管理合规，帐实相符；</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⑤资产有偿使用及处置收入及时足额上缴；</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以上情况每出现一例不符合有关要求的扣1分，扣完为止。</w:t>
            </w:r>
          </w:p>
        </w:tc>
        <w:tc>
          <w:tcPr>
            <w:tcW w:w="621"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single" w:color="auto" w:sz="4" w:space="0"/>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5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固定资产</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利用率</w:t>
            </w:r>
          </w:p>
        </w:tc>
        <w:tc>
          <w:tcPr>
            <w:tcW w:w="4190" w:type="dxa"/>
            <w:tcBorders>
              <w:top w:val="nil"/>
              <w:left w:val="nil"/>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每低于100%一个百分点扣0.1分，扣完为止。</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3</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产  出（25分</w:t>
            </w:r>
          </w:p>
        </w:tc>
        <w:tc>
          <w:tcPr>
            <w:tcW w:w="943"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职责履行</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（25分）</w:t>
            </w:r>
          </w:p>
        </w:tc>
        <w:tc>
          <w:tcPr>
            <w:tcW w:w="1395" w:type="dxa"/>
            <w:tcBorders>
              <w:top w:val="single" w:color="auto" w:sz="4" w:space="0"/>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实施“三高四新”战略目标任务完成情况</w:t>
            </w:r>
          </w:p>
        </w:tc>
        <w:tc>
          <w:tcPr>
            <w:tcW w:w="4190" w:type="dxa"/>
            <w:vMerge w:val="restart"/>
            <w:tcBorders>
              <w:top w:val="single" w:color="auto" w:sz="4" w:space="0"/>
              <w:left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围绕部门和单位职责、年度重点工作任务，衡量评价部门和单位整体及核心业务实施效果</w:t>
            </w:r>
          </w:p>
          <w:p>
            <w:pPr>
              <w:widowControl/>
              <w:spacing w:line="240" w:lineRule="exact"/>
              <w:jc w:val="left"/>
              <w:rPr>
                <w:rFonts w:ascii="仿宋_GB2312" w:hAnsi="宋体" w:eastAsia="仿宋_GB2312" w:cs="宋体"/>
                <w:kern w:val="0"/>
                <w:sz w:val="18"/>
                <w:szCs w:val="18"/>
              </w:rPr>
            </w:pPr>
            <w:r>
              <w:rPr>
                <w:rFonts w:ascii="仿宋_GB2312" w:hAnsi="宋体" w:cs="宋体"/>
                <w:kern w:val="0"/>
                <w:sz w:val="18"/>
                <w:szCs w:val="18"/>
              </w:rPr>
              <w:br w:type="textWrapping"/>
            </w:r>
            <w:r>
              <w:rPr>
                <w:rFonts w:hint="eastAsia" w:ascii="仿宋_GB2312" w:hAnsi="宋体" w:eastAsia="仿宋_GB2312" w:cs="宋体"/>
                <w:kern w:val="0"/>
                <w:sz w:val="18"/>
                <w:szCs w:val="18"/>
              </w:rPr>
              <w:t>部门单位应根据部门实际进行调整，并将其细化成相应的个性化指标。。</w:t>
            </w: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8</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《政府工作报告》目标任务完成情况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省市重点民生实事完成情况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99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省市重点工程和重大项目建设完成情况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888"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其他工作实绩指标完成情况</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4</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效  果</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943"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履职效益</w:t>
            </w:r>
            <w:r>
              <w:rPr>
                <w:rFonts w:hint="eastAsia" w:ascii="仿宋_GB2312" w:hAnsi="宋体" w:eastAsia="仿宋_GB2312" w:cs="宋体"/>
                <w:kern w:val="0"/>
                <w:sz w:val="18"/>
                <w:szCs w:val="18"/>
              </w:rPr>
              <w:br w:type="textWrapping"/>
            </w:r>
            <w:r>
              <w:rPr>
                <w:rFonts w:hint="eastAsia" w:ascii="仿宋_GB2312" w:hAnsi="宋体" w:eastAsia="仿宋_GB2312" w:cs="宋体"/>
                <w:kern w:val="0"/>
                <w:sz w:val="18"/>
                <w:szCs w:val="18"/>
              </w:rPr>
              <w:t>（20分）</w:t>
            </w: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经济效益</w:t>
            </w:r>
          </w:p>
        </w:tc>
        <w:tc>
          <w:tcPr>
            <w:tcW w:w="4190"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此三项指标为设置部门整体支出绩效评价指标时必须考虑的共性要素。</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部门单位应根据部门实际并结合部门整体支出绩效目标设立情况有选择的进行设置，并将其细化为相应的个性化指标。</w:t>
            </w:r>
          </w:p>
        </w:tc>
        <w:tc>
          <w:tcPr>
            <w:tcW w:w="621" w:type="dxa"/>
            <w:vMerge w:val="restart"/>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15</w:t>
            </w: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669" w:hRule="atLeast"/>
          <w:jc w:val="center"/>
        </w:trPr>
        <w:tc>
          <w:tcPr>
            <w:tcW w:w="98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shd w:val="clear" w:color="auto" w:fill="auto"/>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生态效益</w:t>
            </w:r>
          </w:p>
        </w:tc>
        <w:tc>
          <w:tcPr>
            <w:tcW w:w="4190"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621" w:type="dxa"/>
            <w:vMerge w:val="continue"/>
            <w:tcBorders>
              <w:top w:val="nil"/>
              <w:left w:val="single" w:color="auto" w:sz="4" w:space="0"/>
              <w:bottom w:val="single" w:color="auto" w:sz="4" w:space="0"/>
              <w:right w:val="single" w:color="auto" w:sz="4" w:space="0"/>
            </w:tcBorders>
            <w:shd w:val="clear" w:color="auto" w:fill="auto"/>
            <w:noWrap/>
            <w:vAlign w:val="center"/>
          </w:tcPr>
          <w:p>
            <w:pPr>
              <w:widowControl/>
              <w:spacing w:line="240" w:lineRule="exact"/>
              <w:jc w:val="left"/>
              <w:rPr>
                <w:rFonts w:ascii="仿宋_GB2312" w:hAnsi="宋体" w:eastAsia="仿宋_GB2312" w:cs="宋体"/>
                <w:kern w:val="0"/>
                <w:sz w:val="18"/>
                <w:szCs w:val="18"/>
              </w:rPr>
            </w:pPr>
          </w:p>
        </w:tc>
        <w:tc>
          <w:tcPr>
            <w:tcW w:w="723"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shd w:val="clear" w:color="auto" w:fill="FFFFFF"/>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1231" w:hRule="atLeast"/>
          <w:jc w:val="center"/>
        </w:trPr>
        <w:tc>
          <w:tcPr>
            <w:tcW w:w="980"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943" w:type="dxa"/>
            <w:vMerge w:val="continue"/>
            <w:tcBorders>
              <w:top w:val="nil"/>
              <w:left w:val="single" w:color="auto" w:sz="4" w:space="0"/>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社会公众或服务对象满意度</w:t>
            </w:r>
          </w:p>
        </w:tc>
        <w:tc>
          <w:tcPr>
            <w:tcW w:w="4190" w:type="dxa"/>
            <w:tcBorders>
              <w:top w:val="nil"/>
              <w:left w:val="nil"/>
              <w:bottom w:val="single" w:color="auto" w:sz="4" w:space="0"/>
              <w:right w:val="single" w:color="auto" w:sz="4" w:space="0"/>
            </w:tcBorders>
            <w:noWrap/>
            <w:vAlign w:val="center"/>
          </w:tcPr>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95%（含）以上计5分；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85%（含）-95%，计3分；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75%（含）-85%，计1分；</w:t>
            </w:r>
          </w:p>
          <w:p>
            <w:pPr>
              <w:widowControl/>
              <w:spacing w:line="240" w:lineRule="exact"/>
              <w:jc w:val="left"/>
              <w:rPr>
                <w:rFonts w:ascii="仿宋_GB2312" w:hAnsi="宋体" w:eastAsia="仿宋_GB2312" w:cs="宋体"/>
                <w:kern w:val="0"/>
                <w:sz w:val="18"/>
                <w:szCs w:val="18"/>
              </w:rPr>
            </w:pPr>
            <w:r>
              <w:rPr>
                <w:rFonts w:hint="eastAsia" w:ascii="仿宋_GB2312" w:hAnsi="宋体" w:eastAsia="仿宋_GB2312" w:cs="宋体"/>
                <w:kern w:val="0"/>
                <w:sz w:val="18"/>
                <w:szCs w:val="18"/>
              </w:rPr>
              <w:t>低于75%计0分。</w:t>
            </w: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r>
              <w:rPr>
                <w:rFonts w:hint="eastAsia" w:ascii="仿宋_GB2312" w:hAnsi="宋体" w:eastAsia="仿宋_GB2312" w:cs="宋体"/>
                <w:kern w:val="0"/>
                <w:sz w:val="18"/>
                <w:szCs w:val="18"/>
              </w:rPr>
              <w:t>5</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kern w:val="0"/>
                <w:sz w:val="18"/>
                <w:szCs w:val="18"/>
              </w:rPr>
            </w:pPr>
          </w:p>
        </w:tc>
      </w:tr>
      <w:tr>
        <w:tblPrEx>
          <w:tblLayout w:type="fixed"/>
          <w:tblCellMar>
            <w:top w:w="0" w:type="dxa"/>
            <w:left w:w="108" w:type="dxa"/>
            <w:bottom w:w="0" w:type="dxa"/>
            <w:right w:w="108" w:type="dxa"/>
          </w:tblCellMar>
        </w:tblPrEx>
        <w:trPr>
          <w:trHeight w:val="756" w:hRule="atLeast"/>
          <w:jc w:val="center"/>
        </w:trPr>
        <w:tc>
          <w:tcPr>
            <w:tcW w:w="980" w:type="dxa"/>
            <w:tcBorders>
              <w:top w:val="nil"/>
              <w:left w:val="single" w:color="auto" w:sz="4" w:space="0"/>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总 分</w:t>
            </w:r>
          </w:p>
        </w:tc>
        <w:tc>
          <w:tcPr>
            <w:tcW w:w="94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139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4190"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c>
          <w:tcPr>
            <w:tcW w:w="621"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spacing w:val="-8"/>
                <w:kern w:val="0"/>
                <w:sz w:val="18"/>
                <w:szCs w:val="18"/>
              </w:rPr>
            </w:pPr>
            <w:r>
              <w:rPr>
                <w:rFonts w:hint="eastAsia" w:ascii="仿宋_GB2312" w:hAnsi="宋体" w:eastAsia="仿宋_GB2312" w:cs="宋体"/>
                <w:b/>
                <w:bCs/>
                <w:spacing w:val="-8"/>
                <w:kern w:val="0"/>
                <w:sz w:val="18"/>
                <w:szCs w:val="18"/>
              </w:rPr>
              <w:t>100</w:t>
            </w:r>
          </w:p>
        </w:tc>
        <w:tc>
          <w:tcPr>
            <w:tcW w:w="723"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r>
              <w:rPr>
                <w:rFonts w:hint="eastAsia" w:ascii="仿宋_GB2312" w:hAnsi="宋体" w:eastAsia="仿宋_GB2312" w:cs="宋体"/>
                <w:b/>
                <w:bCs/>
                <w:kern w:val="0"/>
                <w:sz w:val="18"/>
                <w:szCs w:val="18"/>
              </w:rPr>
              <w:t>97</w:t>
            </w:r>
          </w:p>
        </w:tc>
        <w:tc>
          <w:tcPr>
            <w:tcW w:w="1085" w:type="dxa"/>
            <w:tcBorders>
              <w:top w:val="nil"/>
              <w:left w:val="nil"/>
              <w:bottom w:val="single" w:color="auto" w:sz="4" w:space="0"/>
              <w:right w:val="single" w:color="auto" w:sz="4" w:space="0"/>
            </w:tcBorders>
            <w:noWrap/>
            <w:vAlign w:val="center"/>
          </w:tcPr>
          <w:p>
            <w:pPr>
              <w:widowControl/>
              <w:spacing w:line="240" w:lineRule="exact"/>
              <w:jc w:val="center"/>
              <w:rPr>
                <w:rFonts w:ascii="仿宋_GB2312" w:hAnsi="宋体" w:eastAsia="仿宋_GB2312" w:cs="宋体"/>
                <w:b/>
                <w:bCs/>
                <w:kern w:val="0"/>
                <w:sz w:val="18"/>
                <w:szCs w:val="18"/>
              </w:rPr>
            </w:pPr>
          </w:p>
        </w:tc>
      </w:tr>
    </w:tbl>
    <w:p>
      <w:pPr>
        <w:adjustRightInd w:val="0"/>
        <w:snapToGrid w:val="0"/>
        <w:spacing w:beforeLines="50"/>
        <w:contextualSpacing/>
        <w:rPr>
          <w:rFonts w:ascii="仿宋_GB2312" w:hAnsi="宋体" w:eastAsia="仿宋_GB2312" w:cs="宋体"/>
          <w:kern w:val="0"/>
          <w:szCs w:val="21"/>
        </w:rPr>
      </w:pPr>
      <w:r>
        <w:rPr>
          <w:rFonts w:hint="eastAsia" w:ascii="仿宋_GB2312" w:hAnsi="宋体" w:eastAsia="仿宋_GB2312" w:cs="宋体"/>
          <w:kern w:val="0"/>
          <w:szCs w:val="21"/>
        </w:rPr>
        <w:t>备注：部门（单位）可根据本部门实际情况，对评价指标体系</w:t>
      </w:r>
      <w:r>
        <w:rPr>
          <w:rFonts w:hint="eastAsia" w:ascii="仿宋_GB2312" w:eastAsia="仿宋_GB2312"/>
        </w:rPr>
        <w:t>进一步完善、量化、细化个性指标，形成本部门的指标体系。</w:t>
      </w:r>
    </w:p>
    <w:p>
      <w:pPr>
        <w:spacing w:line="200" w:lineRule="exact"/>
        <w:rPr>
          <w:rFonts w:eastAsia="仿宋_GB2312"/>
          <w:sz w:val="32"/>
        </w:rPr>
      </w:pPr>
    </w:p>
    <w:sectPr>
      <w:footerReference r:id="rId5" w:type="default"/>
      <w:footerReference r:id="rId6" w:type="even"/>
      <w:pgSz w:w="11906" w:h="16838"/>
      <w:pgMar w:top="1588" w:right="1588" w:bottom="1588" w:left="1588" w:header="851" w:footer="992" w:gutter="0"/>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swiss"/>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_GB2312">
    <w:altName w:val="仿宋"/>
    <w:panose1 w:val="00000000000000000000"/>
    <w:charset w:val="86"/>
    <w:family w:val="modern"/>
    <w:pitch w:val="default"/>
    <w:sig w:usb0="00000000" w:usb1="00000000" w:usb2="00000000" w:usb3="00000000" w:csb0="00040000" w:csb1="00000000"/>
  </w:font>
  <w:font w:name="楷体_GB2312">
    <w:altName w:val="楷体"/>
    <w:panose1 w:val="00000000000000000000"/>
    <w:charset w:val="86"/>
    <w:family w:val="modern"/>
    <w:pitch w:val="default"/>
    <w:sig w:usb0="00000000" w:usb1="00000000" w:usb2="00000000" w:usb3="00000000" w:csb0="00040000" w:csb1="00000000"/>
  </w:font>
  <w:font w:name="方正小标宋简体">
    <w:panose1 w:val="03000509000000000000"/>
    <w:charset w:val="86"/>
    <w:family w:val="script"/>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szCs w:val="24"/>
      </w:rPr>
    </w:pPr>
    <w:r>
      <w:rPr>
        <w:rStyle w:val="7"/>
        <w:sz w:val="24"/>
        <w:szCs w:val="24"/>
      </w:rPr>
      <w:t xml:space="preserve">— </w:t>
    </w: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1</w:t>
    </w:r>
    <w:r>
      <w:rPr>
        <w:rStyle w:val="7"/>
        <w:sz w:val="24"/>
        <w:szCs w:val="24"/>
      </w:rPr>
      <w:fldChar w:fldCharType="end"/>
    </w:r>
    <w:r>
      <w:rPr>
        <w:rStyle w:val="7"/>
        <w:sz w:val="24"/>
        <w:szCs w:val="24"/>
      </w:rPr>
      <w:t xml:space="preserve"> —</w:t>
    </w:r>
  </w:p>
  <w:p>
    <w:pPr>
      <w:ind w:right="360" w:firstLine="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framePr w:wrap="around" w:vAnchor="text" w:hAnchor="margin" w:xAlign="outside" w:y="1"/>
    </w:pPr>
    <w:r>
      <w:fldChar w:fldCharType="begin"/>
    </w:r>
    <w:r>
      <w:instrText xml:space="preserve">PAGE  </w:instrText>
    </w:r>
    <w:r>
      <w:fldChar w:fldCharType="separate"/>
    </w:r>
    <w:r>
      <w:t>- 15 -</w:t>
    </w:r>
    <w:r>
      <w:fldChar w:fldCharType="end"/>
    </w:r>
  </w:p>
  <w:p>
    <w:pPr>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sz w:val="24"/>
        <w:szCs w:val="24"/>
      </w:rPr>
    </w:pPr>
    <w:r>
      <w:rPr>
        <w:rStyle w:val="7"/>
        <w:sz w:val="24"/>
        <w:szCs w:val="24"/>
      </w:rPr>
      <w:t xml:space="preserve">— </w:t>
    </w:r>
    <w:r>
      <w:rPr>
        <w:rStyle w:val="7"/>
        <w:sz w:val="24"/>
        <w:szCs w:val="24"/>
      </w:rPr>
      <w:fldChar w:fldCharType="begin"/>
    </w:r>
    <w:r>
      <w:rPr>
        <w:rStyle w:val="7"/>
        <w:sz w:val="24"/>
        <w:szCs w:val="24"/>
      </w:rPr>
      <w:instrText xml:space="preserve">PAGE  </w:instrText>
    </w:r>
    <w:r>
      <w:rPr>
        <w:rStyle w:val="7"/>
        <w:sz w:val="24"/>
        <w:szCs w:val="24"/>
      </w:rPr>
      <w:fldChar w:fldCharType="separate"/>
    </w:r>
    <w:r>
      <w:rPr>
        <w:rStyle w:val="7"/>
        <w:sz w:val="24"/>
        <w:szCs w:val="24"/>
      </w:rPr>
      <w:t>12</w:t>
    </w:r>
    <w:r>
      <w:rPr>
        <w:rStyle w:val="7"/>
        <w:sz w:val="24"/>
        <w:szCs w:val="24"/>
      </w:rPr>
      <w:fldChar w:fldCharType="end"/>
    </w:r>
    <w:r>
      <w:rPr>
        <w:rStyle w:val="7"/>
        <w:sz w:val="24"/>
        <w:szCs w:val="24"/>
      </w:rPr>
      <w:t xml:space="preserve"> —</w:t>
    </w:r>
  </w:p>
  <w:p>
    <w:pPr>
      <w:pStyle w:val="4"/>
      <w:ind w:right="360" w:firstLine="360"/>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4"/>
      <w:framePr w:wrap="around" w:vAnchor="text" w:hAnchor="margin" w:xAlign="outside" w:y="1"/>
      <w:rPr>
        <w:rStyle w:val="7"/>
      </w:rPr>
    </w:pPr>
    <w:r>
      <w:rPr>
        <w:rStyle w:val="7"/>
      </w:rPr>
      <w:fldChar w:fldCharType="begin"/>
    </w:r>
    <w:r>
      <w:rPr>
        <w:rStyle w:val="7"/>
      </w:rPr>
      <w:instrText xml:space="preserve">PAGE  </w:instrText>
    </w:r>
    <w:r>
      <w:rPr>
        <w:rStyle w:val="7"/>
      </w:rPr>
      <w:fldChar w:fldCharType="end"/>
    </w:r>
  </w:p>
  <w:p>
    <w:pPr>
      <w:pStyle w:val="4"/>
      <w:ind w:right="360" w:firstLine="360"/>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14C6F79"/>
    <w:multiLevelType w:val="multilevel"/>
    <w:tmpl w:val="014C6F79"/>
    <w:lvl w:ilvl="0" w:tentative="0">
      <w:start w:val="1"/>
      <w:numFmt w:val="japaneseCounting"/>
      <w:pStyle w:val="2"/>
      <w:lvlText w:val="%1、"/>
      <w:lvlJc w:val="left"/>
      <w:pPr>
        <w:ind w:left="720" w:hanging="720"/>
      </w:pPr>
      <w:rPr>
        <w:rFonts w:hint="default"/>
        <w:u w:val="none"/>
      </w:rPr>
    </w:lvl>
    <w:lvl w:ilvl="1" w:tentative="0">
      <w:start w:val="1"/>
      <w:numFmt w:val="lowerLetter"/>
      <w:lvlText w:val="%2)"/>
      <w:lvlJc w:val="left"/>
      <w:pPr>
        <w:ind w:left="840" w:hanging="420"/>
      </w:pPr>
      <w:rPr>
        <w:rFonts w:hint="default"/>
        <w:u w:val="none"/>
      </w:rPr>
    </w:lvl>
    <w:lvl w:ilvl="2" w:tentative="0">
      <w:start w:val="1"/>
      <w:numFmt w:val="lowerRoman"/>
      <w:lvlText w:val="%3."/>
      <w:lvlJc w:val="right"/>
      <w:pPr>
        <w:ind w:left="1260" w:hanging="420"/>
      </w:pPr>
      <w:rPr>
        <w:rFonts w:hint="default"/>
        <w:u w:val="none"/>
      </w:rPr>
    </w:lvl>
    <w:lvl w:ilvl="3" w:tentative="0">
      <w:start w:val="1"/>
      <w:numFmt w:val="decimal"/>
      <w:lvlText w:val="%4."/>
      <w:lvlJc w:val="left"/>
      <w:pPr>
        <w:ind w:left="1680" w:hanging="420"/>
      </w:pPr>
      <w:rPr>
        <w:rFonts w:hint="default"/>
        <w:u w:val="none"/>
      </w:rPr>
    </w:lvl>
    <w:lvl w:ilvl="4" w:tentative="0">
      <w:start w:val="1"/>
      <w:numFmt w:val="lowerLetter"/>
      <w:lvlText w:val="%5)"/>
      <w:lvlJc w:val="left"/>
      <w:pPr>
        <w:ind w:left="2100" w:hanging="420"/>
      </w:pPr>
      <w:rPr>
        <w:rFonts w:hint="default"/>
        <w:u w:val="none"/>
      </w:rPr>
    </w:lvl>
    <w:lvl w:ilvl="5" w:tentative="0">
      <w:start w:val="1"/>
      <w:numFmt w:val="lowerRoman"/>
      <w:lvlText w:val="%6."/>
      <w:lvlJc w:val="right"/>
      <w:pPr>
        <w:ind w:left="2520" w:hanging="420"/>
      </w:pPr>
      <w:rPr>
        <w:rFonts w:hint="default"/>
        <w:u w:val="none"/>
      </w:rPr>
    </w:lvl>
    <w:lvl w:ilvl="6" w:tentative="0">
      <w:start w:val="1"/>
      <w:numFmt w:val="decimal"/>
      <w:lvlText w:val="%7."/>
      <w:lvlJc w:val="left"/>
      <w:pPr>
        <w:ind w:left="2940" w:hanging="420"/>
      </w:pPr>
      <w:rPr>
        <w:rFonts w:hint="default"/>
        <w:u w:val="none"/>
      </w:rPr>
    </w:lvl>
    <w:lvl w:ilvl="7" w:tentative="0">
      <w:start w:val="1"/>
      <w:numFmt w:val="lowerLetter"/>
      <w:lvlText w:val="%8)"/>
      <w:lvlJc w:val="left"/>
      <w:pPr>
        <w:ind w:left="3360" w:hanging="420"/>
      </w:pPr>
      <w:rPr>
        <w:rFonts w:hint="default"/>
        <w:u w:val="none"/>
      </w:rPr>
    </w:lvl>
    <w:lvl w:ilvl="8" w:tentative="0">
      <w:start w:val="1"/>
      <w:numFmt w:val="lowerRoman"/>
      <w:lvlText w:val="%9."/>
      <w:lvlJc w:val="right"/>
      <w:pPr>
        <w:ind w:left="3780" w:hanging="420"/>
      </w:pPr>
      <w:rPr>
        <w:rFonts w:hint="default"/>
        <w:u w:val="no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compat>
    <w:spaceForUL/>
    <w:balanceSingleByteDoubleByteWidth/>
    <w:doNotLeaveBackslashAlone/>
    <w:ulTrailSpace/>
    <w:doNotExpandShiftReturn/>
    <w:adjustLineHeightInTable/>
    <w:useFELayout/>
    <w:underlineTabInNumLis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2CE55C20"/>
    <w:rsid w:val="00095A8B"/>
    <w:rsid w:val="00105029"/>
    <w:rsid w:val="00156118"/>
    <w:rsid w:val="001F609A"/>
    <w:rsid w:val="00212E58"/>
    <w:rsid w:val="00335C98"/>
    <w:rsid w:val="003551AF"/>
    <w:rsid w:val="003C0311"/>
    <w:rsid w:val="004475B4"/>
    <w:rsid w:val="0045405B"/>
    <w:rsid w:val="00496ABC"/>
    <w:rsid w:val="004A1371"/>
    <w:rsid w:val="004B1D50"/>
    <w:rsid w:val="004E1B79"/>
    <w:rsid w:val="004E680A"/>
    <w:rsid w:val="00554520"/>
    <w:rsid w:val="005B7431"/>
    <w:rsid w:val="005F423D"/>
    <w:rsid w:val="006475BC"/>
    <w:rsid w:val="00647D61"/>
    <w:rsid w:val="006A4DDD"/>
    <w:rsid w:val="006C1AA1"/>
    <w:rsid w:val="00757ED6"/>
    <w:rsid w:val="007B2063"/>
    <w:rsid w:val="007B411F"/>
    <w:rsid w:val="008277A9"/>
    <w:rsid w:val="00835FC7"/>
    <w:rsid w:val="0085520D"/>
    <w:rsid w:val="00873A38"/>
    <w:rsid w:val="00877826"/>
    <w:rsid w:val="008A088A"/>
    <w:rsid w:val="008B3DC0"/>
    <w:rsid w:val="008E31AF"/>
    <w:rsid w:val="008F7974"/>
    <w:rsid w:val="00901E0E"/>
    <w:rsid w:val="00982AA0"/>
    <w:rsid w:val="009C26D2"/>
    <w:rsid w:val="00A25C0C"/>
    <w:rsid w:val="00A92A11"/>
    <w:rsid w:val="00AB0D3F"/>
    <w:rsid w:val="00AB6051"/>
    <w:rsid w:val="00AB7527"/>
    <w:rsid w:val="00AC5F27"/>
    <w:rsid w:val="00AC6FAF"/>
    <w:rsid w:val="00AF1D92"/>
    <w:rsid w:val="00B51D25"/>
    <w:rsid w:val="00DA059A"/>
    <w:rsid w:val="00DA3F5B"/>
    <w:rsid w:val="00E16E0C"/>
    <w:rsid w:val="00E24895"/>
    <w:rsid w:val="00E417B6"/>
    <w:rsid w:val="00E65129"/>
    <w:rsid w:val="00E666B3"/>
    <w:rsid w:val="00EB3493"/>
    <w:rsid w:val="00F0266B"/>
    <w:rsid w:val="00F652E1"/>
    <w:rsid w:val="00FE4D6A"/>
    <w:rsid w:val="083749E7"/>
    <w:rsid w:val="0C6C520A"/>
    <w:rsid w:val="0DE528CD"/>
    <w:rsid w:val="159B1095"/>
    <w:rsid w:val="18725427"/>
    <w:rsid w:val="263C173A"/>
    <w:rsid w:val="2B7F45AB"/>
    <w:rsid w:val="2CA33441"/>
    <w:rsid w:val="2CE55C20"/>
    <w:rsid w:val="2F287302"/>
    <w:rsid w:val="30426D13"/>
    <w:rsid w:val="33DA5C2E"/>
    <w:rsid w:val="3A43255A"/>
    <w:rsid w:val="3D6201A1"/>
    <w:rsid w:val="477245B4"/>
    <w:rsid w:val="4E4F0BB0"/>
    <w:rsid w:val="557C1244"/>
    <w:rsid w:val="5BE95901"/>
    <w:rsid w:val="682E726C"/>
    <w:rsid w:val="6A0A15CD"/>
    <w:rsid w:val="6DF352BD"/>
    <w:rsid w:val="705E3E6D"/>
    <w:rsid w:val="71C1048A"/>
    <w:rsid w:val="73F35F5B"/>
    <w:rsid w:val="78DA48B8"/>
    <w:rsid w:val="79C04582"/>
    <w:rsid w:val="7D1F0DA2"/>
  </w:rsids>
  <m:mathPr>
    <m:mathFont m:val="Cambria Math"/>
    <m:brkBin m:val="before"/>
    <m:brkBinSub m:val="--"/>
    <m:smallFrac m:val="1"/>
    <m:dispDef/>
    <m:lMargin m:val="0"/>
    <m:rMargin m:val="0"/>
    <m:defJc m:val="centerGroup"/>
    <m:wrapIndent m:val="1440"/>
    <m:intLim m:val="subSup"/>
    <m:naryLim m:val="undOvr"/>
  </m:mathPr>
  <w:doNotAutoCompressPictures/>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iPriority="99" w:semiHidden="0" w:name="heading 1" w:locked="1"/>
    <w:lsdException w:qFormat="1" w:uiPriority="9" w:name="heading 2" w:locked="1"/>
    <w:lsdException w:qFormat="1" w:uiPriority="9" w:name="heading 3" w:locked="1"/>
    <w:lsdException w:qFormat="1" w:uiPriority="9" w:name="heading 4" w:locked="1"/>
    <w:lsdException w:qFormat="1" w:uiPriority="9" w:name="heading 5" w:locked="1"/>
    <w:lsdException w:qFormat="1" w:uiPriority="9" w:name="heading 6" w:locked="1"/>
    <w:lsdException w:qFormat="1" w:uiPriority="9" w:name="heading 7" w:locked="1"/>
    <w:lsdException w:qFormat="1" w:uiPriority="9" w:name="heading 8" w:locked="1"/>
    <w:lsdException w:qFormat="1" w:uiPriority="9" w:name="heading 9" w:locked="1"/>
    <w:lsdException w:uiPriority="99" w:name="index 1" w:locked="1"/>
    <w:lsdException w:uiPriority="99" w:name="index 2" w:locked="1"/>
    <w:lsdException w:uiPriority="99" w:name="index 3" w:locked="1"/>
    <w:lsdException w:uiPriority="99"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uiPriority="39" w:name="toc 1" w:locked="1"/>
    <w:lsdException w:uiPriority="39" w:name="toc 2" w:locked="1"/>
    <w:lsdException w:uiPriority="39" w:name="toc 3" w:locked="1"/>
    <w:lsdException w:uiPriority="39" w:name="toc 4" w:locked="1"/>
    <w:lsdException w:uiPriority="39" w:name="toc 5" w:locked="1"/>
    <w:lsdException w:uiPriority="39" w:name="toc 6" w:locked="1"/>
    <w:lsdException w:uiPriority="39" w:name="toc 7" w:locked="1"/>
    <w:lsdException w:uiPriority="39" w:name="toc 8" w:locked="1"/>
    <w:lsdException w:uiPriority="39" w:name="toc 9" w:locked="1"/>
    <w:lsdException w:uiPriority="99" w:name="Normal Indent" w:locked="1"/>
    <w:lsdException w:uiPriority="99" w:name="footnote text" w:locked="1"/>
    <w:lsdException w:uiPriority="99" w:name="annotation text" w:locked="1"/>
    <w:lsdException w:qFormat="1" w:uiPriority="99" w:name="header" w:locked="1"/>
    <w:lsdException w:qFormat="1" w:unhideWhenUsed="0" w:uiPriority="99" w:semiHidden="0" w:name="footer"/>
    <w:lsdException w:uiPriority="99" w:name="index heading" w:locked="1"/>
    <w:lsdException w:qFormat="1" w:uiPriority="35" w:name="caption" w:locked="1"/>
    <w:lsdException w:uiPriority="99" w:name="table of figures" w:locked="1"/>
    <w:lsdException w:uiPriority="99" w:name="envelope address" w:locked="1"/>
    <w:lsdException w:uiPriority="99" w:name="envelope return" w:locked="1"/>
    <w:lsdException w:uiPriority="99" w:name="footnote reference" w:locked="1"/>
    <w:lsdException w:uiPriority="99"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uiPriority="99" w:name="List" w:locked="1"/>
    <w:lsdException w:uiPriority="99" w:name="List Bullet" w:locked="1"/>
    <w:lsdException w:uiPriority="99"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uiPriority="99"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10" w:semiHidden="0" w:name="Title" w:locked="1"/>
    <w:lsdException w:uiPriority="99" w:name="Closing" w:locked="1"/>
    <w:lsdException w:uiPriority="99" w:name="Signature" w:locked="1"/>
    <w:lsdException w:uiPriority="1" w:name="Default Paragraph Font"/>
    <w:lsdException w:uiPriority="99" w:name="Body Text" w:locked="1"/>
    <w:lsdException w:uiPriority="99" w:name="Body Text Indent" w:locked="1"/>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11" w:semiHidden="0" w:name="Subtitle" w:locked="1"/>
    <w:lsdException w:uiPriority="99" w:name="Salutation" w:locked="1"/>
    <w:lsdException w:uiPriority="99" w:name="Date" w:locked="1"/>
    <w:lsdException w:uiPriority="99" w:name="Body Text First Indent" w:locked="1"/>
    <w:lsdException w:uiPriority="99" w:name="Body Text First Indent 2" w:locked="1"/>
    <w:lsdException w:uiPriority="99" w:name="Note Heading" w:locked="1"/>
    <w:lsdException w:uiPriority="99" w:name="Body Text 2" w:locked="1"/>
    <w:lsdException w:uiPriority="99" w:name="Body Text 3" w:locked="1"/>
    <w:lsdException w:unhideWhenUsed="0" w:uiPriority="99" w:semiHidden="0" w:name="Body Text Indent 2"/>
    <w:lsdException w:uiPriority="99" w:name="Body Text Indent 3" w:locked="1"/>
    <w:lsdException w:uiPriority="99" w:name="Block Text" w:locked="1"/>
    <w:lsdException w:uiPriority="99" w:name="Hyperlink" w:locked="1"/>
    <w:lsdException w:uiPriority="99" w:name="FollowedHyperlink" w:locked="1"/>
    <w:lsdException w:qFormat="1" w:unhideWhenUsed="0" w:uiPriority="22" w:semiHidden="0" w:name="Strong" w:locked="1"/>
    <w:lsdException w:qFormat="1" w:unhideWhenUsed="0" w:uiPriority="20" w:semiHidden="0" w:name="Emphasis" w:locked="1"/>
    <w:lsdException w:uiPriority="99" w:name="Document Map" w:locked="1"/>
    <w:lsdException w:uiPriority="99" w:name="Plain Text" w:locked="1"/>
    <w:lsdException w:uiPriority="99" w:name="E-mail Signature" w:locked="1"/>
    <w:lsdException w:uiPriority="99" w:name="Normal (Web)" w:locked="1"/>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uiPriority="99" w:name="HTML Preformatted" w:locked="1"/>
    <w:lsdException w:uiPriority="99" w:name="HTML Sample" w:locked="1"/>
    <w:lsdException w:uiPriority="99" w:name="HTML Typewriter" w:locked="1"/>
    <w:lsdException w:uiPriority="99" w:name="HTML Variable" w:locked="1"/>
    <w:lsdException w:qFormat="1" w:uiPriority="99" w:name="Normal Table"/>
    <w:lsdException w:uiPriority="99"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uiPriority="99" w:name="Balloon Text" w:locked="1"/>
    <w:lsdException w:unhideWhenUsed="0" w:uiPriority="59" w:semiHidden="0" w:name="Table Grid" w:locked="1"/>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2">
    <w:name w:val="heading 1"/>
    <w:basedOn w:val="1"/>
    <w:next w:val="1"/>
    <w:unhideWhenUsed/>
    <w:qFormat/>
    <w:locked/>
    <w:uiPriority w:val="99"/>
    <w:pPr>
      <w:numPr>
        <w:ilvl w:val="0"/>
        <w:numId w:val="1"/>
      </w:numPr>
      <w:outlineLvl w:val="0"/>
    </w:pPr>
    <w:rPr>
      <w:rFonts w:hint="eastAsia" w:ascii="黑体" w:hAnsi="黑体" w:eastAsia="黑体"/>
      <w:sz w:val="30"/>
    </w:rPr>
  </w:style>
  <w:style w:type="character" w:default="1" w:styleId="6">
    <w:name w:val="Default Paragraph Font"/>
    <w:semiHidden/>
    <w:unhideWhenUsed/>
    <w:uiPriority w:val="1"/>
  </w:style>
  <w:style w:type="table" w:default="1" w:styleId="8">
    <w:name w:val="Normal Table"/>
    <w:semiHidden/>
    <w:unhideWhenUsed/>
    <w:qFormat/>
    <w:uiPriority w:val="99"/>
    <w:tblPr>
      <w:tblLayout w:type="fixed"/>
      <w:tblCellMar>
        <w:top w:w="0" w:type="dxa"/>
        <w:left w:w="108" w:type="dxa"/>
        <w:bottom w:w="0" w:type="dxa"/>
        <w:right w:w="108" w:type="dxa"/>
      </w:tblCellMar>
    </w:tblPr>
  </w:style>
  <w:style w:type="paragraph" w:styleId="3">
    <w:name w:val="Body Text Indent 2"/>
    <w:basedOn w:val="1"/>
    <w:link w:val="9"/>
    <w:uiPriority w:val="99"/>
    <w:pPr>
      <w:ind w:firstLine="588" w:firstLineChars="200"/>
    </w:pPr>
    <w:rPr>
      <w:rFonts w:ascii="仿宋_GB2312" w:hAnsi="Calibri" w:eastAsia="仿宋_GB2312"/>
      <w:sz w:val="32"/>
    </w:rPr>
  </w:style>
  <w:style w:type="paragraph" w:styleId="4">
    <w:name w:val="footer"/>
    <w:basedOn w:val="1"/>
    <w:link w:val="10"/>
    <w:qFormat/>
    <w:uiPriority w:val="99"/>
    <w:pPr>
      <w:tabs>
        <w:tab w:val="center" w:pos="4153"/>
        <w:tab w:val="right" w:pos="8306"/>
      </w:tabs>
      <w:snapToGrid w:val="0"/>
      <w:jc w:val="left"/>
    </w:pPr>
    <w:rPr>
      <w:kern w:val="0"/>
      <w:sz w:val="18"/>
      <w:szCs w:val="18"/>
    </w:rPr>
  </w:style>
  <w:style w:type="paragraph" w:styleId="5">
    <w:name w:val="header"/>
    <w:basedOn w:val="1"/>
    <w:link w:val="12"/>
    <w:semiHidden/>
    <w:unhideWhenUsed/>
    <w:qFormat/>
    <w:locked/>
    <w:uiPriority w:val="99"/>
    <w:pPr>
      <w:pBdr>
        <w:bottom w:val="single" w:color="auto" w:sz="6" w:space="1"/>
      </w:pBdr>
      <w:tabs>
        <w:tab w:val="center" w:pos="4153"/>
        <w:tab w:val="right" w:pos="8306"/>
      </w:tabs>
      <w:snapToGrid w:val="0"/>
      <w:jc w:val="center"/>
    </w:pPr>
    <w:rPr>
      <w:sz w:val="18"/>
      <w:szCs w:val="18"/>
    </w:rPr>
  </w:style>
  <w:style w:type="character" w:styleId="7">
    <w:name w:val="page number"/>
    <w:basedOn w:val="6"/>
    <w:qFormat/>
    <w:uiPriority w:val="99"/>
    <w:rPr>
      <w:rFonts w:cs="Times New Roman"/>
    </w:rPr>
  </w:style>
  <w:style w:type="character" w:customStyle="1" w:styleId="9">
    <w:name w:val="正文文本缩进 2 Char"/>
    <w:basedOn w:val="6"/>
    <w:link w:val="3"/>
    <w:semiHidden/>
    <w:locked/>
    <w:uiPriority w:val="99"/>
    <w:rPr>
      <w:rFonts w:cs="Times New Roman"/>
      <w:sz w:val="24"/>
      <w:szCs w:val="24"/>
    </w:rPr>
  </w:style>
  <w:style w:type="character" w:customStyle="1" w:styleId="10">
    <w:name w:val="页脚 Char"/>
    <w:basedOn w:val="6"/>
    <w:link w:val="4"/>
    <w:semiHidden/>
    <w:qFormat/>
    <w:locked/>
    <w:uiPriority w:val="99"/>
    <w:rPr>
      <w:rFonts w:cs="Times New Roman"/>
      <w:sz w:val="18"/>
      <w:szCs w:val="18"/>
    </w:rPr>
  </w:style>
  <w:style w:type="character" w:customStyle="1" w:styleId="11">
    <w:name w:val="标题 3 Char Char"/>
    <w:qFormat/>
    <w:uiPriority w:val="99"/>
    <w:rPr>
      <w:rFonts w:eastAsia="楷体_GB2312"/>
      <w:b/>
      <w:kern w:val="2"/>
      <w:sz w:val="24"/>
      <w:lang w:val="en-US" w:eastAsia="zh-CN"/>
    </w:rPr>
  </w:style>
  <w:style w:type="character" w:customStyle="1" w:styleId="12">
    <w:name w:val="页眉 Char"/>
    <w:basedOn w:val="6"/>
    <w:link w:val="5"/>
    <w:semiHidden/>
    <w:uiPriority w:val="99"/>
    <w:rPr>
      <w:kern w:val="2"/>
      <w:sz w:val="18"/>
      <w:szCs w:val="18"/>
    </w:rPr>
  </w:style>
</w:styles>
</file>

<file path=word/_rels/document.xml.rels><?xml version="1.0" encoding="UTF-8" standalone="yes"?>
<Relationships xmlns="http://schemas.openxmlformats.org/package/2006/relationships"><Relationship Id="rId9" Type="http://schemas.openxmlformats.org/officeDocument/2006/relationships/numbering" Target="numbering.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4.xml"/><Relationship Id="rId5" Type="http://schemas.openxmlformats.org/officeDocument/2006/relationships/footer" Target="footer3.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Micorosoft</Company>
  <Pages>12</Pages>
  <Words>990</Words>
  <Characters>5645</Characters>
  <Lines>47</Lines>
  <Paragraphs>13</Paragraphs>
  <TotalTime>218</TotalTime>
  <ScaleCrop>false</ScaleCrop>
  <LinksUpToDate>false</LinksUpToDate>
  <CharactersWithSpaces>6622</CharactersWithSpaces>
  <Application>WPS Office_11.8.2.8053_F1E327BC-269C-435d-A152-05C5408002CA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2019-05-08T01:00:00Z</dcterms:created>
  <dc:creator>Administrator</dc:creator>
  <cp:lastModifiedBy>空气罐头</cp:lastModifiedBy>
  <cp:lastPrinted>2021-07-30T07:07:45Z</cp:lastPrinted>
  <dcterms:modified xsi:type="dcterms:W3CDTF">2021-07-30T07:29:39Z</dcterms:modified>
  <cp:revision>14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2052-11.8.2.8053</vt:lpwstr>
  </property>
</Properties>
</file>