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年度部门整体支出绩效自评报告</w:t>
      </w:r>
    </w:p>
    <w:p>
      <w:pPr>
        <w:jc w:val="center"/>
        <w:rPr>
          <w:rFonts w:ascii="楷体" w:hAnsi="楷体" w:eastAsia="楷体" w:cs="Times New Roman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华容县民政局</w:t>
      </w:r>
    </w:p>
    <w:p>
      <w:pPr>
        <w:pStyle w:val="5"/>
        <w:widowControl/>
        <w:wordWrap w:val="0"/>
        <w:spacing w:line="560" w:lineRule="exact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部门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基本情况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华容县民政局负责全县的社会救助、社会福利、社会组织、社区建设、殡葬改革、婚姻登记、区划地名等项工作。</w:t>
      </w:r>
      <w:r>
        <w:rPr>
          <w:rFonts w:hint="eastAsia" w:ascii="仿宋" w:hAnsi="仿宋" w:eastAsia="仿宋" w:cs="仿宋_GB2312"/>
          <w:sz w:val="30"/>
          <w:szCs w:val="30"/>
        </w:rPr>
        <w:t>内设办公室、财务统计股、社会事务股、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儿童福利股</w:t>
      </w:r>
      <w:r>
        <w:rPr>
          <w:rFonts w:hint="eastAsia" w:ascii="仿宋" w:hAnsi="仿宋" w:eastAsia="仿宋" w:cs="仿宋_GB2312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政策法规股和行政审批股、</w:t>
      </w:r>
      <w:r>
        <w:rPr>
          <w:rFonts w:hint="eastAsia" w:ascii="仿宋" w:hAnsi="仿宋" w:eastAsia="仿宋" w:cs="仿宋_GB2312"/>
          <w:sz w:val="30"/>
          <w:szCs w:val="30"/>
        </w:rPr>
        <w:t>慈善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事业促进与社会工作股</w:t>
      </w:r>
      <w:r>
        <w:rPr>
          <w:rFonts w:hint="eastAsia" w:ascii="仿宋" w:hAnsi="仿宋" w:eastAsia="仿宋" w:cs="仿宋_GB2312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基层政权和区划地名股</w:t>
      </w:r>
      <w:r>
        <w:rPr>
          <w:rFonts w:hint="eastAsia" w:ascii="仿宋" w:hAnsi="仿宋" w:eastAsia="仿宋" w:cs="仿宋_GB2312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养老服务股</w:t>
      </w:r>
      <w:r>
        <w:rPr>
          <w:rFonts w:hint="eastAsia" w:ascii="仿宋" w:hAnsi="仿宋" w:eastAsia="仿宋" w:cs="仿宋_GB2312"/>
          <w:sz w:val="30"/>
          <w:szCs w:val="30"/>
        </w:rPr>
        <w:t>、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社会组织管理股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_GB2312"/>
          <w:sz w:val="30"/>
          <w:szCs w:val="30"/>
        </w:rPr>
        <w:t>个股室，辖县社会救助局</w:t>
      </w:r>
      <w:r>
        <w:rPr>
          <w:rFonts w:ascii="仿宋" w:hAnsi="仿宋" w:eastAsia="仿宋" w:cs="仿宋_GB2312"/>
          <w:sz w:val="30"/>
          <w:szCs w:val="30"/>
        </w:rPr>
        <w:t>1</w:t>
      </w:r>
      <w:r>
        <w:rPr>
          <w:rFonts w:hint="eastAsia" w:ascii="仿宋" w:hAnsi="仿宋" w:eastAsia="仿宋" w:cs="仿宋_GB2312"/>
          <w:sz w:val="30"/>
          <w:szCs w:val="30"/>
        </w:rPr>
        <w:t>个副科级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二级单位</w:t>
      </w:r>
      <w:r>
        <w:rPr>
          <w:rFonts w:hint="eastAsia" w:ascii="仿宋" w:hAnsi="仿宋" w:eastAsia="仿宋" w:cs="仿宋_GB2312"/>
          <w:sz w:val="30"/>
          <w:szCs w:val="30"/>
        </w:rPr>
        <w:t>，募捐办、社会福利中心、殡葬管理所、殡葬执法大队、救助管理站、婚姻登记处、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儿童福利院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_GB2312"/>
          <w:sz w:val="30"/>
          <w:szCs w:val="30"/>
        </w:rPr>
        <w:t>个二级事业单位。指导</w:t>
      </w:r>
      <w:r>
        <w:rPr>
          <w:rFonts w:ascii="仿宋" w:hAnsi="仿宋" w:eastAsia="仿宋" w:cs="仿宋_GB2312"/>
          <w:sz w:val="30"/>
          <w:szCs w:val="30"/>
        </w:rPr>
        <w:t>16</w:t>
      </w:r>
      <w:r>
        <w:rPr>
          <w:rFonts w:hint="eastAsia" w:ascii="仿宋" w:hAnsi="仿宋" w:eastAsia="仿宋" w:cs="仿宋_GB2312"/>
          <w:sz w:val="30"/>
          <w:szCs w:val="30"/>
        </w:rPr>
        <w:t>个乡镇民政办（含工业园和田家湖生态新区管委会）和</w:t>
      </w:r>
      <w:r>
        <w:rPr>
          <w:rFonts w:ascii="仿宋" w:hAnsi="仿宋" w:eastAsia="仿宋" w:cs="仿宋_GB2312"/>
          <w:sz w:val="30"/>
          <w:szCs w:val="30"/>
        </w:rPr>
        <w:t>21</w:t>
      </w:r>
      <w:r>
        <w:rPr>
          <w:rFonts w:hint="eastAsia" w:ascii="仿宋" w:hAnsi="仿宋" w:eastAsia="仿宋" w:cs="仿宋_GB2312"/>
          <w:sz w:val="30"/>
          <w:szCs w:val="30"/>
        </w:rPr>
        <w:t>所乡镇敬老院。</w:t>
      </w:r>
    </w:p>
    <w:p>
      <w:pPr>
        <w:spacing w:line="560" w:lineRule="exact"/>
        <w:ind w:firstLine="602" w:firstLineChars="20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二、</w:t>
      </w:r>
      <w:r>
        <w:rPr>
          <w:rFonts w:hint="eastAsia" w:ascii="黑体" w:hAnsi="黑体" w:eastAsia="黑体" w:cs="黑体"/>
          <w:bCs/>
          <w:sz w:val="30"/>
          <w:szCs w:val="30"/>
        </w:rPr>
        <w:t>部门整体支出管理及使用情况</w:t>
      </w:r>
    </w:p>
    <w:p>
      <w:pPr>
        <w:pStyle w:val="5"/>
        <w:widowControl/>
        <w:wordWrap w:val="0"/>
        <w:spacing w:line="560" w:lineRule="exact"/>
        <w:ind w:firstLine="602" w:firstLineChars="200"/>
        <w:rPr>
          <w:rFonts w:hint="eastAsia" w:ascii="仿宋" w:hAnsi="仿宋" w:eastAsia="仿宋" w:cs="楷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楷体"/>
          <w:b/>
          <w:bCs/>
          <w:color w:val="000000"/>
          <w:sz w:val="30"/>
          <w:szCs w:val="30"/>
        </w:rPr>
        <w:t>（一）</w:t>
      </w:r>
      <w:r>
        <w:rPr>
          <w:rFonts w:hint="eastAsia" w:ascii="仿宋" w:hAnsi="仿宋" w:eastAsia="仿宋" w:cs="楷体"/>
          <w:b/>
          <w:bCs/>
          <w:color w:val="000000"/>
          <w:sz w:val="30"/>
          <w:szCs w:val="30"/>
          <w:lang w:eastAsia="zh-CN"/>
        </w:rPr>
        <w:t>基本支出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年度财政预算行政运行经费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1059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，其中：人员支出</w:t>
      </w:r>
    </w:p>
    <w:p>
      <w:pP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779.65万元，公用支出279.35万元。</w:t>
      </w:r>
    </w:p>
    <w:p>
      <w:pPr>
        <w:pStyle w:val="5"/>
        <w:widowControl/>
        <w:wordWrap w:val="0"/>
        <w:spacing w:line="560" w:lineRule="exact"/>
        <w:ind w:firstLine="602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b/>
          <w:bCs/>
          <w:color w:val="000000"/>
          <w:sz w:val="30"/>
          <w:szCs w:val="30"/>
        </w:rPr>
        <w:t>（</w:t>
      </w:r>
      <w:r>
        <w:rPr>
          <w:rFonts w:hint="eastAsia" w:ascii="仿宋" w:hAnsi="仿宋" w:eastAsia="仿宋" w:cs="楷体"/>
          <w:b/>
          <w:bCs/>
          <w:color w:val="00000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楷体"/>
          <w:b/>
          <w:bCs/>
          <w:color w:val="000000"/>
          <w:sz w:val="30"/>
          <w:szCs w:val="30"/>
        </w:rPr>
        <w:t>）</w:t>
      </w:r>
      <w:r>
        <w:rPr>
          <w:rFonts w:hint="eastAsia" w:ascii="仿宋" w:hAnsi="仿宋" w:eastAsia="仿宋" w:cs="楷体"/>
          <w:b/>
          <w:bCs/>
          <w:color w:val="000000"/>
          <w:sz w:val="30"/>
          <w:szCs w:val="30"/>
          <w:lang w:eastAsia="zh-CN"/>
        </w:rPr>
        <w:t>专项支出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1、专项资金安排落实、总投入等情况分析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年度，我县民政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专项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资金总额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24807.44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主要用于民政管理事务、社会福利、残疾人事业费、最低基本生活保障、临时救助、特困人员救助供养和其他社会保障和就业等支出。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</w:p>
    <w:p>
      <w:pPr>
        <w:pStyle w:val="5"/>
        <w:widowControl/>
        <w:wordWrap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2、专项资金实际使用情况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及管理情况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分析</w:t>
      </w:r>
    </w:p>
    <w:p>
      <w:pPr>
        <w:pStyle w:val="5"/>
        <w:widowControl/>
        <w:wordWrap w:val="0"/>
        <w:spacing w:line="560" w:lineRule="exact"/>
        <w:ind w:firstLine="900" w:firstLineChars="300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一般公共服务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85.53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民政管理事务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7.1万元，社会福利290.74万元，残疾人事业1100.66万元，最低生活保障8477.16万元，临时救助1067.41万元，特困人员救助供养3898.12万元，其他生活救助27.52万元，其他社会保障和就业支出329.22万元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，卫生健康支出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13.2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，扶贫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2万元，其他支出9198.78万元（专项债券安排支出9000万元、福彩公益金198.78万元）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，抗疫特别债券安排支出（困难群众基本生活补助）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310万元。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部门专项组织实施情况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（一）专项组织情况分析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专项资金支出由局长统筹管理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，各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专项资金由相关业务股室依据政策和工作实际拟定拨付资金方案，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并经股室负责人初审→财务股长初核→分管负责人审核→值班负责人审批→报局长审签。财务股按财政国库集中支付相关规定予以支付。资金下达到相关单位后，业务股室完整做好专项台账，确保资金足额及时到对象到项目，并切实加强跟踪督查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（二）专项管理情况分析</w:t>
      </w:r>
    </w:p>
    <w:p>
      <w:pPr>
        <w:pStyle w:val="5"/>
        <w:widowControl/>
        <w:wordWrap w:val="0"/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在专项预算方面实行分类管理，绩效优先，基本民生支出项目优先预算，资金优先安排，其他专项资金根据绩效评价结果预算安排。</w:t>
      </w:r>
    </w:p>
    <w:p>
      <w:pPr>
        <w:numPr>
          <w:ilvl w:val="0"/>
          <w:numId w:val="1"/>
        </w:numPr>
        <w:spacing w:line="560" w:lineRule="exact"/>
        <w:ind w:left="0" w:leftChars="0" w:firstLine="600" w:firstLineChars="2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部门整体支出绩效情况</w:t>
      </w:r>
    </w:p>
    <w:p>
      <w:pPr>
        <w:snapToGrid w:val="0"/>
        <w:spacing w:line="520" w:lineRule="exact"/>
        <w:ind w:firstLine="600" w:firstLineChars="200"/>
        <w:rPr>
          <w:rFonts w:ascii="仿宋_GB2312" w:hAnsi="宋体" w:eastAsia="仿宋_GB2312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为贯彻执行国家预算法，加强预算绩效管理，我局严格按预算绩效管理的相关要求开展预算工作，我局</w:t>
      </w:r>
      <w:r>
        <w:rPr>
          <w:rFonts w:ascii="仿宋_GB2312" w:hAnsi="宋体" w:eastAsia="仿宋_GB2312"/>
          <w:color w:val="333333"/>
          <w:kern w:val="0"/>
          <w:sz w:val="30"/>
          <w:szCs w:val="30"/>
        </w:rPr>
        <w:t>20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年总支出为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26486.84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万元。其中：基本支出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  <w:lang w:val="en-US" w:eastAsia="zh-CN"/>
        </w:rPr>
        <w:t>1679.4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万元</w:t>
      </w:r>
      <w:r>
        <w:rPr>
          <w:rFonts w:ascii="仿宋_GB2312" w:hAnsi="宋体" w:eastAsia="仿宋_GB2312"/>
          <w:color w:val="333333"/>
          <w:kern w:val="0"/>
          <w:sz w:val="30"/>
          <w:szCs w:val="30"/>
        </w:rPr>
        <w:t>,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占总支出的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  <w:lang w:val="en-US" w:eastAsia="zh-CN"/>
        </w:rPr>
        <w:t>6.3</w:t>
      </w:r>
      <w:r>
        <w:rPr>
          <w:rFonts w:ascii="仿宋_GB2312" w:hAnsi="宋体" w:eastAsia="仿宋_GB2312"/>
          <w:color w:val="333333"/>
          <w:kern w:val="0"/>
          <w:sz w:val="30"/>
          <w:szCs w:val="30"/>
        </w:rPr>
        <w:t>%;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项目支出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  <w:lang w:val="en-US" w:eastAsia="zh-CN"/>
        </w:rPr>
        <w:t>24807.44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万元</w:t>
      </w:r>
      <w:r>
        <w:rPr>
          <w:rFonts w:ascii="仿宋_GB2312" w:hAnsi="宋体" w:eastAsia="仿宋_GB2312"/>
          <w:color w:val="333333"/>
          <w:kern w:val="0"/>
          <w:sz w:val="30"/>
          <w:szCs w:val="30"/>
        </w:rPr>
        <w:t>,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占总支出的</w:t>
      </w:r>
      <w:r>
        <w:rPr>
          <w:rFonts w:ascii="仿宋_GB2312" w:hAnsi="宋体" w:eastAsia="仿宋_GB2312"/>
          <w:color w:val="333333"/>
          <w:kern w:val="0"/>
          <w:sz w:val="30"/>
          <w:szCs w:val="30"/>
        </w:rPr>
        <w:t>93.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  <w:lang w:val="en-US" w:eastAsia="zh-CN"/>
        </w:rPr>
        <w:t>7</w:t>
      </w:r>
      <w:r>
        <w:rPr>
          <w:rFonts w:ascii="仿宋_GB2312" w:hAnsi="宋体" w:eastAsia="仿宋_GB2312"/>
          <w:color w:val="333333"/>
          <w:kern w:val="0"/>
          <w:sz w:val="30"/>
          <w:szCs w:val="30"/>
        </w:rPr>
        <w:t>%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</w:rPr>
        <w:t>。</w:t>
      </w:r>
      <w:r>
        <w:rPr>
          <w:rFonts w:hint="eastAsia" w:ascii="仿宋_GB2312" w:hAnsi="宋体" w:eastAsia="仿宋_GB2312"/>
          <w:color w:val="333333"/>
          <w:kern w:val="0"/>
          <w:sz w:val="30"/>
          <w:szCs w:val="30"/>
          <w:shd w:val="clear" w:color="auto" w:fill="FFFFFF"/>
        </w:rPr>
        <w:t>我局切实以绩效管理为目标，健全单位绩效管理工作机制，明确责任，努力提高绩效管理工作水平；加强单位制度建设，提升预算管理质量。</w:t>
      </w:r>
    </w:p>
    <w:p>
      <w:pPr>
        <w:spacing w:line="560" w:lineRule="exact"/>
        <w:ind w:firstLine="900" w:firstLineChars="300"/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</w:p>
    <w:p>
      <w:pPr>
        <w:spacing w:line="560" w:lineRule="exact"/>
        <w:ind w:firstLine="900" w:firstLineChars="3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bCs/>
          <w:sz w:val="30"/>
          <w:szCs w:val="30"/>
        </w:rPr>
        <w:t>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300" w:beforeAutospacing="0" w:afterAutospacing="1" w:line="600" w:lineRule="exact"/>
        <w:ind w:left="0" w:right="0" w:firstLine="987" w:firstLineChars="329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1、资金预算刚性不够，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预算编制与实际支出项目有的存在差异</w:t>
      </w:r>
    </w:p>
    <w:p>
      <w:pPr>
        <w:pStyle w:val="2"/>
        <w:ind w:firstLine="1200" w:firstLineChars="4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2、资金预算量与民政事业发展需求增加存在矛盾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六、改进措施和有关建议</w:t>
      </w:r>
    </w:p>
    <w:p>
      <w:pPr>
        <w:pStyle w:val="2"/>
        <w:ind w:firstLine="1200" w:firstLineChars="4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1、严格按预算安排支出，压缩非必要的机构运行经费、</w:t>
      </w:r>
    </w:p>
    <w:p>
      <w:pPr>
        <w:pStyle w:val="2"/>
        <w:ind w:firstLine="1200" w:firstLineChars="4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2、有效运用绩效评价结果，逐步增加预算资金，缓解资金不足与民政事业发展需求的矛盾。</w:t>
      </w:r>
    </w:p>
    <w:p>
      <w:pPr>
        <w:pStyle w:val="5"/>
        <w:widowControl/>
        <w:wordWrap w:val="0"/>
        <w:spacing w:line="560" w:lineRule="exact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pStyle w:val="5"/>
        <w:widowControl/>
        <w:wordWrap w:val="0"/>
        <w:spacing w:line="560" w:lineRule="exact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wordWrap w:val="0"/>
        <w:spacing w:line="600" w:lineRule="exact"/>
        <w:jc w:val="righ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0二一年七月三十日   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3104"/>
    <w:multiLevelType w:val="singleLevel"/>
    <w:tmpl w:val="45D6310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1D4A"/>
    <w:rsid w:val="000378E2"/>
    <w:rsid w:val="00042DD2"/>
    <w:rsid w:val="000657A6"/>
    <w:rsid w:val="000A64A4"/>
    <w:rsid w:val="000B5352"/>
    <w:rsid w:val="000D2651"/>
    <w:rsid w:val="000F268F"/>
    <w:rsid w:val="00102820"/>
    <w:rsid w:val="001518A2"/>
    <w:rsid w:val="00155A05"/>
    <w:rsid w:val="00171439"/>
    <w:rsid w:val="001A7148"/>
    <w:rsid w:val="0020592D"/>
    <w:rsid w:val="00230FF9"/>
    <w:rsid w:val="00252934"/>
    <w:rsid w:val="002778D8"/>
    <w:rsid w:val="003D62B1"/>
    <w:rsid w:val="003F02EE"/>
    <w:rsid w:val="00412943"/>
    <w:rsid w:val="00493ABC"/>
    <w:rsid w:val="005D6982"/>
    <w:rsid w:val="0063130A"/>
    <w:rsid w:val="007377E8"/>
    <w:rsid w:val="00791196"/>
    <w:rsid w:val="007D56D1"/>
    <w:rsid w:val="007E0D9E"/>
    <w:rsid w:val="0082325D"/>
    <w:rsid w:val="008344CC"/>
    <w:rsid w:val="00841A5E"/>
    <w:rsid w:val="00897906"/>
    <w:rsid w:val="008A5CC7"/>
    <w:rsid w:val="008F02D3"/>
    <w:rsid w:val="00913B72"/>
    <w:rsid w:val="00980B6A"/>
    <w:rsid w:val="0098374E"/>
    <w:rsid w:val="009B7926"/>
    <w:rsid w:val="00AC1F9B"/>
    <w:rsid w:val="00AC57F5"/>
    <w:rsid w:val="00B17AC5"/>
    <w:rsid w:val="00B7197A"/>
    <w:rsid w:val="00BA5B05"/>
    <w:rsid w:val="00BC2A48"/>
    <w:rsid w:val="00BD05CA"/>
    <w:rsid w:val="00C200C2"/>
    <w:rsid w:val="00C9482D"/>
    <w:rsid w:val="00CA2DB9"/>
    <w:rsid w:val="00CF0410"/>
    <w:rsid w:val="00D045F0"/>
    <w:rsid w:val="00D11C3F"/>
    <w:rsid w:val="00D17A65"/>
    <w:rsid w:val="00D7684A"/>
    <w:rsid w:val="00DF55AC"/>
    <w:rsid w:val="00E170EA"/>
    <w:rsid w:val="00E366F7"/>
    <w:rsid w:val="00E43B8F"/>
    <w:rsid w:val="00E44818"/>
    <w:rsid w:val="00F347EA"/>
    <w:rsid w:val="00F3773A"/>
    <w:rsid w:val="00F715F6"/>
    <w:rsid w:val="00F73486"/>
    <w:rsid w:val="00F814A1"/>
    <w:rsid w:val="00F87655"/>
    <w:rsid w:val="00FA2564"/>
    <w:rsid w:val="00FE474E"/>
    <w:rsid w:val="01E7476B"/>
    <w:rsid w:val="0D175413"/>
    <w:rsid w:val="0E2A4A74"/>
    <w:rsid w:val="0FCF364B"/>
    <w:rsid w:val="1086299C"/>
    <w:rsid w:val="13D97FB3"/>
    <w:rsid w:val="17D5308F"/>
    <w:rsid w:val="19ED7505"/>
    <w:rsid w:val="1AC86807"/>
    <w:rsid w:val="1AF5214F"/>
    <w:rsid w:val="1B5334FE"/>
    <w:rsid w:val="1E9F1D4A"/>
    <w:rsid w:val="1EF021A2"/>
    <w:rsid w:val="20AB1A61"/>
    <w:rsid w:val="28C35329"/>
    <w:rsid w:val="2ACB7C07"/>
    <w:rsid w:val="3280598F"/>
    <w:rsid w:val="34F44870"/>
    <w:rsid w:val="369F6F8E"/>
    <w:rsid w:val="38542289"/>
    <w:rsid w:val="38AA1DB0"/>
    <w:rsid w:val="3A071EAD"/>
    <w:rsid w:val="3AE75F81"/>
    <w:rsid w:val="3DF31E7F"/>
    <w:rsid w:val="3E6B0F10"/>
    <w:rsid w:val="3F211FFE"/>
    <w:rsid w:val="40735E09"/>
    <w:rsid w:val="410B6B60"/>
    <w:rsid w:val="41E64E36"/>
    <w:rsid w:val="42446381"/>
    <w:rsid w:val="478A7799"/>
    <w:rsid w:val="49C67878"/>
    <w:rsid w:val="4AE16C69"/>
    <w:rsid w:val="4F5B706D"/>
    <w:rsid w:val="534F4E5E"/>
    <w:rsid w:val="5C4517FC"/>
    <w:rsid w:val="5EC96D36"/>
    <w:rsid w:val="61321143"/>
    <w:rsid w:val="6B5F3EFC"/>
    <w:rsid w:val="6D39032A"/>
    <w:rsid w:val="7025714D"/>
    <w:rsid w:val="70A14F48"/>
    <w:rsid w:val="7164349B"/>
    <w:rsid w:val="76A61385"/>
    <w:rsid w:val="76C45FBA"/>
    <w:rsid w:val="7BA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character" w:styleId="8">
    <w:name w:val="FollowedHyperlink"/>
    <w:basedOn w:val="7"/>
    <w:qFormat/>
    <w:uiPriority w:val="99"/>
    <w:rPr>
      <w:color w:val="000000"/>
      <w:u w:val="none"/>
    </w:rPr>
  </w:style>
  <w:style w:type="character" w:styleId="9">
    <w:name w:val="Emphasis"/>
    <w:basedOn w:val="7"/>
    <w:qFormat/>
    <w:locked/>
    <w:uiPriority w:val="0"/>
  </w:style>
  <w:style w:type="character" w:styleId="10">
    <w:name w:val="Hyperlink"/>
    <w:basedOn w:val="7"/>
    <w:qFormat/>
    <w:uiPriority w:val="99"/>
    <w:rPr>
      <w:color w:val="000000"/>
      <w:u w:val="none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ylld-arrow"/>
    <w:basedOn w:val="7"/>
    <w:qFormat/>
    <w:uiPriority w:val="0"/>
    <w:rPr>
      <w:b/>
      <w:color w:val="FFFFFF"/>
    </w:rPr>
  </w:style>
  <w:style w:type="character" w:customStyle="1" w:styleId="14">
    <w:name w:val="hover18"/>
    <w:basedOn w:val="7"/>
    <w:qFormat/>
    <w:uiPriority w:val="0"/>
    <w:rPr>
      <w:color w:val="40B6D9"/>
    </w:rPr>
  </w:style>
  <w:style w:type="character" w:customStyle="1" w:styleId="15">
    <w:name w:val="hover19"/>
    <w:basedOn w:val="7"/>
    <w:qFormat/>
    <w:uiPriority w:val="0"/>
    <w:rPr>
      <w:shd w:val="clear" w:fill="19A9E5"/>
    </w:rPr>
  </w:style>
  <w:style w:type="character" w:customStyle="1" w:styleId="16">
    <w:name w:val="hover20"/>
    <w:basedOn w:val="7"/>
    <w:qFormat/>
    <w:uiPriority w:val="0"/>
    <w:rPr>
      <w:color w:val="000000"/>
      <w:shd w:val="clear" w:fill="FFFFFF"/>
    </w:rPr>
  </w:style>
  <w:style w:type="character" w:customStyle="1" w:styleId="17">
    <w:name w:val="wx-space"/>
    <w:basedOn w:val="7"/>
    <w:qFormat/>
    <w:uiPriority w:val="0"/>
  </w:style>
  <w:style w:type="character" w:customStyle="1" w:styleId="18">
    <w:name w:val="wx-space1"/>
    <w:basedOn w:val="7"/>
    <w:qFormat/>
    <w:uiPriority w:val="0"/>
  </w:style>
  <w:style w:type="character" w:customStyle="1" w:styleId="19">
    <w:name w:val="bsharetext"/>
    <w:basedOn w:val="7"/>
    <w:qFormat/>
    <w:uiPriority w:val="0"/>
  </w:style>
  <w:style w:type="character" w:customStyle="1" w:styleId="20">
    <w:name w:val="s5"/>
    <w:basedOn w:val="7"/>
    <w:qFormat/>
    <w:uiPriority w:val="0"/>
    <w:rPr>
      <w:shd w:val="clear" w:fill="838383"/>
    </w:rPr>
  </w:style>
  <w:style w:type="character" w:customStyle="1" w:styleId="21">
    <w:name w:val="active3"/>
    <w:basedOn w:val="7"/>
    <w:qFormat/>
    <w:uiPriority w:val="0"/>
    <w:rPr>
      <w:color w:val="FFFFFF"/>
      <w:shd w:val="clear" w:fill="FFB400"/>
    </w:rPr>
  </w:style>
  <w:style w:type="character" w:customStyle="1" w:styleId="22">
    <w:name w:val="active4"/>
    <w:basedOn w:val="7"/>
    <w:qFormat/>
    <w:uiPriority w:val="0"/>
    <w:rPr>
      <w:b/>
      <w:color w:val="FFFFFF"/>
      <w:shd w:val="clear" w:fill="40B6DA"/>
    </w:rPr>
  </w:style>
  <w:style w:type="character" w:customStyle="1" w:styleId="23">
    <w:name w:val="active5"/>
    <w:basedOn w:val="7"/>
    <w:qFormat/>
    <w:uiPriority w:val="0"/>
    <w:rPr>
      <w:shd w:val="clear" w:fill="FFFFFF"/>
    </w:rPr>
  </w:style>
  <w:style w:type="character" w:customStyle="1" w:styleId="24">
    <w:name w:val="active6"/>
    <w:basedOn w:val="7"/>
    <w:qFormat/>
    <w:uiPriority w:val="0"/>
    <w:rPr>
      <w:b/>
      <w:color w:val="FFFFFF"/>
      <w:shd w:val="clear" w:fill="40B6DA"/>
    </w:rPr>
  </w:style>
  <w:style w:type="character" w:customStyle="1" w:styleId="25">
    <w:name w:val="active7"/>
    <w:basedOn w:val="7"/>
    <w:qFormat/>
    <w:uiPriority w:val="0"/>
    <w:rPr>
      <w:b/>
      <w:color w:val="FFFFFF"/>
      <w:shd w:val="clear" w:fill="40B6D9"/>
    </w:rPr>
  </w:style>
  <w:style w:type="character" w:customStyle="1" w:styleId="26">
    <w:name w:val="active8"/>
    <w:basedOn w:val="7"/>
    <w:qFormat/>
    <w:uiPriority w:val="0"/>
    <w:rPr>
      <w:color w:val="FFFFFF"/>
      <w:shd w:val="clear" w:fill="40B6D9"/>
    </w:rPr>
  </w:style>
  <w:style w:type="character" w:customStyle="1" w:styleId="27">
    <w:name w:val="active9"/>
    <w:basedOn w:val="7"/>
    <w:qFormat/>
    <w:uiPriority w:val="0"/>
    <w:rPr>
      <w:color w:val="FFFFFF"/>
      <w:shd w:val="clear" w:fill="40B6D9"/>
    </w:rPr>
  </w:style>
  <w:style w:type="character" w:customStyle="1" w:styleId="28">
    <w:name w:val="active10"/>
    <w:basedOn w:val="7"/>
    <w:qFormat/>
    <w:uiPriority w:val="0"/>
    <w:rPr>
      <w:color w:val="FFFFFF"/>
      <w:shd w:val="clear" w:fill="2EC5F2"/>
    </w:rPr>
  </w:style>
  <w:style w:type="character" w:customStyle="1" w:styleId="29">
    <w:name w:val="active11"/>
    <w:basedOn w:val="7"/>
    <w:qFormat/>
    <w:uiPriority w:val="0"/>
    <w:rPr>
      <w:b/>
      <w:color w:val="FFFFFF"/>
      <w:shd w:val="clear" w:fill="40B6D9"/>
    </w:rPr>
  </w:style>
  <w:style w:type="character" w:customStyle="1" w:styleId="30">
    <w:name w:val="s4"/>
    <w:basedOn w:val="7"/>
    <w:qFormat/>
    <w:uiPriority w:val="0"/>
    <w:rPr>
      <w:shd w:val="clear" w:fill="808080"/>
    </w:rPr>
  </w:style>
  <w:style w:type="character" w:customStyle="1" w:styleId="31">
    <w:name w:val="s1"/>
    <w:basedOn w:val="7"/>
    <w:qFormat/>
    <w:uiPriority w:val="0"/>
    <w:rPr>
      <w:shd w:val="clear" w:fill="EE8204"/>
    </w:rPr>
  </w:style>
  <w:style w:type="character" w:customStyle="1" w:styleId="32">
    <w:name w:val="s22"/>
    <w:basedOn w:val="7"/>
    <w:qFormat/>
    <w:uiPriority w:val="0"/>
    <w:rPr>
      <w:shd w:val="clear" w:fill="FFB300"/>
    </w:rPr>
  </w:style>
  <w:style w:type="character" w:customStyle="1" w:styleId="33">
    <w:name w:val="s3"/>
    <w:basedOn w:val="7"/>
    <w:qFormat/>
    <w:uiPriority w:val="0"/>
    <w:rPr>
      <w:shd w:val="clear" w:fill="FDE200"/>
    </w:rPr>
  </w:style>
  <w:style w:type="character" w:customStyle="1" w:styleId="34">
    <w:name w:val="last"/>
    <w:basedOn w:val="7"/>
    <w:qFormat/>
    <w:uiPriority w:val="0"/>
    <w:rPr>
      <w:shd w:val="clear" w:fill="EAEAE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548</Words>
  <Characters>3125</Characters>
  <Lines>26</Lines>
  <Paragraphs>7</Paragraphs>
  <TotalTime>4</TotalTime>
  <ScaleCrop>false</ScaleCrop>
  <LinksUpToDate>false</LinksUpToDate>
  <CharactersWithSpaces>3666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2017-05-18T02:14:00Z</dcterms:created>
  <dc:creator>Administrator</dc:creator>
  <cp:lastModifiedBy>Administrator</cp:lastModifiedBy>
  <dcterms:modified xsi:type="dcterms:W3CDTF">2021-08-03T00:29:50Z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