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2518" w:leftChars="342" w:hanging="1800" w:hangingChars="500"/>
        <w:textAlignment w:val="auto"/>
        <w:rPr>
          <w:rFonts w:hint="default" w:ascii="仿宋_GB2312" w:eastAsia="仿宋_GB2312"/>
          <w:sz w:val="36"/>
          <w:szCs w:val="36"/>
          <w:u w:val="single"/>
          <w:lang w:val="en-US" w:eastAsia="zh-CN"/>
        </w:rPr>
      </w:pPr>
      <w:r>
        <w:rPr>
          <w:rFonts w:hint="eastAsia" w:ascii="仿宋_GB2312" w:eastAsia="仿宋_GB2312"/>
          <w:sz w:val="36"/>
          <w:szCs w:val="36"/>
        </w:rPr>
        <w:t>项目名称：</w:t>
      </w:r>
      <w:r>
        <w:rPr>
          <w:rFonts w:hint="eastAsia" w:ascii="仿宋_GB2312" w:eastAsia="仿宋_GB2312"/>
          <w:sz w:val="36"/>
          <w:szCs w:val="36"/>
          <w:u w:val="single"/>
          <w:lang w:val="en-US" w:eastAsia="zh-CN"/>
        </w:rPr>
        <w:t>湖南春特农业科技开发有限公司年产10000吨多元素颗粒氮肥项目</w:t>
      </w:r>
    </w:p>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lang w:val="en-US" w:eastAsia="zh-CN"/>
        </w:rPr>
        <w:t>湖南春特农业科技开发有限公司</w:t>
      </w:r>
    </w:p>
    <w:p>
      <w:pPr>
        <w:keepNext w:val="0"/>
        <w:keepLines w:val="0"/>
        <w:pageBreakBefore w:val="0"/>
        <w:widowControl w:val="0"/>
        <w:kinsoku/>
        <w:wordWrap/>
        <w:overflowPunct/>
        <w:topLinePunct w:val="0"/>
        <w:autoSpaceDE/>
        <w:autoSpaceDN/>
        <w:bidi w:val="0"/>
        <w:adjustRightInd w:val="0"/>
        <w:snapToGrid w:val="0"/>
        <w:spacing w:line="288" w:lineRule="auto"/>
        <w:ind w:firstLine="720" w:firstLineChars="200"/>
        <w:textAlignment w:val="auto"/>
        <w:rPr>
          <w:rFonts w:hint="default" w:ascii="仿宋_GB2312" w:eastAsia="仿宋_GB2312"/>
          <w:sz w:val="36"/>
          <w:szCs w:val="36"/>
          <w:u w:val="single"/>
          <w:lang w:val="en-US" w:eastAsia="zh-CN"/>
        </w:rPr>
      </w:pPr>
      <w:r>
        <w:rPr>
          <w:rFonts w:hint="eastAsia" w:ascii="仿宋_GB2312" w:eastAsia="仿宋_GB2312"/>
          <w:sz w:val="36"/>
          <w:szCs w:val="36"/>
        </w:rPr>
        <w:t>编制日期：</w:t>
      </w:r>
      <w:r>
        <w:rPr>
          <w:rFonts w:hint="eastAsia" w:ascii="仿宋_GB2312" w:eastAsia="仿宋_GB2312"/>
          <w:sz w:val="36"/>
          <w:szCs w:val="36"/>
          <w:u w:val="single"/>
          <w:lang w:val="en-US" w:eastAsia="zh-CN"/>
        </w:rPr>
        <w:t xml:space="preserve">            2021年7月             </w:t>
      </w: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0"/>
    <w:p>
      <w:pPr>
        <w:adjustRightInd w:val="0"/>
        <w:snapToGrid w:val="0"/>
        <w:spacing w:line="288" w:lineRule="auto"/>
        <w:jc w:val="center"/>
        <w:rPr>
          <w:rFonts w:hint="eastAsia" w:ascii="楷体_GB2312" w:eastAsia="楷体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4725"/>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eastAsia="zh-CN"/>
              </w:rPr>
            </w:pPr>
            <w:r>
              <w:rPr>
                <w:rFonts w:hint="default" w:ascii="Times New Roman" w:hAnsi="Times New Roman" w:cs="Times New Roman"/>
                <w:b w:val="0"/>
                <w:bCs w:val="0"/>
                <w:sz w:val="24"/>
                <w:szCs w:val="24"/>
                <w:vertAlign w:val="baseline"/>
                <w:lang w:eastAsia="zh-CN"/>
              </w:rPr>
              <w:t>序号</w:t>
            </w:r>
          </w:p>
        </w:tc>
        <w:tc>
          <w:tcPr>
            <w:tcW w:w="4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eastAsia="zh-CN"/>
              </w:rPr>
            </w:pPr>
            <w:r>
              <w:rPr>
                <w:rFonts w:hint="default" w:ascii="Times New Roman" w:hAnsi="Times New Roman" w:cs="Times New Roman"/>
                <w:b w:val="0"/>
                <w:bCs w:val="0"/>
                <w:sz w:val="24"/>
                <w:szCs w:val="24"/>
                <w:vertAlign w:val="baseline"/>
                <w:lang w:eastAsia="zh-CN"/>
              </w:rPr>
              <w:t>专家意见</w:t>
            </w:r>
          </w:p>
        </w:tc>
        <w:tc>
          <w:tcPr>
            <w:tcW w:w="6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eastAsia="zh-CN"/>
              </w:rPr>
            </w:pPr>
            <w:r>
              <w:rPr>
                <w:rFonts w:hint="default" w:ascii="Times New Roman" w:hAnsi="Times New Roman" w:cs="Times New Roman"/>
                <w:b w:val="0"/>
                <w:bCs w:val="0"/>
                <w:sz w:val="24"/>
                <w:szCs w:val="24"/>
                <w:vertAlign w:val="baseline"/>
                <w:lang w:eastAsia="zh-CN"/>
              </w:rPr>
              <w:t>修改</w:t>
            </w:r>
            <w:r>
              <w:rPr>
                <w:rFonts w:hint="eastAsia" w:ascii="Times New Roman" w:hAnsi="Times New Roman" w:cs="Times New Roman"/>
                <w:b w:val="0"/>
                <w:bCs w:val="0"/>
                <w:sz w:val="24"/>
                <w:szCs w:val="24"/>
                <w:vertAlign w:val="baseli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1</w:t>
            </w:r>
          </w:p>
        </w:tc>
        <w:tc>
          <w:tcPr>
            <w:tcW w:w="4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color w:val="000000" w:themeColor="text1"/>
                <w:sz w:val="24"/>
                <w:szCs w:val="24"/>
                <w14:textFill>
                  <w14:solidFill>
                    <w14:schemeClr w14:val="tx1"/>
                  </w14:solidFill>
                </w14:textFill>
              </w:rPr>
              <w:t>调查核实项目区管网建设与华容县桥东污水处理厂对接情况，核实细化建设内容一览表。</w:t>
            </w:r>
          </w:p>
        </w:tc>
        <w:tc>
          <w:tcPr>
            <w:tcW w:w="6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调查核实项目区管网建设与华容县桥东污水处理厂对接情况</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P26；</w:t>
            </w:r>
            <w:r>
              <w:rPr>
                <w:rFonts w:hint="default" w:ascii="Times New Roman" w:hAnsi="Times New Roman" w:cs="Times New Roman"/>
                <w:b w:val="0"/>
                <w:bCs w:val="0"/>
                <w:color w:val="000000" w:themeColor="text1"/>
                <w:sz w:val="24"/>
                <w:szCs w:val="24"/>
                <w14:textFill>
                  <w14:solidFill>
                    <w14:schemeClr w14:val="tx1"/>
                  </w14:solidFill>
                </w14:textFill>
              </w:rPr>
              <w:t>核实细化建设内容一览表</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2</w:t>
            </w:r>
          </w:p>
        </w:tc>
        <w:tc>
          <w:tcPr>
            <w:tcW w:w="4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color w:val="000000" w:themeColor="text1"/>
                <w:sz w:val="24"/>
                <w:szCs w:val="24"/>
                <w14:textFill>
                  <w14:solidFill>
                    <w14:schemeClr w14:val="tx1"/>
                  </w14:solidFill>
                </w14:textFill>
              </w:rPr>
              <w:t>核实产品方案，按生产线设置情况，核实设备清单、原辅材料用量，完善原辅材料理化性质，核实原料储存情况，结合设备规格、工作制度核算与项目产能的匹配性。</w:t>
            </w:r>
          </w:p>
        </w:tc>
        <w:tc>
          <w:tcPr>
            <w:tcW w:w="6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eastAsia="zh-CN"/>
              </w:rPr>
              <w:t>已核实</w:t>
            </w:r>
            <w:r>
              <w:rPr>
                <w:rFonts w:hint="default" w:ascii="Times New Roman" w:hAnsi="Times New Roman" w:cs="Times New Roman"/>
                <w:b w:val="0"/>
                <w:bCs w:val="0"/>
                <w:color w:val="000000" w:themeColor="text1"/>
                <w:sz w:val="24"/>
                <w:szCs w:val="24"/>
                <w14:textFill>
                  <w14:solidFill>
                    <w14:schemeClr w14:val="tx1"/>
                  </w14:solidFill>
                </w14:textFill>
              </w:rPr>
              <w:t>核实产品方案，</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按生产线设置情况，核实设备清单、原辅材料用量</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P11、P12；已</w:t>
            </w:r>
            <w:r>
              <w:rPr>
                <w:rFonts w:hint="default" w:ascii="Times New Roman" w:hAnsi="Times New Roman" w:cs="Times New Roman"/>
                <w:b w:val="0"/>
                <w:bCs w:val="0"/>
                <w:color w:val="000000" w:themeColor="text1"/>
                <w:sz w:val="24"/>
                <w:szCs w:val="24"/>
                <w14:textFill>
                  <w14:solidFill>
                    <w14:schemeClr w14:val="tx1"/>
                  </w14:solidFill>
                </w14:textFill>
              </w:rPr>
              <w:t>完善原辅材料理化性质，</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核实原料储存情况，</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结合设备规格、工作制度核算与项目产能的匹配性</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P10、P11。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3</w:t>
            </w:r>
          </w:p>
        </w:tc>
        <w:tc>
          <w:tcPr>
            <w:tcW w:w="4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color w:val="000000" w:themeColor="text1"/>
                <w:sz w:val="24"/>
                <w:szCs w:val="24"/>
                <w14:textFill>
                  <w14:solidFill>
                    <w14:schemeClr w14:val="tx1"/>
                  </w14:solidFill>
                </w14:textFill>
              </w:rPr>
              <w:t>补充大气特征因子（氨）环境质量现状监测，完善环境质量现状评价内容，核实评价执行标准，核实环境保护目标方位、距离及规模。</w:t>
            </w:r>
          </w:p>
        </w:tc>
        <w:tc>
          <w:tcPr>
            <w:tcW w:w="6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补充大气特征因子（氨）环境质量现状监测，</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P16；已完善</w:t>
            </w:r>
            <w:r>
              <w:rPr>
                <w:rFonts w:hint="default" w:ascii="Times New Roman" w:hAnsi="Times New Roman" w:cs="Times New Roman"/>
                <w:b w:val="0"/>
                <w:bCs w:val="0"/>
                <w:color w:val="000000" w:themeColor="text1"/>
                <w:sz w:val="24"/>
                <w:szCs w:val="24"/>
                <w14:textFill>
                  <w14:solidFill>
                    <w14:schemeClr w14:val="tx1"/>
                  </w14:solidFill>
                </w14:textFill>
              </w:rPr>
              <w:t>环境质量现状评价内容，</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P15-P17；已</w:t>
            </w:r>
            <w:r>
              <w:rPr>
                <w:rFonts w:hint="default" w:ascii="Times New Roman" w:hAnsi="Times New Roman" w:cs="Times New Roman"/>
                <w:b w:val="0"/>
                <w:bCs w:val="0"/>
                <w:color w:val="000000" w:themeColor="text1"/>
                <w:sz w:val="24"/>
                <w:szCs w:val="24"/>
                <w14:textFill>
                  <w14:solidFill>
                    <w14:schemeClr w14:val="tx1"/>
                  </w14:solidFill>
                </w14:textFill>
              </w:rPr>
              <w:t>核实评价执行标准，</w:t>
            </w:r>
            <w:r>
              <w:rPr>
                <w:rFonts w:hint="eastAsia" w:cs="Times New Roman"/>
                <w:b w:val="0"/>
                <w:bCs w:val="0"/>
                <w:color w:val="000000" w:themeColor="text1"/>
                <w:sz w:val="24"/>
                <w:szCs w:val="24"/>
                <w:lang w:val="en-US" w:eastAsia="zh-CN"/>
                <w14:textFill>
                  <w14:solidFill>
                    <w14:schemeClr w14:val="tx1"/>
                  </w14:solidFill>
                </w14:textFill>
              </w:rPr>
              <w:t>P18-P19；已</w:t>
            </w:r>
            <w:r>
              <w:rPr>
                <w:rFonts w:hint="default" w:ascii="Times New Roman" w:hAnsi="Times New Roman" w:cs="Times New Roman"/>
                <w:b w:val="0"/>
                <w:bCs w:val="0"/>
                <w:color w:val="000000" w:themeColor="text1"/>
                <w:sz w:val="24"/>
                <w:szCs w:val="24"/>
                <w14:textFill>
                  <w14:solidFill>
                    <w14:schemeClr w14:val="tx1"/>
                  </w14:solidFill>
                </w14:textFill>
              </w:rPr>
              <w:t>核实环境保护目标方位、距离及规模</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4</w:t>
            </w:r>
          </w:p>
        </w:tc>
        <w:tc>
          <w:tcPr>
            <w:tcW w:w="4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color w:val="000000" w:themeColor="text1"/>
                <w:sz w:val="24"/>
                <w:szCs w:val="24"/>
                <w14:textFill>
                  <w14:solidFill>
                    <w14:schemeClr w14:val="tx1"/>
                  </w14:solidFill>
                </w14:textFill>
              </w:rPr>
              <w:t>核实生产线生产方式，结合产品方案细化工艺流程图，核实粉尘产生源强，细化粉尘收集措施，明确排气筒数量，核实排气筒参数。</w:t>
            </w:r>
          </w:p>
        </w:tc>
        <w:tc>
          <w:tcPr>
            <w:tcW w:w="6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cs="Times New Roman"/>
                <w:b w:val="0"/>
                <w:bCs w:val="0"/>
                <w:color w:val="000000" w:themeColor="text1"/>
                <w:sz w:val="24"/>
                <w:szCs w:val="24"/>
                <w:lang w:eastAsia="zh-CN"/>
                <w14:textFill>
                  <w14:solidFill>
                    <w14:schemeClr w14:val="tx1"/>
                  </w14:solidFill>
                </w14:textFill>
              </w:rPr>
              <w:t>本项目为一条</w:t>
            </w:r>
            <w:r>
              <w:rPr>
                <w:rFonts w:hint="default" w:ascii="Times New Roman" w:hAnsi="Times New Roman" w:cs="Times New Roman"/>
                <w:b w:val="0"/>
                <w:bCs w:val="0"/>
                <w:color w:val="000000" w:themeColor="text1"/>
                <w:sz w:val="24"/>
                <w:szCs w:val="24"/>
                <w14:textFill>
                  <w14:solidFill>
                    <w14:schemeClr w14:val="tx1"/>
                  </w14:solidFill>
                </w14:textFill>
              </w:rPr>
              <w:t>生产线</w:t>
            </w:r>
            <w:r>
              <w:rPr>
                <w:rFonts w:hint="eastAsia" w:cs="Times New Roman"/>
                <w:b w:val="0"/>
                <w:bCs w:val="0"/>
                <w:color w:val="000000" w:themeColor="text1"/>
                <w:sz w:val="24"/>
                <w:szCs w:val="24"/>
                <w:lang w:eastAsia="zh-CN"/>
                <w14:textFill>
                  <w14:solidFill>
                    <w14:schemeClr w14:val="tx1"/>
                  </w14:solidFill>
                </w14:textFill>
              </w:rPr>
              <w:t>的</w:t>
            </w:r>
            <w:r>
              <w:rPr>
                <w:rFonts w:hint="default" w:ascii="Times New Roman" w:hAnsi="Times New Roman" w:cs="Times New Roman"/>
                <w:b w:val="0"/>
                <w:bCs w:val="0"/>
                <w:color w:val="000000" w:themeColor="text1"/>
                <w:sz w:val="24"/>
                <w:szCs w:val="24"/>
                <w14:textFill>
                  <w14:solidFill>
                    <w14:schemeClr w14:val="tx1"/>
                  </w14:solidFill>
                </w14:textFill>
              </w:rPr>
              <w:t>生产方式，</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结合产品方案细化工艺流程图，</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核实粉尘产生源强，</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细化粉尘收集措施，</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明确排气筒数量，</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核实排气筒参数。</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5</w:t>
            </w:r>
          </w:p>
        </w:tc>
        <w:tc>
          <w:tcPr>
            <w:tcW w:w="4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color w:val="000000" w:themeColor="text1"/>
                <w:sz w:val="24"/>
                <w:szCs w:val="24"/>
                <w14:textFill>
                  <w14:solidFill>
                    <w14:schemeClr w14:val="tx1"/>
                  </w14:solidFill>
                </w14:textFill>
              </w:rPr>
              <w:t>完善“建设项目基本情况表”中的规划情况，补充园区环评批复文件，补充项目入园意见，强化项目建设与园区产业定位相符性分析，据此完善项目选址合理性分析；强化“三线一单”相符性分析。</w:t>
            </w:r>
          </w:p>
        </w:tc>
        <w:tc>
          <w:tcPr>
            <w:tcW w:w="6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完善“建设项目基本情况表”中的规划情况，</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P1；已</w:t>
            </w:r>
            <w:r>
              <w:rPr>
                <w:rFonts w:hint="default" w:ascii="Times New Roman" w:hAnsi="Times New Roman" w:cs="Times New Roman"/>
                <w:b w:val="0"/>
                <w:bCs w:val="0"/>
                <w:color w:val="000000" w:themeColor="text1"/>
                <w:sz w:val="24"/>
                <w:szCs w:val="24"/>
                <w14:textFill>
                  <w14:solidFill>
                    <w14:schemeClr w14:val="tx1"/>
                  </w14:solidFill>
                </w14:textFill>
              </w:rPr>
              <w:t>补充园区环评批复文件，</w:t>
            </w:r>
            <w:r>
              <w:rPr>
                <w:rFonts w:hint="eastAsia" w:cs="Times New Roman"/>
                <w:b w:val="0"/>
                <w:bCs w:val="0"/>
                <w:color w:val="000000" w:themeColor="text1"/>
                <w:sz w:val="24"/>
                <w:szCs w:val="24"/>
                <w:lang w:eastAsia="zh-CN"/>
                <w14:textFill>
                  <w14:solidFill>
                    <w14:schemeClr w14:val="tx1"/>
                  </w14:solidFill>
                </w14:textFill>
              </w:rPr>
              <w:t>详见附件</w:t>
            </w:r>
            <w:r>
              <w:rPr>
                <w:rFonts w:hint="eastAsia" w:cs="Times New Roman"/>
                <w:b w:val="0"/>
                <w:bCs w:val="0"/>
                <w:color w:val="000000" w:themeColor="text1"/>
                <w:sz w:val="24"/>
                <w:szCs w:val="24"/>
                <w:lang w:val="en-US" w:eastAsia="zh-CN"/>
                <w14:textFill>
                  <w14:solidFill>
                    <w14:schemeClr w14:val="tx1"/>
                  </w14:solidFill>
                </w14:textFill>
              </w:rPr>
              <w:t>7；</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补充项目入园意见，</w:t>
            </w:r>
            <w:r>
              <w:rPr>
                <w:rFonts w:hint="eastAsia" w:cs="Times New Roman"/>
                <w:b w:val="0"/>
                <w:bCs w:val="0"/>
                <w:color w:val="000000" w:themeColor="text1"/>
                <w:sz w:val="24"/>
                <w:szCs w:val="24"/>
                <w:lang w:eastAsia="zh-CN"/>
                <w14:textFill>
                  <w14:solidFill>
                    <w14:schemeClr w14:val="tx1"/>
                  </w14:solidFill>
                </w14:textFill>
              </w:rPr>
              <w:t>详见附件</w:t>
            </w:r>
            <w:r>
              <w:rPr>
                <w:rFonts w:hint="eastAsia" w:cs="Times New Roman"/>
                <w:b w:val="0"/>
                <w:bCs w:val="0"/>
                <w:color w:val="000000" w:themeColor="text1"/>
                <w:sz w:val="24"/>
                <w:szCs w:val="24"/>
                <w:lang w:val="en-US" w:eastAsia="zh-CN"/>
                <w14:textFill>
                  <w14:solidFill>
                    <w14:schemeClr w14:val="tx1"/>
                  </w14:solidFill>
                </w14:textFill>
              </w:rPr>
              <w:t>3；已</w:t>
            </w:r>
            <w:r>
              <w:rPr>
                <w:rFonts w:hint="default" w:ascii="Times New Roman" w:hAnsi="Times New Roman" w:cs="Times New Roman"/>
                <w:b w:val="0"/>
                <w:bCs w:val="0"/>
                <w:color w:val="000000" w:themeColor="text1"/>
                <w:sz w:val="24"/>
                <w:szCs w:val="24"/>
                <w14:textFill>
                  <w14:solidFill>
                    <w14:schemeClr w14:val="tx1"/>
                  </w14:solidFill>
                </w14:textFill>
              </w:rPr>
              <w:t>强化项目建设与园区产业定位相符性分析，</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P5；</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完善项目选址合理性分析</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P2</w:t>
            </w:r>
            <w:r>
              <w:rPr>
                <w:rFonts w:hint="default" w:ascii="Times New Roman" w:hAnsi="Times New Roman" w:cs="Times New Roman"/>
                <w:b w:val="0"/>
                <w:bCs w:val="0"/>
                <w:color w:val="000000" w:themeColor="text1"/>
                <w:sz w:val="24"/>
                <w:szCs w:val="24"/>
                <w14:textFill>
                  <w14:solidFill>
                    <w14:schemeClr w14:val="tx1"/>
                  </w14:solidFill>
                </w14:textFill>
              </w:rPr>
              <w:t>；</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强化“三线一单”相符性分析</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P5</w:t>
            </w:r>
            <w:r>
              <w:rPr>
                <w:rFonts w:hint="default" w:ascii="Times New Roman" w:hAnsi="Times New Roman" w:cs="Times New Roman"/>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6</w:t>
            </w:r>
          </w:p>
        </w:tc>
        <w:tc>
          <w:tcPr>
            <w:tcW w:w="4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color w:val="000000" w:themeColor="text1"/>
                <w:sz w:val="24"/>
                <w:szCs w:val="24"/>
                <w14:textFill>
                  <w14:solidFill>
                    <w14:schemeClr w14:val="tx1"/>
                  </w14:solidFill>
                </w14:textFill>
              </w:rPr>
              <w:t>完善环境监测计划，完善附图附件。</w:t>
            </w:r>
          </w:p>
        </w:tc>
        <w:tc>
          <w:tcPr>
            <w:tcW w:w="6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4"/>
                <w:szCs w:val="24"/>
                <w:vertAlign w:val="baseline"/>
              </w:rPr>
            </w:pP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完善环境监测计划，</w:t>
            </w:r>
            <w:r>
              <w:rPr>
                <w:rFonts w:hint="eastAsia" w:cs="Times New Roman"/>
                <w:b w:val="0"/>
                <w:bCs w:val="0"/>
                <w:color w:val="000000" w:themeColor="text1"/>
                <w:sz w:val="24"/>
                <w:szCs w:val="24"/>
                <w:lang w:eastAsia="zh-CN"/>
                <w14:textFill>
                  <w14:solidFill>
                    <w14:schemeClr w14:val="tx1"/>
                  </w14:solidFill>
                </w14:textFill>
              </w:rPr>
              <w:t>详见</w:t>
            </w:r>
            <w:r>
              <w:rPr>
                <w:rFonts w:hint="eastAsia" w:cs="Times New Roman"/>
                <w:b w:val="0"/>
                <w:bCs w:val="0"/>
                <w:color w:val="000000" w:themeColor="text1"/>
                <w:sz w:val="24"/>
                <w:szCs w:val="24"/>
                <w:lang w:val="en-US" w:eastAsia="zh-CN"/>
                <w14:textFill>
                  <w14:solidFill>
                    <w14:schemeClr w14:val="tx1"/>
                  </w14:solidFill>
                </w14:textFill>
              </w:rPr>
              <w:t>P31；</w:t>
            </w:r>
            <w:r>
              <w:rPr>
                <w:rFonts w:hint="eastAsia" w:cs="Times New Roman"/>
                <w:b w:val="0"/>
                <w:bCs w:val="0"/>
                <w:color w:val="000000" w:themeColor="text1"/>
                <w:sz w:val="24"/>
                <w:szCs w:val="24"/>
                <w:lang w:eastAsia="zh-CN"/>
                <w14:textFill>
                  <w14:solidFill>
                    <w14:schemeClr w14:val="tx1"/>
                  </w14:solidFill>
                </w14:textFill>
              </w:rPr>
              <w:t>已</w:t>
            </w:r>
            <w:r>
              <w:rPr>
                <w:rFonts w:hint="default" w:ascii="Times New Roman" w:hAnsi="Times New Roman" w:cs="Times New Roman"/>
                <w:b w:val="0"/>
                <w:bCs w:val="0"/>
                <w:color w:val="000000" w:themeColor="text1"/>
                <w:sz w:val="24"/>
                <w:szCs w:val="24"/>
                <w14:textFill>
                  <w14:solidFill>
                    <w14:schemeClr w14:val="tx1"/>
                  </w14:solidFill>
                </w14:textFill>
              </w:rPr>
              <w:t>完善附图附件</w:t>
            </w:r>
            <w:r>
              <w:rPr>
                <w:rFonts w:hint="eastAsia" w:cs="Times New Roman"/>
                <w:b w:val="0"/>
                <w:bCs w:val="0"/>
                <w:color w:val="000000" w:themeColor="text1"/>
                <w:sz w:val="24"/>
                <w:szCs w:val="24"/>
                <w:lang w:eastAsia="zh-CN"/>
                <w14:textFill>
                  <w14:solidFill>
                    <w14:schemeClr w14:val="tx1"/>
                  </w14:solidFill>
                </w14:textFill>
              </w:rPr>
              <w:t>，详见附图附件</w:t>
            </w:r>
            <w:r>
              <w:rPr>
                <w:rFonts w:hint="default" w:ascii="Times New Roman" w:hAnsi="Times New Roman" w:cs="Times New Roman"/>
                <w:b w:val="0"/>
                <w:bCs w:val="0"/>
                <w:color w:val="000000" w:themeColor="text1"/>
                <w:sz w:val="24"/>
                <w:szCs w:val="24"/>
                <w14:textFill>
                  <w14:solidFill>
                    <w14:schemeClr w14:val="tx1"/>
                  </w14:solidFill>
                </w14:textFill>
              </w:rPr>
              <w:t>。</w:t>
            </w:r>
          </w:p>
        </w:tc>
      </w:tr>
    </w:tbl>
    <w:p>
      <w:pPr>
        <w:pStyle w:val="2"/>
        <w:rPr>
          <w:rFonts w:hint="eastAsia"/>
        </w:rPr>
        <w:sectPr>
          <w:pgSz w:w="16838" w:h="11906" w:orient="landscape"/>
          <w:pgMar w:top="1531" w:right="1701" w:bottom="1531" w:left="1701" w:header="851" w:footer="1077" w:gutter="0"/>
          <w:pgBorders>
            <w:top w:val="none" w:sz="0" w:space="0"/>
            <w:left w:val="none" w:sz="0" w:space="0"/>
            <w:bottom w:val="none" w:sz="0" w:space="0"/>
            <w:right w:val="none" w:sz="0" w:space="0"/>
          </w:pgBorders>
          <w:pgNumType w:fmt="decimal" w:start="3"/>
          <w:cols w:space="720" w:num="1"/>
          <w:docGrid w:linePitch="312" w:charSpace="0"/>
        </w:sectPr>
      </w:pPr>
    </w:p>
    <w:p>
      <w:pPr>
        <w:pStyle w:val="7"/>
        <w:jc w:val="center"/>
        <w:rPr>
          <w:rFonts w:hint="eastAsia"/>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宋体" w:hAnsi="宋体" w:eastAsia="宋体" w:cs="宋体"/>
          <w:sz w:val="24"/>
          <w:szCs w:val="24"/>
        </w:rPr>
        <w:drawing>
          <wp:inline distT="0" distB="0" distL="114300" distR="114300">
            <wp:extent cx="5504815" cy="7842250"/>
            <wp:effectExtent l="0" t="0" r="635" b="6350"/>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8"/>
                    <a:stretch>
                      <a:fillRect/>
                    </a:stretch>
                  </pic:blipFill>
                  <pic:spPr>
                    <a:xfrm>
                      <a:off x="0" y="0"/>
                      <a:ext cx="5504815" cy="7842250"/>
                    </a:xfrm>
                    <a:prstGeom prst="rect">
                      <a:avLst/>
                    </a:prstGeom>
                    <a:noFill/>
                    <a:ln w="9525">
                      <a:noFill/>
                    </a:ln>
                  </pic:spPr>
                </pic:pic>
              </a:graphicData>
            </a:graphic>
          </wp:inline>
        </w:drawing>
      </w:r>
    </w:p>
    <w:p>
      <w:pPr>
        <w:pStyle w:val="7"/>
        <w:rPr>
          <w:rFonts w:hint="eastAsia"/>
        </w:rPr>
      </w:pPr>
    </w:p>
    <w:p>
      <w:pPr>
        <w:rPr>
          <w:rFonts w:hint="eastAsia" w:eastAsia="宋体"/>
          <w:lang w:eastAsia="zh-CN"/>
        </w:rPr>
      </w:pPr>
      <w:r>
        <w:rPr>
          <w:rFonts w:ascii="宋体" w:hAnsi="宋体" w:eastAsia="宋体" w:cs="宋体"/>
          <w:sz w:val="24"/>
          <w:szCs w:val="24"/>
        </w:rPr>
        <w:drawing>
          <wp:inline distT="0" distB="0" distL="114300" distR="114300">
            <wp:extent cx="5677535" cy="2335530"/>
            <wp:effectExtent l="0" t="0" r="18415" b="762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9"/>
                    <a:stretch>
                      <a:fillRect/>
                    </a:stretch>
                  </pic:blipFill>
                  <pic:spPr>
                    <a:xfrm>
                      <a:off x="0" y="0"/>
                      <a:ext cx="5677535" cy="2335530"/>
                    </a:xfrm>
                    <a:prstGeom prst="rect">
                      <a:avLst/>
                    </a:prstGeom>
                    <a:noFill/>
                    <a:ln w="9525">
                      <a:noFill/>
                    </a:ln>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682615" cy="1580515"/>
            <wp:effectExtent l="0" t="0" r="13335" b="635"/>
            <wp:docPr id="1" name="图片 1" descr="`JS[ED))L(_0LWIA20G3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S[ED))L(_0LWIA20G3O]T"/>
                    <pic:cNvPicPr>
                      <a:picLocks noChangeAspect="1"/>
                    </pic:cNvPicPr>
                  </pic:nvPicPr>
                  <pic:blipFill>
                    <a:blip r:embed="rId10"/>
                    <a:stretch>
                      <a:fillRect/>
                    </a:stretch>
                  </pic:blipFill>
                  <pic:spPr>
                    <a:xfrm>
                      <a:off x="0" y="0"/>
                      <a:ext cx="5682615" cy="158051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743575" cy="1590040"/>
            <wp:effectExtent l="0" t="0" r="9525" b="10160"/>
            <wp:docPr id="9" name="图片 9" descr="P`P~A80~Y5IQ0ST@W7)F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P~A80~Y5IQ0ST@W7)F907"/>
                    <pic:cNvPicPr>
                      <a:picLocks noChangeAspect="1"/>
                    </pic:cNvPicPr>
                  </pic:nvPicPr>
                  <pic:blipFill>
                    <a:blip r:embed="rId11"/>
                    <a:stretch>
                      <a:fillRect/>
                    </a:stretch>
                  </pic:blipFill>
                  <pic:spPr>
                    <a:xfrm>
                      <a:off x="0" y="0"/>
                      <a:ext cx="5743575" cy="1590040"/>
                    </a:xfrm>
                    <a:prstGeom prst="rect">
                      <a:avLst/>
                    </a:prstGeom>
                  </pic:spPr>
                </pic:pic>
              </a:graphicData>
            </a:graphic>
          </wp:inline>
        </w:drawing>
      </w:r>
    </w:p>
    <w:p>
      <w:pPr>
        <w:pStyle w:val="2"/>
        <w:rPr>
          <w:rFonts w:hint="eastAsia"/>
          <w:lang w:eastAsia="zh-CN"/>
        </w:rPr>
      </w:pPr>
    </w:p>
    <w:p>
      <w:pPr>
        <w:adjustRightInd w:val="0"/>
        <w:snapToGrid w:val="0"/>
        <w:spacing w:line="288" w:lineRule="auto"/>
        <w:ind w:firstLine="1040"/>
        <w:rPr>
          <w:rFonts w:hint="eastAsia" w:ascii="仿宋_GB2312" w:eastAsia="仿宋_GB2312"/>
          <w:sz w:val="36"/>
          <w:szCs w:val="36"/>
          <w:lang w:eastAsia="zh-CN"/>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hint="eastAsia" w:ascii="仿宋_GB2312" w:eastAsia="仿宋_GB2312"/>
          <w:sz w:val="36"/>
          <w:szCs w:val="36"/>
          <w:lang w:eastAsia="zh-CN"/>
        </w:rPr>
        <w:drawing>
          <wp:inline distT="0" distB="0" distL="114300" distR="114300">
            <wp:extent cx="4076700" cy="2628900"/>
            <wp:effectExtent l="0" t="0" r="0" b="0"/>
            <wp:docPr id="4" name="图片 4" descr="67f077d8ab9b51c303c9f229af4c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7f077d8ab9b51c303c9f229af4ca50"/>
                    <pic:cNvPicPr>
                      <a:picLocks noChangeAspect="1"/>
                    </pic:cNvPicPr>
                  </pic:nvPicPr>
                  <pic:blipFill>
                    <a:blip r:embed="rId12"/>
                    <a:stretch>
                      <a:fillRect/>
                    </a:stretch>
                  </pic:blipFill>
                  <pic:spPr>
                    <a:xfrm>
                      <a:off x="0" y="0"/>
                      <a:ext cx="4076700" cy="2628900"/>
                    </a:xfrm>
                    <a:prstGeom prst="rect">
                      <a:avLst/>
                    </a:prstGeom>
                  </pic:spPr>
                </pic:pic>
              </a:graphicData>
            </a:graphic>
          </wp:inline>
        </w:drawing>
      </w:r>
      <w:bookmarkStart w:id="3" w:name="_GoBack"/>
      <w:bookmarkEnd w:id="3"/>
    </w:p>
    <w:p>
      <w:pPr>
        <w:pStyle w:val="22"/>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04"/>
        <w:gridCol w:w="1657"/>
        <w:gridCol w:w="2194"/>
        <w:gridCol w:w="28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建设项目名称</w:t>
            </w:r>
          </w:p>
        </w:tc>
        <w:tc>
          <w:tcPr>
            <w:tcW w:w="6488" w:type="dxa"/>
            <w:gridSpan w:val="3"/>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湖南春特农业科技开发有限公司</w:t>
            </w:r>
          </w:p>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年产10000吨多元素颗粒氮肥项目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项目代码</w:t>
            </w:r>
          </w:p>
        </w:tc>
        <w:tc>
          <w:tcPr>
            <w:tcW w:w="6488" w:type="dxa"/>
            <w:gridSpan w:val="3"/>
            <w:noWrap w:val="0"/>
            <w:vAlign w:val="center"/>
          </w:tcPr>
          <w:p>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建设单位联系人</w:t>
            </w:r>
          </w:p>
        </w:tc>
        <w:tc>
          <w:tcPr>
            <w:tcW w:w="1637" w:type="dxa"/>
            <w:noWrap w:val="0"/>
            <w:vAlign w:val="center"/>
          </w:tcPr>
          <w:p>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付福林</w:t>
            </w:r>
          </w:p>
        </w:tc>
        <w:tc>
          <w:tcPr>
            <w:tcW w:w="2212" w:type="dxa"/>
            <w:noWrap w:val="0"/>
            <w:vAlign w:val="center"/>
          </w:tcPr>
          <w:p>
            <w:pPr>
              <w:adjustRightInd w:val="0"/>
              <w:snapToGrid w:val="0"/>
              <w:jc w:val="center"/>
              <w:rPr>
                <w:rFonts w:ascii="宋体" w:hAnsi="宋体" w:cs="宋体"/>
                <w:sz w:val="24"/>
                <w:szCs w:val="24"/>
              </w:rPr>
            </w:pPr>
            <w:r>
              <w:rPr>
                <w:rFonts w:hint="eastAsia" w:ascii="宋体" w:hAnsi="宋体" w:cs="宋体"/>
                <w:sz w:val="24"/>
                <w:szCs w:val="24"/>
              </w:rPr>
              <w:t>联系方式</w:t>
            </w:r>
          </w:p>
        </w:tc>
        <w:tc>
          <w:tcPr>
            <w:tcW w:w="263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13873095103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6488" w:type="dxa"/>
            <w:gridSpan w:val="3"/>
            <w:noWrap w:val="0"/>
            <w:vAlign w:val="center"/>
          </w:tcPr>
          <w:p>
            <w:pPr>
              <w:adjustRightInd w:val="0"/>
              <w:snapToGrid w:val="0"/>
              <w:jc w:val="center"/>
              <w:rPr>
                <w:rFonts w:ascii="宋体" w:hAnsi="宋体" w:cs="宋体"/>
                <w:sz w:val="24"/>
                <w:szCs w:val="24"/>
              </w:rPr>
            </w:pPr>
            <w:r>
              <w:rPr>
                <w:rFonts w:hint="eastAsia" w:ascii="宋体" w:hAnsi="宋体" w:cs="宋体"/>
                <w:sz w:val="24"/>
                <w:szCs w:val="24"/>
                <w:u w:val="none"/>
                <w:lang w:eastAsia="zh-CN"/>
              </w:rPr>
              <w:t>湖南</w:t>
            </w:r>
            <w:r>
              <w:rPr>
                <w:rFonts w:hint="eastAsia" w:ascii="宋体" w:hAnsi="宋体" w:cs="宋体"/>
                <w:sz w:val="24"/>
                <w:szCs w:val="24"/>
                <w:u w:val="none"/>
              </w:rPr>
              <w:t>省</w:t>
            </w:r>
            <w:r>
              <w:rPr>
                <w:rFonts w:hint="eastAsia" w:ascii="宋体" w:hAnsi="宋体" w:cs="宋体"/>
                <w:sz w:val="24"/>
                <w:szCs w:val="24"/>
                <w:u w:val="none"/>
                <w:lang w:eastAsia="zh-CN"/>
              </w:rPr>
              <w:t>岳阳</w:t>
            </w:r>
            <w:r>
              <w:rPr>
                <w:rFonts w:hint="eastAsia" w:ascii="宋体" w:hAnsi="宋体" w:cs="宋体"/>
                <w:sz w:val="24"/>
                <w:szCs w:val="24"/>
                <w:u w:val="none"/>
              </w:rPr>
              <w:t>市</w:t>
            </w:r>
            <w:r>
              <w:rPr>
                <w:rFonts w:hint="eastAsia" w:ascii="宋体" w:hAnsi="宋体" w:cs="宋体"/>
                <w:sz w:val="24"/>
                <w:szCs w:val="24"/>
                <w:u w:val="none"/>
                <w:lang w:eastAsia="zh-CN"/>
              </w:rPr>
              <w:t>华容</w:t>
            </w:r>
            <w:r>
              <w:rPr>
                <w:rFonts w:hint="eastAsia" w:ascii="宋体" w:hAnsi="宋体" w:cs="宋体"/>
                <w:sz w:val="24"/>
                <w:szCs w:val="24"/>
                <w:u w:val="none"/>
              </w:rPr>
              <w:t>县</w:t>
            </w:r>
            <w:r>
              <w:rPr>
                <w:rFonts w:hint="eastAsia" w:ascii="宋体" w:hAnsi="宋体" w:cs="宋体"/>
                <w:sz w:val="24"/>
                <w:szCs w:val="24"/>
                <w:u w:val="none"/>
                <w:lang w:eastAsia="zh-CN"/>
              </w:rPr>
              <w:t>华容大道东路丰盛纺织厂内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6488" w:type="dxa"/>
            <w:gridSpan w:val="3"/>
            <w:noWrap w:val="0"/>
            <w:vAlign w:val="center"/>
          </w:tcPr>
          <w:p>
            <w:pPr>
              <w:jc w:val="center"/>
              <w:rPr>
                <w:rFonts w:hint="eastAsia" w:ascii="宋体" w:hAnsi="宋体" w:cs="宋体"/>
                <w:sz w:val="24"/>
                <w:szCs w:val="24"/>
              </w:rPr>
            </w:pPr>
            <w:r>
              <w:rPr>
                <w:rFonts w:hint="eastAsia" w:ascii="宋体" w:hAnsi="宋体" w:cs="宋体"/>
                <w:sz w:val="24"/>
                <w:szCs w:val="24"/>
                <w:u w:val="none"/>
                <w:lang w:val="en-US" w:eastAsia="zh-CN"/>
              </w:rPr>
              <w:t>经度：E112°35′45.26″</w:t>
            </w:r>
            <w:r>
              <w:rPr>
                <w:rFonts w:hint="eastAsia" w:ascii="宋体" w:hAnsi="宋体" w:cs="宋体"/>
                <w:sz w:val="24"/>
                <w:szCs w:val="24"/>
                <w:u w:val="none"/>
              </w:rPr>
              <w:t>，</w:t>
            </w:r>
            <w:r>
              <w:rPr>
                <w:rFonts w:hint="eastAsia" w:ascii="宋体" w:hAnsi="宋体" w:cs="宋体"/>
                <w:sz w:val="24"/>
                <w:szCs w:val="24"/>
                <w:u w:val="none"/>
                <w:lang w:eastAsia="zh-CN"/>
              </w:rPr>
              <w:t>纬度：</w:t>
            </w:r>
            <w:r>
              <w:rPr>
                <w:rFonts w:hint="eastAsia" w:ascii="宋体" w:hAnsi="宋体" w:cs="宋体"/>
                <w:sz w:val="24"/>
                <w:szCs w:val="24"/>
                <w:u w:val="none"/>
                <w:lang w:val="en-US" w:eastAsia="zh-CN"/>
              </w:rPr>
              <w:t>N29°32′23.39″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国民经济</w:t>
            </w:r>
          </w:p>
          <w:p>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1637" w:type="dxa"/>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C2624复混肥料制造</w:t>
            </w:r>
          </w:p>
        </w:tc>
        <w:tc>
          <w:tcPr>
            <w:tcW w:w="2212" w:type="dxa"/>
            <w:noWrap w:val="0"/>
            <w:vAlign w:val="center"/>
          </w:tcPr>
          <w:p>
            <w:pPr>
              <w:adjustRightInd w:val="0"/>
              <w:snapToGrid w:val="0"/>
              <w:jc w:val="center"/>
              <w:rPr>
                <w:rFonts w:ascii="宋体" w:hAnsi="宋体" w:cs="宋体"/>
                <w:sz w:val="24"/>
                <w:szCs w:val="24"/>
              </w:rPr>
            </w:pPr>
            <w:bookmarkStart w:id="1" w:name="_Hlk49843745"/>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行业类别</w:t>
            </w:r>
            <w:bookmarkEnd w:id="1"/>
          </w:p>
        </w:tc>
        <w:tc>
          <w:tcPr>
            <w:tcW w:w="263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eastAsia="zh-CN"/>
              </w:rPr>
              <w:t>肥料制造</w:t>
            </w:r>
            <w:r>
              <w:rPr>
                <w:rFonts w:hint="eastAsia" w:ascii="宋体" w:hAnsi="宋体" w:cs="宋体"/>
                <w:sz w:val="24"/>
                <w:szCs w:val="24"/>
                <w:lang w:val="en-US" w:eastAsia="zh-CN"/>
              </w:rPr>
              <w:t>262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1637" w:type="dxa"/>
            <w:noWrap w:val="0"/>
            <w:vAlign w:val="center"/>
          </w:tcPr>
          <w:p>
            <w:pPr>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新建（迁建）</w:t>
            </w:r>
          </w:p>
          <w:p>
            <w:pPr>
              <w:jc w:val="left"/>
              <w:rPr>
                <w:rFonts w:hint="eastAsia" w:ascii="宋体" w:hAnsi="宋体" w:cs="宋体"/>
                <w:sz w:val="24"/>
                <w:szCs w:val="24"/>
              </w:rPr>
            </w:pPr>
            <w:r>
              <w:rPr>
                <w:rFonts w:hint="eastAsia" w:ascii="宋体" w:hAnsi="宋体" w:cs="宋体"/>
                <w:sz w:val="24"/>
                <w:szCs w:val="24"/>
              </w:rPr>
              <w:t>□改建</w:t>
            </w:r>
          </w:p>
          <w:p>
            <w:pPr>
              <w:jc w:val="left"/>
              <w:rPr>
                <w:rFonts w:hint="eastAsia" w:ascii="宋体" w:hAnsi="宋体" w:cs="宋体"/>
                <w:sz w:val="24"/>
                <w:szCs w:val="24"/>
              </w:rPr>
            </w:pPr>
            <w:r>
              <w:rPr>
                <w:rFonts w:hint="eastAsia" w:ascii="宋体" w:hAnsi="宋体" w:cs="宋体"/>
                <w:sz w:val="24"/>
                <w:szCs w:val="24"/>
              </w:rPr>
              <w:t>□扩建</w:t>
            </w:r>
          </w:p>
          <w:p>
            <w:pPr>
              <w:jc w:val="left"/>
              <w:rPr>
                <w:rFonts w:ascii="宋体" w:hAnsi="宋体" w:cs="宋体"/>
                <w:sz w:val="24"/>
                <w:szCs w:val="24"/>
              </w:rPr>
            </w:pPr>
            <w:r>
              <w:rPr>
                <w:rFonts w:hint="eastAsia" w:ascii="宋体" w:hAnsi="宋体" w:cs="宋体"/>
                <w:sz w:val="24"/>
                <w:szCs w:val="24"/>
              </w:rPr>
              <w:t>□技术改造</w:t>
            </w:r>
          </w:p>
        </w:tc>
        <w:tc>
          <w:tcPr>
            <w:tcW w:w="2212"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申报情形</w:t>
            </w:r>
          </w:p>
        </w:tc>
        <w:tc>
          <w:tcPr>
            <w:tcW w:w="2639" w:type="dxa"/>
            <w:noWrap w:val="0"/>
            <w:vAlign w:val="center"/>
          </w:tcPr>
          <w:p>
            <w:pPr>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首次申报项目</w:t>
            </w:r>
            <w:r>
              <w:rPr>
                <w:rFonts w:ascii="宋体" w:hAnsi="宋体" w:cs="宋体"/>
                <w:sz w:val="24"/>
                <w:szCs w:val="24"/>
              </w:rPr>
              <w:t xml:space="preserve">             </w:t>
            </w:r>
          </w:p>
          <w:p>
            <w:pPr>
              <w:jc w:val="left"/>
              <w:rPr>
                <w:rFonts w:ascii="宋体" w:hAnsi="宋体" w:cs="宋体"/>
                <w:sz w:val="24"/>
                <w:szCs w:val="24"/>
              </w:rPr>
            </w:pPr>
            <w:r>
              <w:rPr>
                <w:rFonts w:hint="eastAsia" w:ascii="宋体" w:hAnsi="宋体" w:cs="宋体"/>
                <w:sz w:val="24"/>
                <w:szCs w:val="24"/>
              </w:rPr>
              <w:t>□不予批准后再次申报项目</w:t>
            </w:r>
          </w:p>
          <w:p>
            <w:pPr>
              <w:jc w:val="left"/>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超五年重新审核项目</w:t>
            </w:r>
            <w:r>
              <w:rPr>
                <w:rFonts w:ascii="宋体" w:hAnsi="宋体" w:cs="宋体"/>
                <w:sz w:val="24"/>
                <w:szCs w:val="24"/>
              </w:rPr>
              <w:t xml:space="preserve">     </w:t>
            </w:r>
          </w:p>
          <w:p>
            <w:pPr>
              <w:jc w:val="left"/>
              <w:rPr>
                <w:rFonts w:ascii="宋体" w:hAnsi="宋体" w:cs="宋体"/>
                <w:sz w:val="24"/>
                <w:szCs w:val="24"/>
              </w:rPr>
            </w:pPr>
            <w:r>
              <w:rPr>
                <w:rFonts w:hint="eastAsia" w:ascii="宋体" w:hAnsi="宋体" w:cs="宋体"/>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pPr>
              <w:adjustRightInd w:val="0"/>
              <w:snapToGrid w:val="0"/>
              <w:jc w:val="center"/>
              <w:rPr>
                <w:rFonts w:ascii="宋体" w:hAnsi="宋体" w:cs="宋体"/>
                <w:sz w:val="24"/>
                <w:szCs w:val="24"/>
              </w:rPr>
            </w:pPr>
            <w:r>
              <w:rPr>
                <w:rFonts w:hint="eastAsia" w:ascii="宋体" w:hAnsi="宋体" w:cs="宋体"/>
                <w:sz w:val="24"/>
                <w:szCs w:val="24"/>
              </w:rPr>
              <w:t>备案）部门（选填）</w:t>
            </w:r>
          </w:p>
        </w:tc>
        <w:tc>
          <w:tcPr>
            <w:tcW w:w="1637" w:type="dxa"/>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c>
          <w:tcPr>
            <w:tcW w:w="2212" w:type="dxa"/>
            <w:noWrap w:val="0"/>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pPr>
              <w:adjustRightInd w:val="0"/>
              <w:snapToGrid w:val="0"/>
              <w:jc w:val="center"/>
              <w:rPr>
                <w:rFonts w:hint="eastAsia" w:ascii="宋体" w:hAnsi="宋体" w:cs="宋体"/>
                <w:sz w:val="24"/>
                <w:szCs w:val="24"/>
              </w:rPr>
            </w:pPr>
            <w:r>
              <w:rPr>
                <w:rFonts w:hint="eastAsia" w:ascii="宋体" w:hAnsi="宋体" w:cs="宋体"/>
                <w:sz w:val="24"/>
                <w:szCs w:val="24"/>
              </w:rPr>
              <w:t>备案）文号（选填）</w:t>
            </w:r>
          </w:p>
        </w:tc>
        <w:tc>
          <w:tcPr>
            <w:tcW w:w="2639" w:type="dxa"/>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总投资（万元）</w:t>
            </w:r>
          </w:p>
        </w:tc>
        <w:tc>
          <w:tcPr>
            <w:tcW w:w="1637"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200</w:t>
            </w:r>
          </w:p>
        </w:tc>
        <w:tc>
          <w:tcPr>
            <w:tcW w:w="221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环保投资（万元）</w:t>
            </w:r>
          </w:p>
        </w:tc>
        <w:tc>
          <w:tcPr>
            <w:tcW w:w="263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环保投资占比（</w:t>
            </w:r>
            <w:r>
              <w:rPr>
                <w:rFonts w:ascii="宋体" w:hAnsi="宋体" w:cs="宋体"/>
                <w:sz w:val="24"/>
                <w:szCs w:val="24"/>
              </w:rPr>
              <w:t>%</w:t>
            </w:r>
            <w:r>
              <w:rPr>
                <w:rFonts w:hint="eastAsia" w:ascii="宋体" w:hAnsi="宋体" w:cs="宋体"/>
                <w:sz w:val="24"/>
                <w:szCs w:val="24"/>
              </w:rPr>
              <w:t>）</w:t>
            </w:r>
          </w:p>
        </w:tc>
        <w:tc>
          <w:tcPr>
            <w:tcW w:w="1637"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2212" w:type="dxa"/>
            <w:noWrap w:val="0"/>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施工工期</w:t>
            </w:r>
          </w:p>
        </w:tc>
        <w:tc>
          <w:tcPr>
            <w:tcW w:w="263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eastAsia" w:ascii="宋体" w:hAnsi="宋体" w:cs="宋体"/>
                <w:sz w:val="24"/>
                <w:szCs w:val="24"/>
              </w:rPr>
            </w:pPr>
            <w:r>
              <w:rPr>
                <w:rFonts w:hint="eastAsia" w:ascii="宋体" w:hAnsi="宋体" w:cs="宋体"/>
                <w:sz w:val="24"/>
                <w:szCs w:val="24"/>
              </w:rPr>
              <w:t>是否开工建设</w:t>
            </w:r>
          </w:p>
        </w:tc>
        <w:tc>
          <w:tcPr>
            <w:tcW w:w="1637" w:type="dxa"/>
            <w:noWrap w:val="0"/>
            <w:vAlign w:val="center"/>
          </w:tcPr>
          <w:p>
            <w:pPr>
              <w:adjustRightInd w:val="0"/>
              <w:snapToGrid w:val="0"/>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否</w:t>
            </w:r>
          </w:p>
          <w:p>
            <w:pPr>
              <w:adjustRightInd w:val="0"/>
              <w:snapToGrid w:val="0"/>
              <w:rPr>
                <w:rFonts w:hint="default" w:ascii="宋体" w:hAnsi="宋体" w:cs="宋体"/>
                <w:sz w:val="24"/>
                <w:szCs w:val="24"/>
                <w:lang w:val="en-US"/>
              </w:rPr>
            </w:pPr>
            <w:r>
              <w:rPr>
                <w:rFonts w:hint="eastAsia" w:ascii="宋体" w:hAnsi="宋体" w:cs="宋体"/>
                <w:sz w:val="24"/>
                <w:szCs w:val="24"/>
              </w:rPr>
              <w:sym w:font="Wingdings 2" w:char="00A3"/>
            </w:r>
            <w:r>
              <w:rPr>
                <w:rFonts w:hint="eastAsia" w:ascii="宋体" w:hAnsi="宋体" w:cs="宋体"/>
                <w:sz w:val="24"/>
                <w:szCs w:val="24"/>
              </w:rPr>
              <w:t>是</w:t>
            </w:r>
            <w:r>
              <w:rPr>
                <w:rFonts w:hint="eastAsia" w:ascii="宋体" w:hAnsi="宋体" w:cs="宋体"/>
                <w:sz w:val="24"/>
                <w:szCs w:val="24"/>
                <w:u w:val="none"/>
              </w:rPr>
              <w:t>：</w:t>
            </w:r>
          </w:p>
        </w:tc>
        <w:tc>
          <w:tcPr>
            <w:tcW w:w="2212" w:type="dxa"/>
            <w:noWrap w:val="0"/>
            <w:tcMar>
              <w:top w:w="16" w:type="dxa"/>
              <w:left w:w="16" w:type="dxa"/>
              <w:right w:w="16" w:type="dxa"/>
            </w:tcMar>
            <w:vAlign w:val="center"/>
          </w:tcPr>
          <w:p>
            <w:pPr>
              <w:adjustRightInd w:val="0"/>
              <w:snapToGrid w:val="0"/>
              <w:jc w:val="center"/>
              <w:rPr>
                <w:rFonts w:ascii="宋体" w:hAnsi="宋体" w:cs="宋体"/>
                <w:spacing w:val="-6"/>
                <w:sz w:val="24"/>
                <w:szCs w:val="24"/>
              </w:rPr>
            </w:pPr>
            <w:r>
              <w:rPr>
                <w:rFonts w:hint="eastAsia" w:ascii="宋体" w:hAnsi="宋体" w:cs="宋体"/>
                <w:spacing w:val="-6"/>
                <w:sz w:val="24"/>
                <w:szCs w:val="24"/>
              </w:rPr>
              <w:t>用地（用海）</w:t>
            </w:r>
          </w:p>
          <w:p>
            <w:pPr>
              <w:adjustRightInd w:val="0"/>
              <w:snapToGrid w:val="0"/>
              <w:jc w:val="center"/>
              <w:rPr>
                <w:rFonts w:hint="eastAsia" w:ascii="宋体" w:hAnsi="宋体" w:cs="宋体"/>
                <w:sz w:val="24"/>
                <w:szCs w:val="24"/>
              </w:rPr>
            </w:pPr>
            <w:r>
              <w:rPr>
                <w:rFonts w:hint="eastAsia" w:ascii="宋体" w:hAnsi="宋体" w:cs="宋体"/>
                <w:spacing w:val="-6"/>
                <w:sz w:val="24"/>
                <w:szCs w:val="24"/>
              </w:rPr>
              <w:t>面积（</w:t>
            </w:r>
            <w:r>
              <w:rPr>
                <w:rFonts w:ascii="宋体" w:hAnsi="宋体" w:cs="宋体"/>
                <w:spacing w:val="-6"/>
                <w:sz w:val="24"/>
                <w:szCs w:val="24"/>
              </w:rPr>
              <w:t>m</w:t>
            </w:r>
            <w:r>
              <w:rPr>
                <w:rFonts w:ascii="宋体" w:hAnsi="宋体" w:cs="宋体"/>
                <w:spacing w:val="-6"/>
                <w:sz w:val="24"/>
                <w:szCs w:val="24"/>
                <w:vertAlign w:val="superscript"/>
              </w:rPr>
              <w:t>2</w:t>
            </w:r>
            <w:r>
              <w:rPr>
                <w:rFonts w:hint="eastAsia" w:ascii="宋体" w:hAnsi="宋体" w:cs="宋体"/>
                <w:spacing w:val="-6"/>
                <w:sz w:val="24"/>
                <w:szCs w:val="24"/>
              </w:rPr>
              <w:t>）</w:t>
            </w:r>
          </w:p>
        </w:tc>
        <w:tc>
          <w:tcPr>
            <w:tcW w:w="2639" w:type="dxa"/>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专项评价设置情况</w:t>
            </w:r>
          </w:p>
        </w:tc>
        <w:tc>
          <w:tcPr>
            <w:tcW w:w="6488" w:type="dxa"/>
            <w:gridSpan w:val="3"/>
            <w:noWrap w:val="0"/>
            <w:vAlign w:val="center"/>
          </w:tcPr>
          <w:p>
            <w:pPr>
              <w:autoSpaceDE w:val="0"/>
              <w:autoSpaceDN w:val="0"/>
              <w:adjustRightInd w:val="0"/>
              <w:snapToGrid w:val="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jc w:val="center"/>
              <w:rPr>
                <w:rFonts w:hint="eastAsia" w:ascii="宋体" w:hAnsi="宋体" w:cs="宋体"/>
                <w:kern w:val="0"/>
                <w:sz w:val="24"/>
                <w:szCs w:val="24"/>
              </w:rPr>
            </w:pPr>
            <w:r>
              <w:rPr>
                <w:rFonts w:hint="eastAsia" w:ascii="宋体" w:hAnsi="宋体" w:cs="宋体"/>
                <w:sz w:val="24"/>
                <w:szCs w:val="24"/>
              </w:rPr>
              <w:t>规划情况</w:t>
            </w:r>
          </w:p>
        </w:tc>
        <w:tc>
          <w:tcPr>
            <w:tcW w:w="6488" w:type="dxa"/>
            <w:gridSpan w:val="3"/>
            <w:noWrap w:val="0"/>
            <w:vAlign w:val="center"/>
          </w:tcPr>
          <w:p>
            <w:pPr>
              <w:autoSpaceDE w:val="0"/>
              <w:autoSpaceDN w:val="0"/>
              <w:adjustRightInd w:val="0"/>
              <w:snapToGrid w:val="0"/>
              <w:jc w:val="center"/>
              <w:rPr>
                <w:rFonts w:hint="eastAsia" w:ascii="宋体" w:hAnsi="宋体" w:eastAsia="宋体" w:cs="宋体"/>
                <w:kern w:val="0"/>
                <w:sz w:val="24"/>
                <w:szCs w:val="24"/>
                <w:u w:val="single"/>
                <w:lang w:eastAsia="zh-CN"/>
              </w:rPr>
            </w:pPr>
            <w:r>
              <w:rPr>
                <w:rFonts w:hint="default" w:ascii="Times New Roman" w:hAnsi="Times New Roman" w:eastAsia="宋体" w:cs="Times New Roman"/>
                <w:kern w:val="0"/>
                <w:sz w:val="24"/>
                <w:szCs w:val="24"/>
                <w:u w:val="single"/>
                <w:lang w:eastAsia="zh-CN"/>
              </w:rPr>
              <w:t>《华容工业集中区石伏工业园控制性详细规划》，华容县规划勘测设计院，2012年8月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djustRightInd w:val="0"/>
              <w:snapToGrid w:val="0"/>
              <w:jc w:val="center"/>
              <w:rPr>
                <w:rFonts w:ascii="宋体" w:hAnsi="宋体" w:cs="宋体"/>
                <w:sz w:val="24"/>
                <w:szCs w:val="24"/>
              </w:rPr>
            </w:pPr>
            <w:r>
              <w:rPr>
                <w:rFonts w:hint="eastAsia" w:ascii="宋体" w:hAnsi="宋体" w:cs="宋体"/>
                <w:sz w:val="24"/>
                <w:szCs w:val="24"/>
              </w:rPr>
              <w:t>规划环境影响</w:t>
            </w:r>
          </w:p>
          <w:p>
            <w:pPr>
              <w:adjustRightInd w:val="0"/>
              <w:snapToGrid w:val="0"/>
              <w:jc w:val="center"/>
              <w:rPr>
                <w:rFonts w:hint="eastAsia" w:ascii="宋体" w:hAnsi="宋体" w:cs="宋体"/>
                <w:kern w:val="0"/>
                <w:sz w:val="24"/>
                <w:szCs w:val="24"/>
              </w:rPr>
            </w:pPr>
            <w:r>
              <w:rPr>
                <w:rFonts w:hint="eastAsia" w:ascii="宋体" w:hAnsi="宋体" w:cs="宋体"/>
                <w:sz w:val="24"/>
                <w:szCs w:val="24"/>
              </w:rPr>
              <w:t>评价情况</w:t>
            </w:r>
          </w:p>
        </w:tc>
        <w:tc>
          <w:tcPr>
            <w:tcW w:w="6488" w:type="dxa"/>
            <w:gridSpan w:val="3"/>
            <w:noWrap w:val="0"/>
            <w:vAlign w:val="center"/>
          </w:tcPr>
          <w:p>
            <w:pPr>
              <w:autoSpaceDE w:val="0"/>
              <w:autoSpaceDN w:val="0"/>
              <w:adjustRightInd w:val="0"/>
              <w:snapToGrid w:val="0"/>
              <w:jc w:val="center"/>
              <w:rPr>
                <w:rFonts w:hint="eastAsia" w:ascii="宋体" w:hAnsi="宋体" w:eastAsia="宋体" w:cs="宋体"/>
                <w:kern w:val="0"/>
                <w:sz w:val="24"/>
                <w:szCs w:val="24"/>
                <w:u w:val="single"/>
                <w:lang w:eastAsia="zh-CN"/>
              </w:rPr>
            </w:pPr>
            <w:r>
              <w:rPr>
                <w:rFonts w:hint="default" w:ascii="Times New Roman" w:hAnsi="Times New Roman" w:eastAsia="宋体" w:cs="Times New Roman"/>
                <w:sz w:val="24"/>
                <w:szCs w:val="24"/>
                <w:u w:val="single"/>
              </w:rPr>
              <w:t>华容石伏工业园委托环境保护部南京环境科学研究所于2014年5月编制完成了《华容工业集中区环境影响报告书》，2014年6月去取得了湖南省环境保护厅环评批复（湘环评函【2014】54号）。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规划及规划环境</w:t>
            </w:r>
          </w:p>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影响评价符合性分析</w:t>
            </w:r>
          </w:p>
        </w:tc>
        <w:tc>
          <w:tcPr>
            <w:tcW w:w="6488"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关于</w:t>
            </w:r>
            <w:r>
              <w:rPr>
                <w:rFonts w:hint="default" w:ascii="Times New Roman" w:hAnsi="Times New Roman" w:eastAsia="宋体" w:cs="Times New Roman"/>
                <w:sz w:val="24"/>
                <w:szCs w:val="24"/>
              </w:rPr>
              <w:t>湖南省环境保护厅</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关于华容工业集中区环境影响报告书的批复</w:t>
            </w:r>
            <w:r>
              <w:rPr>
                <w:rFonts w:hint="default" w:ascii="Times New Roman" w:hAnsi="Times New Roman" w:eastAsia="宋体" w:cs="Times New Roman"/>
                <w:sz w:val="24"/>
                <w:szCs w:val="24"/>
                <w:lang w:val="en-US" w:eastAsia="zh-CN"/>
              </w:rPr>
              <w:t>》湘环评函【2014】58号的相符性分析见下表。</w:t>
            </w:r>
          </w:p>
          <w:p>
            <w:pPr>
              <w:pStyle w:val="2"/>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表1-</w:t>
            </w:r>
            <w:r>
              <w:rPr>
                <w:rFonts w:hint="eastAsia" w:ascii="Times New Roman" w:eastAsia="宋体" w:cs="Times New Roman"/>
                <w:b/>
                <w:bCs/>
                <w:sz w:val="21"/>
                <w:szCs w:val="21"/>
                <w:lang w:val="en-US" w:eastAsia="zh-CN"/>
              </w:rPr>
              <w:t>1</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华容工业集中区环境影响报告书的批复</w:t>
            </w:r>
            <w:r>
              <w:rPr>
                <w:rFonts w:hint="default" w:ascii="Times New Roman" w:hAnsi="Times New Roman" w:eastAsia="宋体" w:cs="Times New Roman"/>
                <w:b/>
                <w:bCs/>
                <w:sz w:val="21"/>
                <w:szCs w:val="21"/>
                <w:lang w:val="en-US" w:eastAsia="zh-CN"/>
              </w:rPr>
              <w:t>相符性分析一览表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1"/>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相关规定</w:t>
                  </w:r>
                </w:p>
              </w:tc>
              <w:tc>
                <w:tcPr>
                  <w:tcW w:w="2498"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lang w:eastAsia="zh-CN"/>
                    </w:rPr>
                    <w:t>（一）</w:t>
                  </w:r>
                  <w:r>
                    <w:rPr>
                      <w:rFonts w:hint="default" w:ascii="Times New Roman" w:hAnsi="Times New Roman" w:eastAsia="宋体" w:cs="Times New Roman"/>
                      <w:sz w:val="21"/>
                      <w:szCs w:val="21"/>
                      <w:u w:val="single"/>
                    </w:rPr>
                    <w:t>进一步优化规划布局，集中区各功能组团相对集中，严格按照功能区划进行开发建设，处理好集中区各工业片区内部各功能组团之间以及工业区与周边农业、居住等各功能组团的关系，充分利用自然地形和绿化隔离带使各功能区隔离，在居住用地与工业用地之间、不同性质的工业用地间设置相应的隔离缓冲带，按报告书要求对洪山头工业片区总体规划进行适当调整，禁止占用小荆湖，并在园区与小荆湖之间设置隔离缓冲区，防止园区涉重污水进入小荆湖</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对有相关行业准入要求的产业区按准入条件做好用地周边规划控制，确保功能区划明确、产业相对集中、生态环境优良。</w:t>
                  </w:r>
                </w:p>
              </w:tc>
              <w:tc>
                <w:tcPr>
                  <w:tcW w:w="2498"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color w:val="000000" w:themeColor="text1"/>
                      <w:sz w:val="21"/>
                      <w:szCs w:val="21"/>
                      <w:u w:val="single"/>
                      <w:vertAlign w:val="baseline"/>
                      <w:lang w:val="en-US" w:eastAsia="zh-CN"/>
                      <w14:textFill>
                        <w14:solidFill>
                          <w14:schemeClr w14:val="tx1"/>
                        </w14:solidFill>
                      </w14:textFill>
                    </w:rPr>
                    <w:t>本项目位于石伏工业园，并于2021年</w:t>
                  </w:r>
                  <w:r>
                    <w:rPr>
                      <w:rFonts w:hint="eastAsia" w:ascii="Times New Roman" w:eastAsia="宋体" w:cs="Times New Roman"/>
                      <w:color w:val="000000" w:themeColor="text1"/>
                      <w:sz w:val="21"/>
                      <w:szCs w:val="21"/>
                      <w:u w:val="single"/>
                      <w:vertAlign w:val="baseli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u w:val="single"/>
                      <w:vertAlign w:val="baseline"/>
                      <w:lang w:val="en-US" w:eastAsia="zh-CN"/>
                      <w14:textFill>
                        <w14:solidFill>
                          <w14:schemeClr w14:val="tx1"/>
                        </w14:solidFill>
                      </w14:textFill>
                    </w:rPr>
                    <w:t>月</w:t>
                  </w:r>
                  <w:r>
                    <w:rPr>
                      <w:rFonts w:hint="eastAsia" w:ascii="Times New Roman" w:eastAsia="宋体" w:cs="Times New Roman"/>
                      <w:color w:val="000000" w:themeColor="text1"/>
                      <w:sz w:val="21"/>
                      <w:szCs w:val="21"/>
                      <w:u w:val="single"/>
                      <w:vertAlign w:val="baseline"/>
                      <w:lang w:val="en-US" w:eastAsia="zh-CN"/>
                      <w14:textFill>
                        <w14:solidFill>
                          <w14:schemeClr w14:val="tx1"/>
                        </w14:solidFill>
                      </w14:textFill>
                    </w:rPr>
                    <w:t>21</w:t>
                  </w:r>
                  <w:r>
                    <w:rPr>
                      <w:rFonts w:hint="default" w:ascii="Times New Roman" w:hAnsi="Times New Roman" w:eastAsia="宋体" w:cs="Times New Roman"/>
                      <w:color w:val="000000" w:themeColor="text1"/>
                      <w:sz w:val="21"/>
                      <w:szCs w:val="21"/>
                      <w:u w:val="single"/>
                      <w:vertAlign w:val="baseline"/>
                      <w:lang w:val="en-US" w:eastAsia="zh-CN"/>
                      <w14:textFill>
                        <w14:solidFill>
                          <w14:schemeClr w14:val="tx1"/>
                        </w14:solidFill>
                      </w14:textFill>
                    </w:rPr>
                    <w:t>日获得华容工业集中区管理委员会</w:t>
                  </w:r>
                  <w:r>
                    <w:rPr>
                      <w:rFonts w:hint="eastAsia" w:ascii="Times New Roman" w:eastAsia="宋体" w:cs="Times New Roman"/>
                      <w:color w:val="000000" w:themeColor="text1"/>
                      <w:sz w:val="21"/>
                      <w:szCs w:val="21"/>
                      <w:u w:val="single"/>
                      <w:vertAlign w:val="baseline"/>
                      <w:lang w:val="en-US" w:eastAsia="zh-CN"/>
                      <w14:textFill>
                        <w14:solidFill>
                          <w14:schemeClr w14:val="tx1"/>
                        </w14:solidFill>
                      </w14:textFill>
                    </w:rPr>
                    <w:t>的园区准入文件</w:t>
                  </w:r>
                  <w:r>
                    <w:rPr>
                      <w:rFonts w:hint="default" w:ascii="Times New Roman" w:hAnsi="Times New Roman" w:eastAsia="宋体" w:cs="Times New Roman"/>
                      <w:color w:val="000000" w:themeColor="text1"/>
                      <w:sz w:val="21"/>
                      <w:szCs w:val="21"/>
                      <w:u w:val="single"/>
                      <w:vertAlign w:val="baseline"/>
                      <w:lang w:val="en-US" w:eastAsia="zh-CN"/>
                      <w14:textFill>
                        <w14:solidFill>
                          <w14:schemeClr w14:val="tx1"/>
                        </w14:solidFill>
                      </w14:textFill>
                    </w:rPr>
                    <w:t>（详见附件3）。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rPr>
                    <w:t>(二)严格执行集中区企业准入制度，入园项目选址必须符合相应工业片区总体发展规划、用地规划、功能布局、环保规划及主导产业定位要求，不得引进国家明令淘汰和禁止发展的能耗物耗高、环境污染严重、不符合产业政策的建设项目，石伏片区不得引进和建设印染类项目，洪山头片区能源产业仅允许现位于三封片区的湖南力博电源科技有限公司铅蓄电池生产项目搬迁入园及适当发展下游不涉重金属排放的产业，具体发展规模等要求按湘环函[2012]146号文件执行。园区管委会和地方环保行政主管部门必须按照报告书提出的具体项目准入条件做好项目的招商把关，在入园项目前期和建设期，必须严格执行建设项目环境影响评价和环保“三同时”管理制度，推行清洁生产工艺，确保入园企业排污浓度、总量必须满足达标排放和总量控制要求</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对凡无具体成熟污染防治措施、污染物排放不符合地方环保行政管理部门和工业集中区总量控制要求的项目一律不得入园</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按湘环评[2011]25号文件和本报告书提出的监管要求加强对现有已入园企业的环境监管，对已建项目进行清理，确保符合环评批复及“三同时”管理要求。</w:t>
                  </w:r>
                </w:p>
              </w:tc>
              <w:tc>
                <w:tcPr>
                  <w:tcW w:w="2498"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对照</w:t>
                  </w:r>
                  <w:r>
                    <w:rPr>
                      <w:rFonts w:hint="default" w:ascii="Times New Roman" w:hAnsi="Times New Roman" w:eastAsia="宋体" w:cs="Times New Roman"/>
                      <w:sz w:val="21"/>
                      <w:szCs w:val="21"/>
                      <w:u w:val="single"/>
                      <w:vertAlign w:val="baseline"/>
                      <w:lang w:val="en-US" w:eastAsia="zh-CN"/>
                    </w:rPr>
                    <w:fldChar w:fldCharType="begin"/>
                  </w:r>
                  <w:r>
                    <w:rPr>
                      <w:rFonts w:hint="default" w:ascii="Times New Roman" w:hAnsi="Times New Roman" w:eastAsia="宋体" w:cs="Times New Roman"/>
                      <w:sz w:val="21"/>
                      <w:szCs w:val="21"/>
                      <w:u w:val="single"/>
                      <w:vertAlign w:val="baseline"/>
                      <w:lang w:val="en-US" w:eastAsia="zh-CN"/>
                    </w:rPr>
                    <w:instrText xml:space="preserve"> HYPERLINK "https://baike.baidu.com/item/%E4%B8%AD%E5%8D%8E%E4%BA%BA%E6%B0%91%E5%85%B1%E5%92%8C%E5%9B%BD%E5%9B%BD%E5%AE%B6%E5%8F%91%E5%B1%95%E5%92%8C%E6%94%B9%E9%9D%A9%E5%A7%94%E5%91%98%E4%BC%9A/3507432" \t "https://baike.baidu.com/item/%E4%BA%A7%E4%B8%9A%E7%BB%93%E6%9E%84%E8%B0%83%E6%95%B4%E6%8C%87%E5%AF%BC%E7%9B%AE%E5%BD%95%EF%BC%882019%E5%B9%B4%E6%9C%AC%EF%BC%89/_blank" </w:instrText>
                  </w:r>
                  <w:r>
                    <w:rPr>
                      <w:rFonts w:hint="default" w:ascii="Times New Roman" w:hAnsi="Times New Roman" w:eastAsia="宋体" w:cs="Times New Roman"/>
                      <w:sz w:val="21"/>
                      <w:szCs w:val="21"/>
                      <w:u w:val="single"/>
                      <w:vertAlign w:val="baseline"/>
                      <w:lang w:val="en-US" w:eastAsia="zh-CN"/>
                    </w:rPr>
                    <w:fldChar w:fldCharType="separate"/>
                  </w:r>
                  <w:r>
                    <w:rPr>
                      <w:rFonts w:hint="default" w:ascii="Times New Roman" w:hAnsi="Times New Roman" w:eastAsia="宋体" w:cs="Times New Roman"/>
                      <w:sz w:val="21"/>
                      <w:szCs w:val="21"/>
                      <w:u w:val="single"/>
                      <w:vertAlign w:val="baseline"/>
                      <w:lang w:val="en-US" w:eastAsia="zh-CN"/>
                    </w:rPr>
                    <w:t>中华人民共和国国家发展和改革委员会</w:t>
                  </w:r>
                  <w:r>
                    <w:rPr>
                      <w:rFonts w:hint="default" w:ascii="Times New Roman" w:hAnsi="Times New Roman" w:eastAsia="宋体" w:cs="Times New Roman"/>
                      <w:sz w:val="21"/>
                      <w:szCs w:val="21"/>
                      <w:u w:val="single"/>
                      <w:vertAlign w:val="baseline"/>
                      <w:lang w:val="en-US" w:eastAsia="zh-CN"/>
                    </w:rPr>
                    <w:fldChar w:fldCharType="end"/>
                  </w:r>
                  <w:r>
                    <w:rPr>
                      <w:rFonts w:hint="default" w:ascii="Times New Roman" w:hAnsi="Times New Roman" w:eastAsia="宋体" w:cs="Times New Roman"/>
                      <w:sz w:val="21"/>
                      <w:szCs w:val="21"/>
                      <w:u w:val="single"/>
                      <w:vertAlign w:val="baseline"/>
                      <w:lang w:val="en-US" w:eastAsia="zh-CN"/>
                    </w:rPr>
                    <w:t>发布的《产业结构调整指导目录（2019年本）》，本项目不属于《产业结构调整指导目录（2019年本）》中鼓励类、限制类和淘汰类，为允许类。本项目不属于建设印染类项目。本项目排污浓度、总量满足达标排放和总量控制要求；具备成熟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rPr>
                    <w:t>(三)加强集中区排水及集中水处理基础设施建设，做好截排污管网与区域开发建设的同步配套，并加快各片区末端集中污水处理厂建设。其中:洪山头工业片区排水实施雨污分流、污污分流，建设集中污水处理设施，优化污水处理厂规模、工艺及排水路径设计，另行环评并报我厅审查备案。该片区配套污水处理厂及管网建成投运前，应限制涉水型项目投入试生产</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片区配套污水处理厂及管网建成投运后，各入园项目外排废水应达到相应行业排放标准要求且一类污染物车间排口达标后，方可进入园区污水处理厂进一步深度处理后排入长江，防止对大、小荆湖渔业用水水质造成破坏。石伏工业片区依托河东污水处理厂进行园区废水的集中处理，华容县人民政府应加快河东污水处理厂建设进度，在该污水处理厂建成投运前，限制石伏片区引进水型污染企业。</w:t>
                  </w:r>
                </w:p>
              </w:tc>
              <w:tc>
                <w:tcPr>
                  <w:tcW w:w="2498"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u w:val="single"/>
                      <w:lang w:val="en-US" w:eastAsia="zh-CN"/>
                    </w:rPr>
                    <w:t>本项目排水依托原有厂区雨污分流系统，生活污水，排往华容县桥东污水处理厂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rPr>
                    <w:t>(四)按报告书要求做好集中区大气污染控制措施。园区管理机构应积极推广清洁能源，石伏片区禁止燃煤企业入园，洪山头片区生活采用液化石油气，严格控制生产燃煤含硫率，禁止燃用高硫原煤，对企业燃煤装置配备必要的脱硫脱硝除尘设施，确保达标排放，并严格控制新建4t/h以下燃煤锅炉</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加强企业管理，对各企业有工艺废气产出的生产节点，应督促其配置废气收集与处理净化装置，做到达标排放</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加强生产工艺研究与技术改进，采取有效措施，减少工艺废气的无组织排放，入园企业各生产装置排放的废气须经处理达到相应的行业排放标准及《大气污染物综合排放标准》中的二级标准要求</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合理优化工业布局，将气型污染相对明显、涉重气型污染企业的企业布置在远离居住等环境敏感区域的位置，并在工业企业之间设置合理的间隔距离，减轻污染影响。</w:t>
                  </w:r>
                </w:p>
              </w:tc>
              <w:tc>
                <w:tcPr>
                  <w:tcW w:w="2498"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本项目在搅拌机进出料口、挤压造粒机上方、筛分机进出料口、破碎机进出料口共设置7个，收集后通过液封水吸收装置处理后引至15m排气筒达标排放。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rPr>
                    <w:t>(五)做好工业固体废物和生活垃圾的分类收集、转运、综合利用和无害化处理，建立统一的固废收集、贮存、运输、综合利用和安全处置的运营管理体系。推行清洁生产，减少固体废物产生量;加强固体废物的资源化进程，提高综合利用率</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规范固体废物处理措施，对工业企业产生固体废物特别是危险固废应按国家有关规定综合利用或妥善处置，严防二次污染。</w:t>
                  </w:r>
                </w:p>
              </w:tc>
              <w:tc>
                <w:tcPr>
                  <w:tcW w:w="2498"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建设项目固废主要为生活垃圾、废包装料。废包装料统一收集，由原料厂家回收处理。生活垃圾收集后交由环卫部门进行处理，厂内设有垃圾收集桶。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rPr>
                    <w:t>(六)集中区要建立专职的环境监督管理机构，建立健全环境风险事故防范措施和应急预案，严防环境风险事故发生。</w:t>
                  </w:r>
                </w:p>
              </w:tc>
              <w:tc>
                <w:tcPr>
                  <w:tcW w:w="2498"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本项目不涉及有毒有害和易燃易爆等危险物质，但粉尘会引起粉尘爆炸事件。生产车间采用有效的通风和除尘措施，严禁吸烟及明火作业。对有颗粒物的车间，必须严格设置通风、排尘系统。要经常打扫车间地面和设备，防止颗粒物飞扬和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rPr>
                    <w:t>(七)合理有序安排集中区开发进度。在具体项目正式入驻前必须完成相应环保拆迁，落实移民生产生活安置措施，防止移民再次安置和次生环境问题。</w:t>
                  </w:r>
                </w:p>
              </w:tc>
              <w:tc>
                <w:tcPr>
                  <w:tcW w:w="2498"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本项目不涉及环保拆迁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both"/>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lang w:eastAsia="zh-CN"/>
                    </w:rPr>
                    <w:t>（八）</w:t>
                  </w:r>
                  <w:r>
                    <w:rPr>
                      <w:rFonts w:hint="default" w:ascii="Times New Roman" w:hAnsi="Times New Roman" w:eastAsia="宋体" w:cs="Times New Roman"/>
                      <w:sz w:val="21"/>
                      <w:szCs w:val="21"/>
                      <w:u w:val="single"/>
                    </w:rPr>
                    <w:t>做好建设期的生态保护和水土保持工作。集中区建设过程中，应按照景观设计和功能分隔要求保留一定的自然绿地和水面</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土石方开挖、堆存及回填要实施围挡、护坡等措施，裸露地及时恢复植被，防止水土流失，杜绝施工建设对区内水体的污染。</w:t>
                  </w:r>
                </w:p>
              </w:tc>
              <w:tc>
                <w:tcPr>
                  <w:tcW w:w="2498"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color w:val="auto"/>
                      <w:sz w:val="21"/>
                      <w:szCs w:val="21"/>
                      <w:u w:val="single"/>
                    </w:rPr>
                    <w:t>本项目租用闲置厂房进行生产，施工期间</w:t>
                  </w:r>
                  <w:r>
                    <w:rPr>
                      <w:rFonts w:hint="default" w:ascii="Times New Roman" w:hAnsi="Times New Roman" w:eastAsia="宋体" w:cs="Times New Roman"/>
                      <w:color w:val="auto"/>
                      <w:sz w:val="21"/>
                      <w:szCs w:val="21"/>
                      <w:u w:val="single"/>
                      <w:lang w:val="en-US" w:eastAsia="zh-CN"/>
                    </w:rPr>
                    <w:t>主要进行</w:t>
                  </w:r>
                  <w:r>
                    <w:rPr>
                      <w:rFonts w:hint="default" w:ascii="Times New Roman" w:hAnsi="Times New Roman" w:eastAsia="宋体" w:cs="Times New Roman"/>
                      <w:color w:val="auto"/>
                      <w:sz w:val="21"/>
                      <w:szCs w:val="21"/>
                      <w:u w:val="single"/>
                    </w:rPr>
                    <w:t>设备安装</w:t>
                  </w:r>
                  <w:r>
                    <w:rPr>
                      <w:rFonts w:hint="default" w:ascii="Times New Roman" w:hAnsi="Times New Roman" w:eastAsia="宋体" w:cs="Times New Roman"/>
                      <w:color w:val="auto"/>
                      <w:sz w:val="21"/>
                      <w:szCs w:val="21"/>
                      <w:u w:val="single"/>
                      <w:lang w:eastAsia="zh-CN"/>
                    </w:rPr>
                    <w:t>，不涉及土石方开挖</w:t>
                  </w:r>
                  <w:r>
                    <w:rPr>
                      <w:rFonts w:hint="default" w:ascii="Times New Roman" w:hAnsi="Times New Roman" w:eastAsia="宋体" w:cs="Times New Roman"/>
                      <w:color w:val="auto"/>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rPr>
                    <w:t>(九)污染物总量控制</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石伏片区</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COD≤413t/a,NH</w:t>
                  </w:r>
                  <w:r>
                    <w:rPr>
                      <w:rFonts w:hint="default" w:ascii="Times New Roman" w:hAnsi="Times New Roman" w:eastAsia="宋体" w:cs="Times New Roman"/>
                      <w:sz w:val="21"/>
                      <w:szCs w:val="21"/>
                      <w:u w:val="single"/>
                      <w:vertAlign w:val="subscript"/>
                      <w:lang w:val="en-US" w:eastAsia="zh-CN"/>
                    </w:rPr>
                    <w:t>3</w:t>
                  </w:r>
                  <w:r>
                    <w:rPr>
                      <w:rFonts w:hint="default" w:ascii="Times New Roman" w:hAnsi="Times New Roman" w:eastAsia="宋体" w:cs="Times New Roman"/>
                      <w:sz w:val="21"/>
                      <w:szCs w:val="21"/>
                      <w:u w:val="single"/>
                    </w:rPr>
                    <w:t>-N≤55t/a</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S0</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≤0.776t/a</w:t>
                  </w:r>
                  <w:r>
                    <w:rPr>
                      <w:rFonts w:hint="default" w:ascii="Times New Roman" w:hAnsi="Times New Roman" w:eastAsia="宋体" w:cs="Times New Roman"/>
                      <w:color w:val="000000" w:themeColor="text1"/>
                      <w:sz w:val="21"/>
                      <w:szCs w:val="21"/>
                      <w:u w:val="single"/>
                      <w14:textFill>
                        <w14:solidFill>
                          <w14:schemeClr w14:val="tx1"/>
                        </w14:solidFill>
                      </w14:textFill>
                    </w:rPr>
                    <w:t>，</w:t>
                  </w:r>
                  <w:r>
                    <w:rPr>
                      <w:rFonts w:hint="default" w:ascii="Times New Roman" w:hAnsi="Times New Roman" w:eastAsia="宋体" w:cs="Times New Roman"/>
                      <w:sz w:val="21"/>
                      <w:szCs w:val="21"/>
                      <w:u w:val="single"/>
                    </w:rPr>
                    <w:t>NO</w:t>
                  </w:r>
                  <w:r>
                    <w:rPr>
                      <w:rFonts w:hint="default" w:ascii="Times New Roman" w:hAnsi="Times New Roman" w:eastAsia="宋体" w:cs="Times New Roman"/>
                      <w:sz w:val="21"/>
                      <w:szCs w:val="21"/>
                      <w:u w:val="single"/>
                      <w:lang w:val="en-US" w:eastAsia="zh-CN"/>
                    </w:rPr>
                    <w:t>x</w:t>
                  </w:r>
                  <w:r>
                    <w:rPr>
                      <w:rFonts w:hint="default" w:ascii="Times New Roman" w:hAnsi="Times New Roman" w:eastAsia="宋体" w:cs="Times New Roman"/>
                      <w:sz w:val="21"/>
                      <w:szCs w:val="21"/>
                      <w:u w:val="single"/>
                    </w:rPr>
                    <w:t>≤4.185t/a</w:t>
                  </w:r>
                  <w:r>
                    <w:rPr>
                      <w:rFonts w:hint="default"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总量指标纳入当地环保部门总量控制管理。</w:t>
                  </w:r>
                </w:p>
              </w:tc>
              <w:tc>
                <w:tcPr>
                  <w:tcW w:w="2498" w:type="pct"/>
                  <w:vAlign w:val="center"/>
                </w:tcPr>
                <w:p>
                  <w:pPr>
                    <w:pStyle w:val="2"/>
                    <w:jc w:val="center"/>
                    <w:rPr>
                      <w:rFonts w:hint="default" w:ascii="Times New Roman" w:hAnsi="Times New Roman" w:eastAsia="宋体" w:cs="Times New Roman"/>
                      <w:sz w:val="21"/>
                      <w:szCs w:val="21"/>
                      <w:u w:val="single"/>
                      <w:vertAlign w:val="baseline"/>
                      <w:lang w:val="en-US" w:eastAsia="zh-CN"/>
                    </w:rPr>
                  </w:pPr>
                  <w:r>
                    <w:rPr>
                      <w:rFonts w:hint="default" w:ascii="Times New Roman" w:hAnsi="Times New Roman" w:eastAsia="宋体" w:cs="Times New Roman"/>
                      <w:sz w:val="21"/>
                      <w:szCs w:val="21"/>
                      <w:u w:val="single"/>
                      <w:vertAlign w:val="baseline"/>
                      <w:lang w:val="en-US" w:eastAsia="zh-CN"/>
                    </w:rPr>
                    <w:t>项目废水经预处理后达标排入华容县桥东污水处理厂进行处理，废水污染物排放总量纳入污水处理厂总量指标内，本项目不再单独申请。</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noWrap w:val="0"/>
            <w:vAlign w:val="center"/>
          </w:tcPr>
          <w:p>
            <w:pPr>
              <w:autoSpaceDE w:val="0"/>
              <w:autoSpaceDN w:val="0"/>
              <w:adjustRightInd w:val="0"/>
              <w:snapToGrid w:val="0"/>
              <w:jc w:val="center"/>
              <w:rPr>
                <w:rFonts w:hint="eastAsia" w:ascii="宋体" w:hAnsi="宋体" w:cs="宋体"/>
                <w:kern w:val="0"/>
                <w:sz w:val="24"/>
                <w:szCs w:val="24"/>
              </w:rPr>
            </w:pPr>
            <w:r>
              <w:rPr>
                <w:rFonts w:hint="eastAsia" w:ascii="宋体" w:hAnsi="宋体" w:cs="宋体"/>
                <w:kern w:val="0"/>
                <w:sz w:val="24"/>
                <w:szCs w:val="24"/>
              </w:rPr>
              <w:t>其他符合性分析</w:t>
            </w:r>
          </w:p>
        </w:tc>
        <w:tc>
          <w:tcPr>
            <w:tcW w:w="6488" w:type="dxa"/>
            <w:gridSpan w:val="3"/>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right="0"/>
              <w:textAlignment w:val="auto"/>
              <w:rPr>
                <w:rFonts w:hint="default"/>
                <w:b/>
                <w:bCs/>
                <w:sz w:val="24"/>
                <w:szCs w:val="32"/>
                <w:lang w:val="en-US" w:eastAsia="zh-CN"/>
              </w:rPr>
            </w:pPr>
            <w:r>
              <w:rPr>
                <w:b/>
                <w:bCs/>
                <w:sz w:val="24"/>
                <w:szCs w:val="32"/>
              </w:rPr>
              <w:t>相关产业政策、规划及选</w:t>
            </w:r>
            <w:r>
              <w:rPr>
                <w:rFonts w:hint="eastAsia"/>
                <w:b/>
                <w:bCs/>
                <w:sz w:val="24"/>
                <w:szCs w:val="32"/>
                <w:lang w:eastAsia="zh-CN"/>
              </w:rPr>
              <w:t>址</w:t>
            </w:r>
            <w:r>
              <w:rPr>
                <w:b/>
                <w:bCs/>
                <w:sz w:val="24"/>
                <w:szCs w:val="32"/>
              </w:rPr>
              <w:t>合理性分析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sz w:val="24"/>
                <w:szCs w:val="32"/>
                <w:lang w:val="en-US" w:eastAsia="zh-CN"/>
              </w:rPr>
            </w:pPr>
            <w:r>
              <w:rPr>
                <w:rFonts w:hint="default" w:ascii="Times New Roman" w:hAnsi="Times New Roman" w:eastAsia="宋体" w:cs="Times New Roman"/>
                <w:b/>
                <w:bCs/>
                <w:sz w:val="24"/>
                <w:szCs w:val="32"/>
                <w:lang w:eastAsia="zh-CN"/>
              </w:rPr>
              <w:t>（</w:t>
            </w:r>
            <w:r>
              <w:rPr>
                <w:rFonts w:hint="default" w:ascii="Times New Roman" w:hAnsi="Times New Roman" w:eastAsia="宋体" w:cs="Times New Roman"/>
                <w:b/>
                <w:bCs/>
                <w:sz w:val="24"/>
                <w:szCs w:val="32"/>
                <w:lang w:val="en-US" w:eastAsia="zh-CN"/>
              </w:rPr>
              <w:t>1</w:t>
            </w:r>
            <w:r>
              <w:rPr>
                <w:rFonts w:hint="default" w:ascii="Times New Roman" w:hAnsi="Times New Roman" w:eastAsia="宋体" w:cs="Times New Roman"/>
                <w:b/>
                <w:bCs/>
                <w:sz w:val="24"/>
                <w:szCs w:val="32"/>
                <w:lang w:eastAsia="zh-CN"/>
              </w:rPr>
              <w:t>）</w:t>
            </w:r>
            <w:r>
              <w:rPr>
                <w:rFonts w:hint="default" w:ascii="Times New Roman" w:hAnsi="Times New Roman" w:eastAsia="宋体" w:cs="Times New Roman"/>
                <w:b/>
                <w:bCs/>
                <w:sz w:val="24"/>
                <w:szCs w:val="32"/>
              </w:rPr>
              <w:t>国家产业政策相符性分析</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sz w:val="24"/>
                <w:szCs w:val="32"/>
              </w:rPr>
            </w:pPr>
            <w:r>
              <w:rPr>
                <w:rFonts w:hint="default" w:ascii="Times New Roman" w:hAnsi="Times New Roman" w:eastAsia="宋体" w:cs="Times New Roman"/>
                <w:sz w:val="24"/>
                <w:szCs w:val="32"/>
              </w:rPr>
              <w:t>根据《</w:t>
            </w:r>
            <w:r>
              <w:rPr>
                <w:rFonts w:hint="default" w:ascii="Times New Roman" w:hAnsi="Times New Roman" w:eastAsia="宋体" w:cs="Times New Roman"/>
                <w:sz w:val="24"/>
                <w:szCs w:val="32"/>
                <w:lang w:val="en-US" w:eastAsia="zh-CN"/>
              </w:rPr>
              <w:t>2019</w:t>
            </w:r>
            <w:r>
              <w:rPr>
                <w:rFonts w:hint="default" w:ascii="Times New Roman" w:hAnsi="Times New Roman" w:eastAsia="宋体" w:cs="Times New Roman"/>
                <w:sz w:val="24"/>
                <w:szCs w:val="32"/>
              </w:rPr>
              <w:t>国民经济行业分类注释》，本项目属于</w:t>
            </w:r>
            <w:r>
              <w:rPr>
                <w:rFonts w:hint="default" w:ascii="Times New Roman" w:hAnsi="Times New Roman" w:eastAsia="宋体" w:cs="Times New Roman"/>
                <w:sz w:val="24"/>
                <w:szCs w:val="32"/>
                <w:lang w:eastAsia="zh-CN"/>
              </w:rPr>
              <w:t>“</w:t>
            </w:r>
            <w:r>
              <w:rPr>
                <w:rFonts w:hint="default"/>
                <w:sz w:val="24"/>
                <w:szCs w:val="32"/>
                <w:lang w:val="en-US" w:eastAsia="zh-CN"/>
              </w:rPr>
              <w:t>C</w:t>
            </w:r>
            <w:r>
              <w:rPr>
                <w:rFonts w:hint="eastAsia"/>
                <w:sz w:val="24"/>
                <w:szCs w:val="32"/>
                <w:lang w:val="en-US" w:eastAsia="zh-CN"/>
              </w:rPr>
              <w:t>2624</w:t>
            </w:r>
            <w:r>
              <w:rPr>
                <w:sz w:val="24"/>
                <w:szCs w:val="32"/>
              </w:rPr>
              <w:t>复混肥料制造</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lang w:val="en-US" w:eastAsia="zh-CN"/>
              </w:rPr>
              <w:t>。对照</w:t>
            </w: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"https://baike.baidu.com/item/%E4%B8%AD%E5%8D%8E%E4%BA%BA%E6%B0%91%E5%85%B1%E5%92%8C%E5%9B%BD%E5%9B%BD%E5%AE%B6%E5%8F%91%E5%B1%95%E5%92%8C%E6%94%B9%E9%9D%A9%E5%A7%94%E5%91%98%E4%BC%9A/3507432" \t "https://baike.baidu.com/item/%E4%BA%A7%E4%B8%9A%E7%BB%93%E6%9E%84%E8%B0%83%E6%95%B4%E6%8C%87%E5%AF%BC%E7%9B%AE%E5%BD%95%EF%BC%882019%E5%B9%B4%E6%9C%AC%EF%BC%89/_blank"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中华人民共和国国家发展和改革委员会</w:t>
            </w:r>
            <w:r>
              <w:rPr>
                <w:rFonts w:hint="default" w:ascii="Times New Roman" w:hAnsi="Times New Roman" w:eastAsia="宋体" w:cs="Times New Roman"/>
                <w:sz w:val="24"/>
                <w:szCs w:val="32"/>
              </w:rPr>
              <w:fldChar w:fldCharType="end"/>
            </w:r>
            <w:r>
              <w:rPr>
                <w:rFonts w:hint="default" w:ascii="Times New Roman" w:hAnsi="Times New Roman" w:eastAsia="宋体" w:cs="Times New Roman"/>
                <w:sz w:val="24"/>
                <w:szCs w:val="32"/>
              </w:rPr>
              <w:t>发布</w:t>
            </w:r>
            <w:r>
              <w:rPr>
                <w:rFonts w:hint="default" w:ascii="Times New Roman" w:hAnsi="Times New Roman" w:eastAsia="宋体" w:cs="Times New Roman"/>
                <w:sz w:val="24"/>
                <w:szCs w:val="32"/>
                <w:lang w:val="en-US" w:eastAsia="zh-CN"/>
              </w:rPr>
              <w:t>的</w:t>
            </w:r>
            <w:r>
              <w:rPr>
                <w:rFonts w:hint="default" w:ascii="Times New Roman" w:hAnsi="Times New Roman" w:eastAsia="宋体" w:cs="Times New Roman"/>
                <w:sz w:val="24"/>
                <w:szCs w:val="32"/>
              </w:rPr>
              <w:t>《产业结构调整指导目录（2019年本）》，本项目不属于《产业结构调整指导目录（2019年本）》中鼓励类、限制类和淘汰类，为允许类。对比中华人民共和国工业和信息化部公布的《部分工业行业淘汰落后生产工艺装备和产品指导目录（2010年本）》，本项目工艺及设备亦不在淘汰范围内。</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sz w:val="24"/>
                <w:szCs w:val="32"/>
              </w:rPr>
            </w:pPr>
            <w:r>
              <w:rPr>
                <w:rFonts w:hint="default" w:ascii="Times New Roman" w:hAnsi="Times New Roman" w:eastAsia="宋体" w:cs="Times New Roman"/>
                <w:b/>
                <w:bCs/>
                <w:sz w:val="24"/>
                <w:szCs w:val="32"/>
              </w:rPr>
              <w:t>（</w:t>
            </w:r>
            <w:r>
              <w:rPr>
                <w:rFonts w:hint="default" w:ascii="Times New Roman" w:hAnsi="Times New Roman" w:eastAsia="宋体" w:cs="Times New Roman"/>
                <w:b/>
                <w:bCs/>
                <w:sz w:val="24"/>
                <w:szCs w:val="32"/>
                <w:lang w:val="en-US" w:eastAsia="zh-CN"/>
              </w:rPr>
              <w:t>2</w:t>
            </w:r>
            <w:r>
              <w:rPr>
                <w:rFonts w:hint="default" w:ascii="Times New Roman" w:hAnsi="Times New Roman" w:eastAsia="宋体" w:cs="Times New Roman"/>
                <w:b/>
                <w:bCs/>
                <w:sz w:val="24"/>
                <w:szCs w:val="32"/>
              </w:rPr>
              <w:t>）三线一单符合性分析</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lang w:val="en-US" w:eastAsia="zh-CN"/>
              </w:rPr>
              <w:fldChar w:fldCharType="begin"/>
            </w:r>
            <w:r>
              <w:rPr>
                <w:rFonts w:hint="default" w:ascii="Times New Roman" w:hAnsi="Times New Roman" w:eastAsia="宋体" w:cs="Times New Roman"/>
                <w:sz w:val="24"/>
                <w:szCs w:val="22"/>
                <w:lang w:val="en-US" w:eastAsia="zh-CN"/>
              </w:rPr>
              <w:instrText xml:space="preserve"> HYPERLINK "http://sthjt.hunan.gov.cn/sthjt/xxgk/zcfg/gfxwj/202011/13960456/files/a6ae6d852187480c8420e249bd7d34ff.pdf" \t "http://sthjt.hunan.gov.cn/sthjt/xxgk/zcfg/gfxwj/202011/_blank" </w:instrText>
            </w:r>
            <w:r>
              <w:rPr>
                <w:rFonts w:hint="default" w:ascii="Times New Roman" w:hAnsi="Times New Roman" w:eastAsia="宋体" w:cs="Times New Roman"/>
                <w:sz w:val="24"/>
                <w:szCs w:val="22"/>
                <w:lang w:val="en-US" w:eastAsia="zh-CN"/>
              </w:rPr>
              <w:fldChar w:fldCharType="separate"/>
            </w:r>
            <w:r>
              <w:rPr>
                <w:rFonts w:hint="default" w:ascii="Times New Roman" w:hAnsi="Times New Roman" w:eastAsia="宋体" w:cs="Times New Roman"/>
                <w:sz w:val="24"/>
                <w:szCs w:val="22"/>
                <w:lang w:val="en-US" w:eastAsia="zh-CN"/>
              </w:rPr>
              <w:t>湖南省“三线一单”生态环境总体管控要求暨省级以上产业园区生态环境准入清单</w:t>
            </w:r>
            <w:r>
              <w:rPr>
                <w:rFonts w:hint="default" w:ascii="Times New Roman" w:hAnsi="Times New Roman" w:eastAsia="宋体" w:cs="Times New Roman"/>
                <w:sz w:val="24"/>
                <w:szCs w:val="22"/>
                <w:lang w:val="en-US" w:eastAsia="zh-CN"/>
              </w:rPr>
              <w:fldChar w:fldCharType="end"/>
            </w:r>
            <w:r>
              <w:rPr>
                <w:rFonts w:hint="default" w:ascii="Times New Roman" w:hAnsi="Times New Roman" w:eastAsia="宋体" w:cs="Times New Roman"/>
                <w:sz w:val="24"/>
                <w:szCs w:val="22"/>
              </w:rPr>
              <w:t>相符性分析</w:t>
            </w:r>
            <w:r>
              <w:rPr>
                <w:rFonts w:hint="default" w:ascii="Times New Roman" w:hAnsi="Times New Roman" w:eastAsia="宋体" w:cs="Times New Roman"/>
                <w:sz w:val="24"/>
                <w:szCs w:val="22"/>
                <w:lang w:val="en-US" w:eastAsia="zh-CN"/>
              </w:rPr>
              <w:t>详见下表。</w:t>
            </w:r>
          </w:p>
          <w:tbl>
            <w:tblPr>
              <w:tblStyle w:val="66"/>
              <w:tblW w:w="625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08"/>
              <w:gridCol w:w="3120"/>
              <w:gridCol w:w="233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jc w:val="center"/>
              </w:trPr>
              <w:tc>
                <w:tcPr>
                  <w:tcW w:w="808"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管控维度</w:t>
                  </w:r>
                </w:p>
              </w:tc>
              <w:tc>
                <w:tcPr>
                  <w:tcW w:w="3120" w:type="dxa"/>
                  <w:tcBorders>
                    <w:right w:val="single" w:color="000000" w:sz="4" w:space="0"/>
                  </w:tcBorders>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管控要求</w:t>
                  </w:r>
                </w:p>
              </w:tc>
              <w:tc>
                <w:tcPr>
                  <w:tcW w:w="2330" w:type="dxa"/>
                  <w:tcBorders>
                    <w:left w:val="single" w:color="000000" w:sz="4" w:space="0"/>
                  </w:tcBorders>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符合性分析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08"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空间布局元素</w:t>
                  </w:r>
                </w:p>
              </w:tc>
              <w:tc>
                <w:tcPr>
                  <w:tcW w:w="3120" w:type="dxa"/>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lang w:eastAsia="zh-CN"/>
                    </w:rPr>
                  </w:pPr>
                  <w:r>
                    <w:rPr>
                      <w:rFonts w:hint="eastAsia" w:cs="Times New Roman"/>
                      <w:b w:val="0"/>
                      <w:bCs/>
                      <w:color w:val="000000"/>
                      <w:sz w:val="21"/>
                      <w:szCs w:val="21"/>
                      <w:u w:val="single"/>
                      <w:lang w:val="en-US" w:eastAsia="zh-CN"/>
                    </w:rPr>
                    <w:t>石伏工业片区：</w:t>
                  </w:r>
                  <w:r>
                    <w:rPr>
                      <w:rFonts w:hint="default" w:ascii="Times New Roman" w:hAnsi="Times New Roman" w:eastAsia="宋体" w:cs="Times New Roman"/>
                      <w:b w:val="0"/>
                      <w:bCs/>
                      <w:color w:val="000000"/>
                      <w:sz w:val="21"/>
                      <w:szCs w:val="21"/>
                      <w:u w:val="single"/>
                      <w:lang w:val="en-US" w:eastAsia="zh-CN"/>
                    </w:rPr>
                    <w:t>石伏片区不得引进和建设印染类项目。</w:t>
                  </w:r>
                </w:p>
              </w:tc>
              <w:tc>
                <w:tcPr>
                  <w:tcW w:w="233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本项目为</w:t>
                  </w:r>
                  <w:r>
                    <w:rPr>
                      <w:rFonts w:hint="eastAsia" w:cs="Times New Roman"/>
                      <w:b w:val="0"/>
                      <w:bCs/>
                      <w:color w:val="000000"/>
                      <w:sz w:val="21"/>
                      <w:szCs w:val="21"/>
                      <w:u w:val="single"/>
                      <w:lang w:eastAsia="zh-CN"/>
                    </w:rPr>
                    <w:t>肥料制造业</w:t>
                  </w:r>
                  <w:r>
                    <w:rPr>
                      <w:rFonts w:hint="default" w:ascii="Times New Roman" w:hAnsi="Times New Roman" w:eastAsia="宋体" w:cs="Times New Roman"/>
                      <w:b w:val="0"/>
                      <w:bCs/>
                      <w:color w:val="000000"/>
                      <w:sz w:val="21"/>
                      <w:szCs w:val="21"/>
                      <w:u w:val="single"/>
                    </w:rPr>
                    <w:t>，不属于禁止项目。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1" w:hRule="atLeast"/>
                <w:jc w:val="center"/>
              </w:trPr>
              <w:tc>
                <w:tcPr>
                  <w:tcW w:w="808"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污染物排放管控</w:t>
                  </w:r>
                </w:p>
              </w:tc>
              <w:tc>
                <w:tcPr>
                  <w:tcW w:w="3120" w:type="dxa"/>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kern w:val="0"/>
                      <w:sz w:val="21"/>
                      <w:szCs w:val="21"/>
                      <w:u w:val="single"/>
                      <w:lang w:val="en-US" w:eastAsia="zh-CN" w:bidi="ar"/>
                    </w:rPr>
                    <w:t>（2.1）废水：排水实施雨污分流。</w:t>
                  </w:r>
                  <w:r>
                    <w:rPr>
                      <w:rFonts w:hint="default" w:ascii="Times New Roman" w:hAnsi="Times New Roman" w:eastAsia="宋体" w:cs="Times New Roman"/>
                      <w:b w:val="0"/>
                      <w:bCs/>
                      <w:color w:val="000000"/>
                      <w:sz w:val="21"/>
                      <w:szCs w:val="21"/>
                      <w:u w:val="single"/>
                      <w:lang w:val="en-US" w:eastAsia="zh-CN"/>
                    </w:rPr>
                    <w:t>石伏工业片区废污水依托桥东污水处理厂进行园区废水集中处理；</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color w:val="000000"/>
                      <w:kern w:val="0"/>
                      <w:sz w:val="21"/>
                      <w:szCs w:val="21"/>
                      <w:u w:val="single"/>
                      <w:lang w:val="en-US" w:eastAsia="zh-CN" w:bidi="ar"/>
                    </w:rPr>
                    <w:t>（2.2）废气：工业集中区企业有工艺废气产出的生产节点，须督促其配置废气收集与处理净化装置，经处理达到相应标准；加强生产工业研究与技术改进，采取有效措施，减少工艺废气的无组织排放；划分网格点并安装空气监测小微站。</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color w:val="000000"/>
                      <w:kern w:val="0"/>
                      <w:sz w:val="21"/>
                      <w:szCs w:val="21"/>
                      <w:u w:val="single"/>
                      <w:lang w:val="en-US" w:eastAsia="zh-CN" w:bidi="ar"/>
                    </w:rPr>
                    <w:t>（2.3）工业集中区内相关行业及锅炉废气污染物排放满足《湖南省生态环境厅关于执行污染物特别排放限值（第一批）的公告》中的要求。</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kern w:val="0"/>
                      <w:sz w:val="21"/>
                      <w:szCs w:val="21"/>
                      <w:u w:val="single"/>
                      <w:lang w:val="en-US" w:eastAsia="zh-CN" w:bidi="ar"/>
                    </w:rPr>
                    <w:t>（2.4）固废：做好园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的固体废物特别是危险废物应按国家有关规定综合利用或妥善处置，严防二次污染。</w:t>
                  </w:r>
                </w:p>
              </w:tc>
              <w:tc>
                <w:tcPr>
                  <w:tcW w:w="233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sz w:val="21"/>
                      <w:szCs w:val="21"/>
                      <w:u w:val="single"/>
                      <w:lang w:eastAsia="zh-CN"/>
                    </w:rPr>
                  </w:pPr>
                  <w:r>
                    <w:rPr>
                      <w:rFonts w:hint="default" w:ascii="Times New Roman" w:hAnsi="Times New Roman" w:eastAsia="宋体" w:cs="Times New Roman"/>
                      <w:b w:val="0"/>
                      <w:bCs/>
                      <w:sz w:val="21"/>
                      <w:szCs w:val="21"/>
                      <w:u w:val="single"/>
                      <w:lang w:eastAsia="zh-CN"/>
                    </w:rPr>
                    <w:t>（</w:t>
                  </w:r>
                  <w:r>
                    <w:rPr>
                      <w:rFonts w:hint="default" w:ascii="Times New Roman" w:hAnsi="Times New Roman" w:eastAsia="宋体" w:cs="Times New Roman"/>
                      <w:b w:val="0"/>
                      <w:bCs/>
                      <w:sz w:val="21"/>
                      <w:szCs w:val="21"/>
                      <w:u w:val="single"/>
                      <w:lang w:val="en-US" w:eastAsia="zh-CN"/>
                    </w:rPr>
                    <w:t>2.1</w:t>
                  </w:r>
                  <w:r>
                    <w:rPr>
                      <w:rFonts w:hint="default" w:ascii="Times New Roman" w:hAnsi="Times New Roman" w:eastAsia="宋体" w:cs="Times New Roman"/>
                      <w:b w:val="0"/>
                      <w:bCs/>
                      <w:sz w:val="21"/>
                      <w:szCs w:val="21"/>
                      <w:u w:val="single"/>
                      <w:lang w:eastAsia="zh-CN"/>
                    </w:rPr>
                    <w:t>）本</w:t>
                  </w:r>
                  <w:r>
                    <w:rPr>
                      <w:rFonts w:hint="default" w:ascii="Times New Roman" w:hAnsi="Times New Roman" w:eastAsia="宋体" w:cs="Times New Roman"/>
                      <w:b w:val="0"/>
                      <w:bCs/>
                      <w:sz w:val="21"/>
                      <w:szCs w:val="21"/>
                      <w:u w:val="single"/>
                    </w:rPr>
                    <w:t>项目</w:t>
                  </w:r>
                  <w:r>
                    <w:rPr>
                      <w:rFonts w:hint="default" w:ascii="Times New Roman" w:hAnsi="Times New Roman" w:eastAsia="宋体" w:cs="Times New Roman"/>
                      <w:b w:val="0"/>
                      <w:bCs/>
                      <w:sz w:val="21"/>
                      <w:szCs w:val="21"/>
                      <w:u w:val="single"/>
                      <w:lang w:eastAsia="zh-CN"/>
                    </w:rPr>
                    <w:t>实施雨污分流，无生产废水，生活废水经化粪池处理后依托桥东污水处理厂集中处理；</w:t>
                  </w:r>
                </w:p>
                <w:p>
                  <w:pPr>
                    <w:pStyle w:val="2"/>
                    <w:keepNext w:val="0"/>
                    <w:keepLines w:val="0"/>
                    <w:pageBreakBefore w:val="0"/>
                    <w:kinsoku/>
                    <w:wordWrap/>
                    <w:overflowPunct/>
                    <w:topLinePunct w:val="0"/>
                    <w:autoSpaceDE/>
                    <w:autoSpaceDN/>
                    <w:bidi w:val="0"/>
                    <w:adjustRightInd/>
                    <w:snapToGrid/>
                    <w:spacing w:before="0" w:beforeLines="0" w:after="0" w:afterLines="0"/>
                    <w:ind w:firstLine="0" w:firstLineChars="0"/>
                    <w:jc w:val="center"/>
                    <w:textAlignment w:val="auto"/>
                    <w:rPr>
                      <w:rFonts w:hint="default" w:ascii="Times New Roman" w:hAnsi="Times New Roman" w:eastAsia="宋体" w:cs="Times New Roman"/>
                      <w:b w:val="0"/>
                      <w:bCs/>
                      <w:sz w:val="21"/>
                      <w:szCs w:val="21"/>
                      <w:u w:val="single"/>
                      <w:lang w:eastAsia="zh-CN"/>
                    </w:rPr>
                  </w:pPr>
                  <w:r>
                    <w:rPr>
                      <w:rFonts w:hint="default" w:ascii="Times New Roman" w:hAnsi="Times New Roman" w:eastAsia="宋体" w:cs="Times New Roman"/>
                      <w:b w:val="0"/>
                      <w:bCs/>
                      <w:sz w:val="21"/>
                      <w:szCs w:val="21"/>
                      <w:u w:val="single"/>
                      <w:lang w:eastAsia="zh-CN"/>
                    </w:rPr>
                    <w:t>（</w:t>
                  </w:r>
                  <w:r>
                    <w:rPr>
                      <w:rFonts w:hint="default" w:ascii="Times New Roman" w:hAnsi="Times New Roman" w:eastAsia="宋体" w:cs="Times New Roman"/>
                      <w:b w:val="0"/>
                      <w:bCs/>
                      <w:sz w:val="21"/>
                      <w:szCs w:val="21"/>
                      <w:u w:val="single"/>
                      <w:lang w:val="en-US" w:eastAsia="zh-CN"/>
                    </w:rPr>
                    <w:t>2.2</w:t>
                  </w:r>
                  <w:r>
                    <w:rPr>
                      <w:rFonts w:hint="default" w:ascii="Times New Roman" w:hAnsi="Times New Roman" w:eastAsia="宋体" w:cs="Times New Roman"/>
                      <w:b w:val="0"/>
                      <w:bCs/>
                      <w:sz w:val="21"/>
                      <w:szCs w:val="21"/>
                      <w:u w:val="single"/>
                      <w:lang w:eastAsia="zh-CN"/>
                    </w:rPr>
                    <w:t>）本项目工艺废气产出的生产节点，都配置废气收集和处理装置，处理达标后排放。</w:t>
                  </w:r>
                </w:p>
                <w:p>
                  <w:pPr>
                    <w:pStyle w:val="7"/>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000000"/>
                      <w:kern w:val="0"/>
                      <w:sz w:val="21"/>
                      <w:szCs w:val="21"/>
                      <w:u w:val="single"/>
                      <w:lang w:val="en-US" w:eastAsia="zh-CN" w:bidi="ar"/>
                    </w:rPr>
                  </w:pPr>
                  <w:r>
                    <w:rPr>
                      <w:rFonts w:hint="default" w:ascii="Times New Roman" w:hAnsi="Times New Roman" w:eastAsia="宋体" w:cs="Times New Roman"/>
                      <w:b w:val="0"/>
                      <w:bCs/>
                      <w:sz w:val="21"/>
                      <w:szCs w:val="21"/>
                      <w:u w:val="single"/>
                      <w:lang w:val="en-US" w:eastAsia="zh-CN"/>
                    </w:rPr>
                    <w:t>（2.3）本项目污染物不属于</w:t>
                  </w:r>
                  <w:r>
                    <w:rPr>
                      <w:rFonts w:hint="default" w:ascii="Times New Roman" w:hAnsi="Times New Roman" w:eastAsia="宋体" w:cs="Times New Roman"/>
                      <w:b w:val="0"/>
                      <w:bCs/>
                      <w:color w:val="000000"/>
                      <w:kern w:val="0"/>
                      <w:sz w:val="21"/>
                      <w:szCs w:val="21"/>
                      <w:u w:val="single"/>
                      <w:lang w:val="en-US" w:eastAsia="zh-CN" w:bidi="ar"/>
                    </w:rPr>
                    <w:t>《湖南省生态环境厅关于执行污染物特别排放限值（第一批）的公告》中的污染物。</w:t>
                  </w:r>
                </w:p>
                <w:p>
                  <w:pPr>
                    <w:pStyle w:val="7"/>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000000"/>
                      <w:kern w:val="0"/>
                      <w:sz w:val="21"/>
                      <w:szCs w:val="21"/>
                      <w:u w:val="single"/>
                      <w:lang w:val="en-US" w:eastAsia="zh-CN" w:bidi="ar"/>
                    </w:rPr>
                  </w:pPr>
                  <w:r>
                    <w:rPr>
                      <w:rFonts w:hint="default" w:ascii="Times New Roman" w:hAnsi="Times New Roman" w:eastAsia="宋体" w:cs="Times New Roman"/>
                      <w:b w:val="0"/>
                      <w:bCs/>
                      <w:color w:val="000000"/>
                      <w:kern w:val="0"/>
                      <w:sz w:val="21"/>
                      <w:szCs w:val="21"/>
                      <w:u w:val="single"/>
                      <w:lang w:val="en-US" w:eastAsia="zh-CN" w:bidi="ar"/>
                    </w:rPr>
                    <w:t>（2.4）本工程固体废物可得到妥善的处理，对周围环境造成的影响很小。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808"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环境风险</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防控</w:t>
                  </w:r>
                </w:p>
              </w:tc>
              <w:tc>
                <w:tcPr>
                  <w:tcW w:w="312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lang w:val="en-US" w:eastAsia="zh-CN"/>
                    </w:rPr>
                    <w:t>（3.1）集中区应建立健全环境风险防控体系，严格落实《华容工业集中区突发环境事件应急预案》中相关要求，严防突发环境事件发生，提高应急处置能力。</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lang w:val="en-US" w:eastAsia="zh-CN"/>
                    </w:rPr>
                  </w:pPr>
                  <w:r>
                    <w:rPr>
                      <w:rFonts w:hint="default" w:ascii="Times New Roman" w:hAnsi="Times New Roman" w:eastAsia="宋体" w:cs="Times New Roman"/>
                      <w:b w:val="0"/>
                      <w:bCs/>
                      <w:color w:val="000000"/>
                      <w:sz w:val="21"/>
                      <w:szCs w:val="21"/>
                      <w:u w:val="single"/>
                      <w:lang w:val="en-US" w:eastAsia="zh-CN"/>
                    </w:rPr>
                    <w:t>（3.2）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lang w:val="en-US" w:eastAsia="zh-CN"/>
                    </w:rPr>
                  </w:pPr>
                  <w:r>
                    <w:rPr>
                      <w:rFonts w:hint="default" w:ascii="Times New Roman" w:hAnsi="Times New Roman" w:eastAsia="宋体" w:cs="Times New Roman"/>
                      <w:b w:val="0"/>
                      <w:bCs/>
                      <w:color w:val="000000"/>
                      <w:sz w:val="21"/>
                      <w:szCs w:val="21"/>
                      <w:u w:val="single"/>
                      <w:lang w:val="en-US" w:eastAsia="zh-CN"/>
                    </w:rPr>
                    <w:t>（3.3）建设用地土壤风险防控：对拟收回土地使用权的相关行业企业用地，以及用途拟变更为居住和商业、学校、医疗、养老机构等公共设施的企业用地开展土壤环境状况调查评估。</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lang w:val="en-US" w:eastAsia="zh-CN"/>
                    </w:rPr>
                    <w:t>（3.4）农用地土壤风险防控：拟开发为农用地的，地方人民政府组织开展土壤环境质量状况评估；不符合相应标准的，不得种植食用农产品。</w:t>
                  </w:r>
                </w:p>
              </w:tc>
              <w:tc>
                <w:tcPr>
                  <w:tcW w:w="233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sz w:val="21"/>
                      <w:szCs w:val="21"/>
                      <w:u w:val="single"/>
                      <w:lang w:val="en-US" w:eastAsia="zh-CN"/>
                    </w:rPr>
                  </w:pPr>
                  <w:r>
                    <w:rPr>
                      <w:rFonts w:hint="default" w:ascii="Times New Roman" w:hAnsi="Times New Roman" w:eastAsia="宋体" w:cs="Times New Roman"/>
                      <w:b w:val="0"/>
                      <w:bCs/>
                      <w:sz w:val="21"/>
                      <w:szCs w:val="21"/>
                      <w:u w:val="single"/>
                      <w:lang w:eastAsia="zh-CN"/>
                    </w:rPr>
                    <w:t>（</w:t>
                  </w:r>
                  <w:r>
                    <w:rPr>
                      <w:rFonts w:hint="default" w:ascii="Times New Roman" w:hAnsi="Times New Roman" w:eastAsia="宋体" w:cs="Times New Roman"/>
                      <w:b w:val="0"/>
                      <w:bCs/>
                      <w:sz w:val="21"/>
                      <w:szCs w:val="21"/>
                      <w:u w:val="single"/>
                      <w:lang w:val="en-US" w:eastAsia="zh-CN"/>
                    </w:rPr>
                    <w:t>3.1</w:t>
                  </w:r>
                  <w:r>
                    <w:rPr>
                      <w:rFonts w:hint="default" w:ascii="Times New Roman" w:hAnsi="Times New Roman" w:eastAsia="宋体" w:cs="Times New Roman"/>
                      <w:b w:val="0"/>
                      <w:bCs/>
                      <w:sz w:val="21"/>
                      <w:szCs w:val="21"/>
                      <w:u w:val="single"/>
                      <w:lang w:eastAsia="zh-CN"/>
                    </w:rPr>
                    <w:t>）</w:t>
                  </w:r>
                  <w:r>
                    <w:rPr>
                      <w:rFonts w:hint="default" w:ascii="Times New Roman" w:hAnsi="Times New Roman" w:eastAsia="宋体" w:cs="Times New Roman"/>
                      <w:b w:val="0"/>
                      <w:bCs/>
                      <w:sz w:val="21"/>
                      <w:szCs w:val="21"/>
                      <w:u w:val="single"/>
                      <w:lang w:val="en-US" w:eastAsia="zh-CN"/>
                    </w:rPr>
                    <w:t>集中区已建立健全环境风险防控体系，已严格落实《华容工业集中区突发环境事件应急预案》中相关要求。</w:t>
                  </w:r>
                </w:p>
                <w:p>
                  <w:pPr>
                    <w:pStyle w:val="2"/>
                    <w:keepNext w:val="0"/>
                    <w:keepLines w:val="0"/>
                    <w:pageBreakBefore w:val="0"/>
                    <w:kinsoku/>
                    <w:wordWrap/>
                    <w:overflowPunct/>
                    <w:topLinePunct w:val="0"/>
                    <w:autoSpaceDE/>
                    <w:autoSpaceDN/>
                    <w:bidi w:val="0"/>
                    <w:adjustRightInd/>
                    <w:snapToGrid/>
                    <w:spacing w:before="0" w:beforeLines="0" w:after="0" w:afterLines="0"/>
                    <w:ind w:firstLine="0" w:firstLineChars="0"/>
                    <w:jc w:val="center"/>
                    <w:textAlignment w:val="auto"/>
                    <w:rPr>
                      <w:rFonts w:hint="default" w:ascii="Times New Roman" w:hAnsi="Times New Roman" w:eastAsia="宋体" w:cs="Times New Roman"/>
                      <w:b w:val="0"/>
                      <w:bCs/>
                      <w:sz w:val="21"/>
                      <w:szCs w:val="21"/>
                      <w:u w:val="single"/>
                      <w:lang w:eastAsia="zh-CN"/>
                    </w:rPr>
                  </w:pPr>
                  <w:r>
                    <w:rPr>
                      <w:rFonts w:hint="default" w:ascii="Times New Roman" w:hAnsi="Times New Roman" w:eastAsia="宋体" w:cs="Times New Roman"/>
                      <w:b w:val="0"/>
                      <w:bCs/>
                      <w:sz w:val="21"/>
                      <w:szCs w:val="21"/>
                      <w:u w:val="single"/>
                      <w:lang w:eastAsia="zh-CN"/>
                    </w:rPr>
                    <w:t>（</w:t>
                  </w:r>
                  <w:r>
                    <w:rPr>
                      <w:rFonts w:hint="default" w:ascii="Times New Roman" w:hAnsi="Times New Roman" w:eastAsia="宋体" w:cs="Times New Roman"/>
                      <w:b w:val="0"/>
                      <w:bCs/>
                      <w:sz w:val="21"/>
                      <w:szCs w:val="21"/>
                      <w:u w:val="single"/>
                      <w:lang w:val="en-US" w:eastAsia="zh-CN"/>
                    </w:rPr>
                    <w:t>3.2</w:t>
                  </w:r>
                  <w:r>
                    <w:rPr>
                      <w:rFonts w:hint="default" w:ascii="Times New Roman" w:hAnsi="Times New Roman" w:eastAsia="宋体" w:cs="Times New Roman"/>
                      <w:b w:val="0"/>
                      <w:bCs/>
                      <w:sz w:val="21"/>
                      <w:szCs w:val="21"/>
                      <w:u w:val="single"/>
                      <w:lang w:eastAsia="zh-CN"/>
                    </w:rPr>
                    <w:t>）本项目不</w:t>
                  </w:r>
                  <w:r>
                    <w:rPr>
                      <w:rFonts w:hint="default" w:ascii="Times New Roman" w:hAnsi="Times New Roman" w:eastAsia="宋体" w:cs="Times New Roman"/>
                      <w:b w:val="0"/>
                      <w:bCs/>
                      <w:sz w:val="21"/>
                      <w:szCs w:val="21"/>
                      <w:u w:val="single"/>
                    </w:rPr>
                    <w:t>生产、</w:t>
                  </w:r>
                  <w:r>
                    <w:rPr>
                      <w:rFonts w:hint="default" w:ascii="Times New Roman" w:hAnsi="Times New Roman" w:eastAsia="宋体" w:cs="Times New Roman"/>
                      <w:b w:val="0"/>
                      <w:bCs/>
                      <w:sz w:val="21"/>
                      <w:szCs w:val="21"/>
                      <w:u w:val="single"/>
                      <w:lang w:eastAsia="zh-CN"/>
                    </w:rPr>
                    <w:t>不</w:t>
                  </w:r>
                  <w:r>
                    <w:rPr>
                      <w:rFonts w:hint="default" w:ascii="Times New Roman" w:hAnsi="Times New Roman" w:eastAsia="宋体" w:cs="Times New Roman"/>
                      <w:b w:val="0"/>
                      <w:bCs/>
                      <w:sz w:val="21"/>
                      <w:szCs w:val="21"/>
                      <w:u w:val="single"/>
                    </w:rPr>
                    <w:t>储存、</w:t>
                  </w:r>
                  <w:r>
                    <w:rPr>
                      <w:rFonts w:hint="default" w:ascii="Times New Roman" w:hAnsi="Times New Roman" w:eastAsia="宋体" w:cs="Times New Roman"/>
                      <w:b w:val="0"/>
                      <w:bCs/>
                      <w:sz w:val="21"/>
                      <w:szCs w:val="21"/>
                      <w:u w:val="single"/>
                      <w:lang w:eastAsia="zh-CN"/>
                    </w:rPr>
                    <w:t>不</w:t>
                  </w:r>
                  <w:r>
                    <w:rPr>
                      <w:rFonts w:hint="default" w:ascii="Times New Roman" w:hAnsi="Times New Roman" w:eastAsia="宋体" w:cs="Times New Roman"/>
                      <w:b w:val="0"/>
                      <w:bCs/>
                      <w:sz w:val="21"/>
                      <w:szCs w:val="21"/>
                      <w:u w:val="single"/>
                    </w:rPr>
                    <w:t>运输、</w:t>
                  </w:r>
                  <w:r>
                    <w:rPr>
                      <w:rFonts w:hint="default" w:ascii="Times New Roman" w:hAnsi="Times New Roman" w:eastAsia="宋体" w:cs="Times New Roman"/>
                      <w:b w:val="0"/>
                      <w:bCs/>
                      <w:sz w:val="21"/>
                      <w:szCs w:val="21"/>
                      <w:u w:val="single"/>
                      <w:lang w:eastAsia="zh-CN"/>
                    </w:rPr>
                    <w:t>不</w:t>
                  </w:r>
                  <w:r>
                    <w:rPr>
                      <w:rFonts w:hint="default" w:ascii="Times New Roman" w:hAnsi="Times New Roman" w:eastAsia="宋体" w:cs="Times New Roman"/>
                      <w:b w:val="0"/>
                      <w:bCs/>
                      <w:sz w:val="21"/>
                      <w:szCs w:val="21"/>
                      <w:u w:val="single"/>
                    </w:rPr>
                    <w:t>使用危险化学品</w:t>
                  </w:r>
                  <w:r>
                    <w:rPr>
                      <w:rFonts w:hint="default" w:ascii="Times New Roman" w:hAnsi="Times New Roman" w:eastAsia="宋体" w:cs="Times New Roman"/>
                      <w:b w:val="0"/>
                      <w:bCs/>
                      <w:sz w:val="21"/>
                      <w:szCs w:val="21"/>
                      <w:u w:val="single"/>
                      <w:lang w:eastAsia="zh-CN"/>
                    </w:rPr>
                    <w:t>，对照《建设项目环境风险评价技术导则》(HJ169-2018)附录B和《危险化学品重大危险源辨识》(GB18218-2018)，本项目原辅材材料不属于危险化学品。</w:t>
                  </w:r>
                </w:p>
                <w:p>
                  <w:pPr>
                    <w:pStyle w:val="7"/>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000000"/>
                      <w:sz w:val="21"/>
                      <w:szCs w:val="21"/>
                      <w:u w:val="single"/>
                      <w:lang w:val="en-US" w:eastAsia="zh-CN"/>
                    </w:rPr>
                  </w:pPr>
                  <w:r>
                    <w:rPr>
                      <w:rFonts w:hint="default" w:ascii="Times New Roman" w:hAnsi="Times New Roman" w:eastAsia="宋体" w:cs="Times New Roman"/>
                      <w:b w:val="0"/>
                      <w:bCs/>
                      <w:sz w:val="21"/>
                      <w:szCs w:val="21"/>
                      <w:u w:val="single"/>
                      <w:lang w:val="en-US" w:eastAsia="zh-CN"/>
                    </w:rPr>
                    <w:t>（3.3）本项目不属于</w:t>
                  </w:r>
                  <w:r>
                    <w:rPr>
                      <w:rFonts w:hint="default" w:ascii="Times New Roman" w:hAnsi="Times New Roman" w:eastAsia="宋体" w:cs="Times New Roman"/>
                      <w:b w:val="0"/>
                      <w:bCs/>
                      <w:color w:val="000000"/>
                      <w:sz w:val="21"/>
                      <w:szCs w:val="21"/>
                      <w:u w:val="single"/>
                      <w:lang w:val="en-US" w:eastAsia="zh-CN"/>
                    </w:rPr>
                    <w:t>拟收回土地使用权的企业用地，无需开展土壤环境状况调查评估。</w:t>
                  </w:r>
                </w:p>
                <w:p>
                  <w:pPr>
                    <w:pStyle w:val="7"/>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000000"/>
                      <w:sz w:val="21"/>
                      <w:szCs w:val="21"/>
                      <w:u w:val="single"/>
                      <w:lang w:val="en-US" w:eastAsia="zh-CN"/>
                    </w:rPr>
                  </w:pPr>
                  <w:r>
                    <w:rPr>
                      <w:rFonts w:hint="default" w:ascii="Times New Roman" w:hAnsi="Times New Roman" w:eastAsia="宋体" w:cs="Times New Roman"/>
                      <w:b w:val="0"/>
                      <w:bCs/>
                      <w:color w:val="000000"/>
                      <w:sz w:val="21"/>
                      <w:szCs w:val="21"/>
                      <w:u w:val="single"/>
                      <w:lang w:val="en-US" w:eastAsia="zh-CN"/>
                    </w:rPr>
                    <w:t>（3.4）本项目不属于拟开发农用地，无需开展土壤环境质量状况评估。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72" w:hRule="atLeast"/>
                <w:jc w:val="center"/>
              </w:trPr>
              <w:tc>
                <w:tcPr>
                  <w:tcW w:w="808"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rPr>
                    <w:t>资源开发效率要求</w:t>
                  </w:r>
                </w:p>
              </w:tc>
              <w:tc>
                <w:tcPr>
                  <w:tcW w:w="312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lang w:val="en-US" w:eastAsia="zh-CN"/>
                    </w:rPr>
                    <w:t>（4.1）能源：区域内能源消费主要为电力、生物质颗粒。能源消耗预测情况如下：2020年区域年综合能耗消费量预测当量值为478200吨标煤，区域单位GDP能耗预测值为0.232吨标煤/万元，消费增量当量值控制在13000吨标煤；2025年区域年综合能耗消费量预测当量值为590600吨标煤，区域单位GDP能耗预测值为0.195吨标煤/万元，消费增量当量值控制在112400吨标煤。</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lang w:val="en-US" w:eastAsia="zh-CN"/>
                    </w:rPr>
                    <w:t>（4.2）水资源：加强工业节水，重点开展相关工业行业节水技术改造，逐步淘汰高耗水的落后产能，积极推广工业水循环利用，支持引导企业开展水平衡测试，继续推进节水型企业、节水型工业园区建设。2020年，华容县万元国内生产总值用水量99立方米/万元，万元工业增加值用水量32立方米/万元。</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000000"/>
                      <w:sz w:val="21"/>
                      <w:szCs w:val="21"/>
                      <w:u w:val="single"/>
                      <w:lang w:val="en-US" w:eastAsia="zh-CN"/>
                    </w:rPr>
                    <w:t>（4.3）土地资源：以国家产业发展政策为导向，合理制定区域产业用地政策，优先保障主导产业发展用地，严禁向禁止类工业项目供地，严格控制限制类工业项目用地，重点支持发展与区域资源环境条件相适应的产业。纺织服装、医药卫材、通用设备制造投资强度拟定标准分别为150万元/亩、250万元/亩、270万元/亩。</w:t>
                  </w:r>
                </w:p>
              </w:tc>
              <w:tc>
                <w:tcPr>
                  <w:tcW w:w="233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sz w:val="21"/>
                      <w:szCs w:val="21"/>
                      <w:u w:val="single"/>
                      <w:lang w:val="en-US" w:eastAsia="zh-CN"/>
                    </w:rPr>
                  </w:pPr>
                  <w:r>
                    <w:rPr>
                      <w:rFonts w:hint="default" w:ascii="Times New Roman" w:hAnsi="Times New Roman" w:eastAsia="宋体" w:cs="Times New Roman"/>
                      <w:b w:val="0"/>
                      <w:bCs/>
                      <w:sz w:val="21"/>
                      <w:szCs w:val="21"/>
                      <w:u w:val="single"/>
                      <w:lang w:val="en-US" w:eastAsia="zh-CN"/>
                    </w:rPr>
                    <w:t>（4.1）生产过程用到的能源主要为电能，为清洁能源。</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sz w:val="21"/>
                      <w:szCs w:val="21"/>
                      <w:u w:val="single"/>
                      <w:lang w:eastAsia="zh-CN"/>
                    </w:rPr>
                  </w:pPr>
                  <w:r>
                    <w:rPr>
                      <w:rFonts w:hint="default" w:ascii="Times New Roman" w:hAnsi="Times New Roman" w:eastAsia="宋体" w:cs="Times New Roman"/>
                      <w:b w:val="0"/>
                      <w:bCs/>
                      <w:sz w:val="21"/>
                      <w:szCs w:val="21"/>
                      <w:u w:val="single"/>
                      <w:lang w:eastAsia="zh-CN"/>
                    </w:rPr>
                    <w:t>（</w:t>
                  </w:r>
                  <w:r>
                    <w:rPr>
                      <w:rFonts w:hint="default" w:ascii="Times New Roman" w:hAnsi="Times New Roman" w:eastAsia="宋体" w:cs="Times New Roman"/>
                      <w:b w:val="0"/>
                      <w:bCs/>
                      <w:sz w:val="21"/>
                      <w:szCs w:val="21"/>
                      <w:u w:val="single"/>
                      <w:lang w:val="en-US" w:eastAsia="zh-CN"/>
                    </w:rPr>
                    <w:t>4.2</w:t>
                  </w:r>
                  <w:r>
                    <w:rPr>
                      <w:rFonts w:hint="default" w:ascii="Times New Roman" w:hAnsi="Times New Roman" w:eastAsia="宋体" w:cs="Times New Roman"/>
                      <w:b w:val="0"/>
                      <w:bCs/>
                      <w:sz w:val="21"/>
                      <w:szCs w:val="21"/>
                      <w:u w:val="single"/>
                      <w:lang w:eastAsia="zh-CN"/>
                    </w:rPr>
                    <w:t>）本项目无生产用水，员工生活用水量极少。</w:t>
                  </w:r>
                </w:p>
                <w:p>
                  <w:pPr>
                    <w:pStyle w:val="2"/>
                    <w:keepNext w:val="0"/>
                    <w:keepLines w:val="0"/>
                    <w:pageBreakBefore w:val="0"/>
                    <w:kinsoku/>
                    <w:wordWrap/>
                    <w:overflowPunct/>
                    <w:topLinePunct w:val="0"/>
                    <w:autoSpaceDE/>
                    <w:autoSpaceDN/>
                    <w:bidi w:val="0"/>
                    <w:adjustRightInd/>
                    <w:snapToGrid/>
                    <w:spacing w:before="0" w:beforeLines="0" w:after="0" w:afterLines="0"/>
                    <w:ind w:firstLine="0" w:firstLineChars="0"/>
                    <w:jc w:val="center"/>
                    <w:textAlignment w:val="auto"/>
                    <w:rPr>
                      <w:rFonts w:hint="default" w:ascii="Times New Roman" w:hAnsi="Times New Roman" w:eastAsia="宋体" w:cs="Times New Roman"/>
                      <w:b w:val="0"/>
                      <w:bCs/>
                      <w:sz w:val="21"/>
                      <w:szCs w:val="21"/>
                      <w:u w:val="single"/>
                      <w:lang w:eastAsia="zh-CN"/>
                    </w:rPr>
                  </w:pPr>
                  <w:r>
                    <w:rPr>
                      <w:rFonts w:hint="default" w:ascii="Times New Roman" w:hAnsi="Times New Roman" w:eastAsia="宋体" w:cs="Times New Roman"/>
                      <w:b w:val="0"/>
                      <w:bCs/>
                      <w:color w:val="000000" w:themeColor="text1"/>
                      <w:sz w:val="21"/>
                      <w:szCs w:val="21"/>
                      <w:u w:val="singl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u w:val="single"/>
                      <w:lang w:val="en-US" w:eastAsia="zh-CN"/>
                      <w14:textFill>
                        <w14:solidFill>
                          <w14:schemeClr w14:val="tx1"/>
                        </w14:solidFill>
                      </w14:textFill>
                    </w:rPr>
                    <w:t>4.3</w:t>
                  </w:r>
                  <w:r>
                    <w:rPr>
                      <w:rFonts w:hint="default" w:ascii="Times New Roman" w:hAnsi="Times New Roman" w:eastAsia="宋体" w:cs="Times New Roman"/>
                      <w:b w:val="0"/>
                      <w:bCs/>
                      <w:color w:val="000000" w:themeColor="text1"/>
                      <w:sz w:val="21"/>
                      <w:szCs w:val="21"/>
                      <w:u w:val="single"/>
                      <w:lang w:eastAsia="zh-CN"/>
                      <w14:textFill>
                        <w14:solidFill>
                          <w14:schemeClr w14:val="tx1"/>
                        </w14:solidFill>
                      </w14:textFill>
                    </w:rPr>
                    <w:t>）本项目属于</w:t>
                  </w:r>
                  <w:r>
                    <w:rPr>
                      <w:rFonts w:hint="eastAsia" w:ascii="Times New Roman" w:eastAsia="宋体" w:cs="Times New Roman"/>
                      <w:b w:val="0"/>
                      <w:bCs/>
                      <w:color w:val="000000" w:themeColor="text1"/>
                      <w:sz w:val="21"/>
                      <w:szCs w:val="21"/>
                      <w:u w:val="single"/>
                      <w:lang w:eastAsia="zh-CN"/>
                      <w14:textFill>
                        <w14:solidFill>
                          <w14:schemeClr w14:val="tx1"/>
                        </w14:solidFill>
                      </w14:textFill>
                    </w:rPr>
                    <w:t>肥料制造业</w:t>
                  </w:r>
                  <w:r>
                    <w:rPr>
                      <w:rFonts w:hint="default" w:ascii="Times New Roman" w:hAnsi="Times New Roman" w:eastAsia="宋体" w:cs="Times New Roman"/>
                      <w:b w:val="0"/>
                      <w:bCs/>
                      <w:color w:val="000000" w:themeColor="text1"/>
                      <w:sz w:val="21"/>
                      <w:szCs w:val="21"/>
                      <w:u w:val="single"/>
                      <w:lang w:eastAsia="zh-CN"/>
                      <w14:textFill>
                        <w14:solidFill>
                          <w14:schemeClr w14:val="tx1"/>
                        </w14:solidFill>
                      </w14:textFill>
                    </w:rPr>
                    <w:t>，不属于禁止类项目。</w:t>
                  </w:r>
                </w:p>
              </w:tc>
            </w:tr>
          </w:tbl>
          <w:p>
            <w:pPr>
              <w:pStyle w:val="2"/>
              <w:keepNext w:val="0"/>
              <w:keepLines w:val="0"/>
              <w:pageBreakBefore w:val="0"/>
              <w:widowControl/>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2"/>
                <w:lang w:val="en-US" w:eastAsia="zh-CN"/>
              </w:rPr>
            </w:pPr>
            <w:r>
              <w:rPr>
                <w:rFonts w:hint="default" w:ascii="Times New Roman" w:hAnsi="Times New Roman" w:eastAsia="宋体" w:cs="Times New Roman"/>
                <w:sz w:val="24"/>
                <w:szCs w:val="22"/>
              </w:rPr>
              <w:t>①</w:t>
            </w:r>
            <w:r>
              <w:rPr>
                <w:rFonts w:hint="default" w:ascii="Times New Roman" w:hAnsi="Times New Roman" w:eastAsia="宋体" w:cs="Times New Roman"/>
                <w:sz w:val="24"/>
                <w:szCs w:val="22"/>
                <w:lang w:val="en-US" w:eastAsia="zh-CN"/>
              </w:rPr>
              <w:t>生态保护红线</w:t>
            </w:r>
          </w:p>
          <w:p>
            <w:pPr>
              <w:pStyle w:val="7"/>
              <w:keepNext w:val="0"/>
              <w:keepLines w:val="0"/>
              <w:pageBreakBefore w:val="0"/>
              <w:widowControl/>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lang w:val="en-US" w:eastAsia="zh-CN"/>
              </w:rPr>
              <w:t>位于岳阳市华容县华容石伏工业园内，所在区域不在《岳阳市生态保护红线划定方案》中的生态保护区范围内。</w:t>
            </w:r>
          </w:p>
          <w:p>
            <w:pPr>
              <w:pStyle w:val="7"/>
              <w:keepNext w:val="0"/>
              <w:keepLines w:val="0"/>
              <w:pageBreakBefore w:val="0"/>
              <w:widowControl/>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rPr>
              <w:t>②环境质量底线管理</w:t>
            </w:r>
          </w:p>
          <w:p>
            <w:pPr>
              <w:pStyle w:val="2"/>
              <w:keepNext w:val="0"/>
              <w:keepLines w:val="0"/>
              <w:pageBreakBefore w:val="0"/>
              <w:widowControl/>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2"/>
                <w:lang w:val="en-US" w:eastAsia="zh-CN"/>
              </w:rPr>
            </w:pPr>
            <w:r>
              <w:rPr>
                <w:rFonts w:hint="default" w:ascii="Times New Roman" w:hAnsi="Times New Roman" w:eastAsia="宋体" w:cs="Times New Roman"/>
                <w:sz w:val="24"/>
                <w:szCs w:val="22"/>
                <w:lang w:val="en-US" w:eastAsia="zh-CN"/>
              </w:rPr>
              <w:t>项目区环境质量均能满足相应标准要求。项目排放的各项污染物经相应措施处理后对周围环境较小，环境风险可控，不会改变区域环境功能，因此本项目的建设符合环境质量底线要求。</w:t>
            </w:r>
          </w:p>
          <w:p>
            <w:pPr>
              <w:pStyle w:val="7"/>
              <w:keepNext w:val="0"/>
              <w:keepLines w:val="0"/>
              <w:pageBreakBefore w:val="0"/>
              <w:widowControl/>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rPr>
              <w:t>③</w:t>
            </w:r>
            <w:r>
              <w:rPr>
                <w:rFonts w:hint="default" w:ascii="Times New Roman" w:hAnsi="Times New Roman" w:eastAsia="宋体" w:cs="Times New Roman"/>
                <w:sz w:val="24"/>
                <w:szCs w:val="28"/>
                <w:lang w:val="en-US" w:eastAsia="zh-CN"/>
              </w:rPr>
              <w:t>资源利用上线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sz w:val="24"/>
                <w:szCs w:val="24"/>
                <w:lang w:val="en-US" w:eastAsia="zh-CN"/>
              </w:rPr>
            </w:pPr>
            <w:r>
              <w:rPr>
                <w:rFonts w:hint="default" w:ascii="Times New Roman" w:hAnsi="Times New Roman" w:eastAsia="宋体" w:cs="Times New Roman"/>
                <w:sz w:val="24"/>
                <w:szCs w:val="28"/>
                <w:lang w:val="en-US" w:eastAsia="zh-CN"/>
              </w:rPr>
              <w:t>项目位于岳阳市华容县华容石伏工业园内，不属于自然资源重点管控区；土地资源符合岳阳市总体规划要求；项目用水主要为自来水，电由供电公司供应，不会突破当地资源利用上线。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sz w:val="24"/>
                <w:szCs w:val="24"/>
              </w:rPr>
            </w:pPr>
          </w:p>
          <w:p>
            <w:pPr>
              <w:pStyle w:val="2"/>
              <w:rPr>
                <w:rFonts w:hint="default"/>
              </w:rPr>
            </w:pPr>
          </w:p>
          <w:p>
            <w:pPr>
              <w:pStyle w:val="2"/>
              <w:rPr>
                <w:rFonts w:hint="default"/>
              </w:rPr>
            </w:pPr>
          </w:p>
          <w:p>
            <w:pPr>
              <w:pStyle w:val="2"/>
              <w:rPr>
                <w:rFonts w:hint="default"/>
              </w:rPr>
            </w:pPr>
          </w:p>
          <w:p>
            <w:pPr>
              <w:pStyle w:val="2"/>
              <w:rPr>
                <w:rFonts w:hint="default"/>
              </w:rPr>
            </w:pPr>
          </w:p>
          <w:p>
            <w:pPr>
              <w:pStyle w:val="7"/>
              <w:rPr>
                <w:rFonts w:hint="default"/>
              </w:rPr>
            </w:pPr>
          </w:p>
          <w:p>
            <w:pPr>
              <w:pStyle w:val="7"/>
              <w:rPr>
                <w:rFonts w:hint="default"/>
              </w:rPr>
            </w:pPr>
          </w:p>
          <w:p>
            <w:pPr>
              <w:pStyle w:val="7"/>
              <w:ind w:left="0" w:leftChars="0" w:firstLine="0" w:firstLineChars="0"/>
              <w:rPr>
                <w:rFonts w:hint="default" w:ascii="Times New Roman" w:hAnsi="Times New Roman" w:cs="Times New Roman"/>
                <w:sz w:val="24"/>
                <w:szCs w:val="24"/>
              </w:rPr>
            </w:pPr>
          </w:p>
          <w:p>
            <w:pPr>
              <w:pStyle w:val="7"/>
              <w:ind w:left="0" w:leftChars="0" w:firstLine="0" w:firstLineChars="0"/>
              <w:rPr>
                <w:rFonts w:hint="default" w:ascii="Times New Roman" w:hAnsi="Times New Roman" w:cs="Times New Roman"/>
                <w:sz w:val="24"/>
                <w:szCs w:val="24"/>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2"/>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23" w:type="dxa"/>
            <w:noWrap w:val="0"/>
            <w:vAlign w:val="center"/>
          </w:tcPr>
          <w:p>
            <w:pPr>
              <w:pStyle w:val="22"/>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sz w:val="24"/>
                <w:szCs w:val="24"/>
              </w:rPr>
              <w:t>建设内容</w:t>
            </w:r>
          </w:p>
        </w:tc>
        <w:tc>
          <w:tcPr>
            <w:tcW w:w="81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1、项目由来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rPr>
            </w:pPr>
            <w:r>
              <w:rPr>
                <w:rFonts w:hint="default" w:ascii="Times New Roman" w:hAnsi="Times New Roman" w:cs="Times New Roman"/>
                <w:sz w:val="24"/>
                <w:szCs w:val="32"/>
              </w:rPr>
              <w:t>华容县现有芥菜种植面积8000公顷，是全国最大的芥菜生产基地。为</w:t>
            </w:r>
            <w:r>
              <w:rPr>
                <w:rFonts w:hint="eastAsia" w:cs="Times New Roman"/>
                <w:sz w:val="24"/>
                <w:szCs w:val="32"/>
                <w:lang w:eastAsia="zh-CN"/>
              </w:rPr>
              <w:t>了</w:t>
            </w:r>
            <w:r>
              <w:rPr>
                <w:rFonts w:hint="default" w:ascii="Times New Roman" w:hAnsi="Times New Roman" w:cs="Times New Roman"/>
                <w:sz w:val="24"/>
                <w:szCs w:val="32"/>
              </w:rPr>
              <w:t>做大做强芥菜产业，发展壮大县域经济，</w:t>
            </w:r>
            <w:r>
              <w:rPr>
                <w:rFonts w:hint="eastAsia" w:cs="Times New Roman"/>
                <w:sz w:val="24"/>
                <w:szCs w:val="32"/>
                <w:lang w:eastAsia="zh-CN"/>
              </w:rPr>
              <w:t>提高华容县农产品的产量，</w:t>
            </w:r>
            <w:r>
              <w:rPr>
                <w:rFonts w:hint="eastAsia" w:cs="Times New Roman"/>
                <w:sz w:val="24"/>
                <w:szCs w:val="32"/>
                <w:lang w:val="en-US" w:eastAsia="zh-CN"/>
              </w:rPr>
              <w:t>湖南春特农业科技开发有限公司</w:t>
            </w:r>
            <w:r>
              <w:rPr>
                <w:rFonts w:hint="default" w:ascii="Times New Roman" w:hAnsi="Times New Roman" w:cs="Times New Roman"/>
                <w:sz w:val="24"/>
                <w:szCs w:val="32"/>
              </w:rPr>
              <w:t>拟投资</w:t>
            </w:r>
            <w:r>
              <w:rPr>
                <w:rFonts w:hint="eastAsia" w:cs="Times New Roman"/>
                <w:sz w:val="24"/>
                <w:szCs w:val="32"/>
                <w:lang w:val="en-US" w:eastAsia="zh-CN"/>
              </w:rPr>
              <w:t>200</w:t>
            </w:r>
            <w:r>
              <w:rPr>
                <w:rFonts w:hint="default" w:ascii="Times New Roman" w:hAnsi="Times New Roman" w:cs="Times New Roman"/>
                <w:sz w:val="24"/>
                <w:szCs w:val="32"/>
              </w:rPr>
              <w:t>万元</w:t>
            </w:r>
            <w:r>
              <w:rPr>
                <w:rFonts w:hint="eastAsia" w:cs="Times New Roman"/>
                <w:sz w:val="24"/>
                <w:szCs w:val="32"/>
                <w:lang w:eastAsia="zh-CN"/>
              </w:rPr>
              <w:t>，</w:t>
            </w:r>
            <w:r>
              <w:rPr>
                <w:rFonts w:hint="default" w:ascii="Times New Roman" w:hAnsi="Times New Roman" w:cs="Times New Roman"/>
                <w:sz w:val="24"/>
                <w:szCs w:val="32"/>
                <w:lang w:eastAsia="zh-CN"/>
              </w:rPr>
              <w:t>在岳阳市华容县石伏工业园</w:t>
            </w:r>
            <w:r>
              <w:rPr>
                <w:rFonts w:hint="default" w:ascii="Times New Roman" w:hAnsi="Times New Roman" w:cs="Times New Roman"/>
                <w:sz w:val="24"/>
                <w:szCs w:val="32"/>
                <w:lang w:val="en-US" w:eastAsia="zh-CN"/>
              </w:rPr>
              <w:t>租用湖南丰盛纺织集团有限公司面积约</w:t>
            </w:r>
            <w:r>
              <w:rPr>
                <w:rFonts w:hint="eastAsia" w:cs="Times New Roman"/>
                <w:sz w:val="24"/>
                <w:szCs w:val="32"/>
                <w:lang w:val="en-US" w:eastAsia="zh-CN"/>
              </w:rPr>
              <w:t>130</w:t>
            </w:r>
            <w:r>
              <w:rPr>
                <w:rFonts w:hint="default" w:ascii="Times New Roman" w:hAnsi="Times New Roman" w:cs="Times New Roman"/>
                <w:sz w:val="24"/>
                <w:szCs w:val="32"/>
                <w:lang w:val="en-US" w:eastAsia="zh-CN"/>
              </w:rPr>
              <w:t>0m</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lang w:val="en-US" w:eastAsia="zh-CN"/>
              </w:rPr>
              <w:t>的闲置厂房进行生产建设年产</w:t>
            </w:r>
            <w:r>
              <w:rPr>
                <w:rFonts w:hint="eastAsia" w:cs="Times New Roman"/>
                <w:sz w:val="24"/>
                <w:szCs w:val="32"/>
                <w:lang w:val="en-US" w:eastAsia="zh-CN"/>
              </w:rPr>
              <w:t>10</w:t>
            </w:r>
            <w:r>
              <w:rPr>
                <w:rFonts w:hint="default" w:ascii="Times New Roman" w:hAnsi="Times New Roman" w:cs="Times New Roman"/>
                <w:sz w:val="24"/>
                <w:szCs w:val="32"/>
                <w:lang w:val="en-US" w:eastAsia="zh-CN"/>
              </w:rPr>
              <w:t>000吨多元素颗粒氮肥项目。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sz w:val="24"/>
                <w:szCs w:val="32"/>
                <w:lang w:val="en-US" w:eastAsia="zh-CN"/>
              </w:rPr>
              <w:t>根据《中华人民共和国环境影响评价法》等相关要求，项目应进行环境影响评价，本项目属于2020年11月30日公布的《建设项目环境影响评价分类管理名录（2021年版）》中的“二十三、化肥原料和化学制品制造业”中的“45肥料制造，其他”，应当编制环境影响报告表。因此</w:t>
            </w:r>
            <w:r>
              <w:rPr>
                <w:rFonts w:hint="eastAsia" w:cs="Times New Roman"/>
                <w:sz w:val="24"/>
                <w:szCs w:val="32"/>
                <w:lang w:val="en-US" w:eastAsia="zh-CN"/>
              </w:rPr>
              <w:t>湖南春特农业科技开发有限公司</w:t>
            </w:r>
            <w:r>
              <w:rPr>
                <w:rFonts w:hint="default" w:ascii="Times New Roman" w:hAnsi="Times New Roman" w:cs="Times New Roman"/>
                <w:sz w:val="24"/>
                <w:szCs w:val="32"/>
                <w:lang w:eastAsia="zh-CN"/>
              </w:rPr>
              <w:t>特</w:t>
            </w:r>
            <w:r>
              <w:rPr>
                <w:rFonts w:hint="default" w:ascii="Times New Roman" w:hAnsi="Times New Roman" w:cs="Times New Roman"/>
                <w:sz w:val="24"/>
                <w:szCs w:val="32"/>
                <w:lang w:val="en-US" w:eastAsia="zh-CN"/>
              </w:rPr>
              <w:t>委托湖南衡润科技有限公司承担本项目的环境影响评价工作。</w:t>
            </w:r>
            <w:r>
              <w:rPr>
                <w:rFonts w:hint="default" w:ascii="Times New Roman" w:hAnsi="Times New Roman" w:cs="Times New Roman"/>
                <w:sz w:val="24"/>
                <w:szCs w:val="32"/>
              </w:rPr>
              <w:t>接受委托后，</w:t>
            </w:r>
            <w:r>
              <w:rPr>
                <w:rFonts w:hint="default" w:ascii="Times New Roman" w:hAnsi="Times New Roman" w:cs="Times New Roman"/>
                <w:sz w:val="24"/>
                <w:szCs w:val="32"/>
                <w:lang w:eastAsia="zh-CN"/>
              </w:rPr>
              <w:t>湖南衡润科技有限公司（以下统称“我公司”）</w:t>
            </w:r>
            <w:r>
              <w:rPr>
                <w:rFonts w:hint="default" w:ascii="Times New Roman" w:hAnsi="Times New Roman" w:cs="Times New Roman"/>
                <w:sz w:val="24"/>
                <w:szCs w:val="32"/>
              </w:rPr>
              <w:t>立即组织有关技术人员对建设项目场地进行了现场踏勘，收集了相关资料</w:t>
            </w:r>
            <w:r>
              <w:rPr>
                <w:rFonts w:hint="default" w:ascii="Times New Roman" w:hAnsi="Times New Roman" w:cs="Times New Roman"/>
                <w:sz w:val="24"/>
                <w:szCs w:val="32"/>
                <w:lang w:eastAsia="zh-CN"/>
              </w:rPr>
              <w:t>。</w:t>
            </w:r>
            <w:r>
              <w:rPr>
                <w:rFonts w:hint="default" w:ascii="Times New Roman" w:hAnsi="Times New Roman" w:cs="Times New Roman"/>
                <w:sz w:val="24"/>
                <w:szCs w:val="32"/>
              </w:rPr>
              <w:t>同时结合建设项目环境影响评价的有关规定和相关环保政策、技术规范，编制完成了《</w:t>
            </w:r>
            <w:r>
              <w:rPr>
                <w:rFonts w:hint="eastAsia" w:cs="Times New Roman"/>
                <w:sz w:val="24"/>
                <w:szCs w:val="32"/>
                <w:lang w:val="en-US" w:eastAsia="zh-CN"/>
              </w:rPr>
              <w:t>湖南春特农业科技开发有限公司</w:t>
            </w:r>
            <w:r>
              <w:rPr>
                <w:rFonts w:hint="eastAsia" w:ascii="宋体" w:hAnsi="宋体" w:eastAsia="宋体" w:cs="宋体"/>
                <w:sz w:val="24"/>
                <w:szCs w:val="24"/>
                <w:lang w:eastAsia="zh-CN"/>
              </w:rPr>
              <w:t>农业助产生产项目</w:t>
            </w:r>
            <w:r>
              <w:rPr>
                <w:rFonts w:hint="default" w:ascii="Times New Roman" w:hAnsi="Times New Roman" w:cs="Times New Roman"/>
                <w:sz w:val="24"/>
                <w:szCs w:val="32"/>
              </w:rPr>
              <w:t>》环境影响报告表。</w:t>
            </w:r>
          </w:p>
          <w:p>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outlineLvl w:val="2"/>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2、项目内容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sz w:val="24"/>
                <w:szCs w:val="32"/>
                <w:lang w:val="en-US" w:eastAsia="zh-CN"/>
              </w:rPr>
            </w:pPr>
            <w:r>
              <w:rPr>
                <w:rFonts w:hint="eastAsia" w:cs="Times New Roman"/>
                <w:sz w:val="24"/>
                <w:szCs w:val="32"/>
                <w:lang w:eastAsia="zh-CN"/>
              </w:rPr>
              <w:t>湖南春特农业科技开发有限公司</w:t>
            </w:r>
            <w:r>
              <w:rPr>
                <w:rFonts w:hint="default" w:ascii="Times New Roman" w:hAnsi="Times New Roman" w:cs="Times New Roman"/>
                <w:sz w:val="24"/>
                <w:szCs w:val="32"/>
              </w:rPr>
              <w:t>拟投资</w:t>
            </w:r>
            <w:r>
              <w:rPr>
                <w:rFonts w:hint="eastAsia" w:cs="Times New Roman"/>
                <w:sz w:val="24"/>
                <w:szCs w:val="32"/>
                <w:lang w:val="en-US" w:eastAsia="zh-CN"/>
              </w:rPr>
              <w:t>200</w:t>
            </w:r>
            <w:r>
              <w:rPr>
                <w:rFonts w:hint="default" w:ascii="Times New Roman" w:hAnsi="Times New Roman" w:cs="Times New Roman"/>
                <w:sz w:val="24"/>
                <w:szCs w:val="32"/>
              </w:rPr>
              <w:t>万元</w:t>
            </w:r>
            <w:r>
              <w:rPr>
                <w:rFonts w:hint="default" w:ascii="Times New Roman" w:hAnsi="Times New Roman" w:cs="Times New Roman"/>
                <w:sz w:val="24"/>
                <w:szCs w:val="32"/>
                <w:lang w:eastAsia="zh-CN"/>
              </w:rPr>
              <w:t>在岳阳市华容县石伏工业园</w:t>
            </w:r>
            <w:r>
              <w:rPr>
                <w:rFonts w:hint="default" w:ascii="Times New Roman" w:hAnsi="Times New Roman" w:cs="Times New Roman"/>
                <w:sz w:val="24"/>
                <w:szCs w:val="32"/>
                <w:lang w:val="en-US" w:eastAsia="zh-CN"/>
              </w:rPr>
              <w:t>租用湖南丰盛纺织集团有限公司面积约</w:t>
            </w:r>
            <w:r>
              <w:rPr>
                <w:rFonts w:hint="eastAsia" w:cs="Times New Roman"/>
                <w:sz w:val="24"/>
                <w:szCs w:val="32"/>
                <w:lang w:val="en-US" w:eastAsia="zh-CN"/>
              </w:rPr>
              <w:t>1300</w:t>
            </w:r>
            <w:r>
              <w:rPr>
                <w:rFonts w:hint="default" w:ascii="Times New Roman" w:hAnsi="Times New Roman" w:cs="Times New Roman"/>
                <w:sz w:val="24"/>
                <w:szCs w:val="32"/>
                <w:lang w:val="en-US" w:eastAsia="zh-CN"/>
              </w:rPr>
              <w:t>m</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lang w:val="en-US" w:eastAsia="zh-CN"/>
              </w:rPr>
              <w:t>的闲置厂房进行生产建设年产</w:t>
            </w:r>
            <w:r>
              <w:rPr>
                <w:rFonts w:hint="eastAsia" w:cs="Times New Roman"/>
                <w:sz w:val="24"/>
                <w:szCs w:val="32"/>
                <w:lang w:val="en-US" w:eastAsia="zh-CN"/>
              </w:rPr>
              <w:t>10</w:t>
            </w:r>
            <w:r>
              <w:rPr>
                <w:rFonts w:hint="default" w:ascii="Times New Roman" w:hAnsi="Times New Roman" w:cs="Times New Roman"/>
                <w:sz w:val="24"/>
                <w:szCs w:val="32"/>
                <w:lang w:val="en-US" w:eastAsia="zh-CN"/>
              </w:rPr>
              <w:t>000吨多元素颗粒氮肥项目。本工程建设内容详见表2-1。</w:t>
            </w:r>
          </w:p>
          <w:p>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表2-1  建设项目组成一览表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630"/>
              <w:gridCol w:w="3681"/>
              <w:gridCol w:w="10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工程名称</w:t>
                  </w: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单项工程名称</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工程内容及规模</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0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主体工程</w:t>
                  </w: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生产区</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厂房内设1条</w:t>
                  </w:r>
                  <w:r>
                    <w:rPr>
                      <w:rFonts w:hint="eastAsia" w:cs="Times New Roman"/>
                      <w:color w:val="000000" w:themeColor="text1"/>
                      <w:lang w:val="en-US" w:eastAsia="zh-CN"/>
                      <w14:textFill>
                        <w14:solidFill>
                          <w14:schemeClr w14:val="tx1"/>
                        </w14:solidFill>
                      </w14:textFill>
                    </w:rPr>
                    <w:t>多元素颗粒氮肥（硼加锌）</w:t>
                  </w:r>
                  <w:r>
                    <w:rPr>
                      <w:rFonts w:hint="default" w:ascii="Times New Roman" w:hAnsi="Times New Roman" w:eastAsia="宋体" w:cs="Times New Roman"/>
                      <w:color w:val="000000" w:themeColor="text1"/>
                      <w:lang w:val="en-US" w:eastAsia="zh-CN"/>
                      <w14:textFill>
                        <w14:solidFill>
                          <w14:schemeClr w14:val="tx1"/>
                        </w14:solidFill>
                      </w14:textFill>
                    </w:rPr>
                    <w:t>生产线</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租用现有厂房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辅助工程</w:t>
                  </w: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办公区</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设立办公区域，面积40m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02"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公用工程</w:t>
                  </w:r>
                </w:p>
              </w:tc>
              <w:tc>
                <w:tcPr>
                  <w:tcW w:w="1024"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供电</w:t>
                  </w:r>
                </w:p>
              </w:tc>
              <w:tc>
                <w:tcPr>
                  <w:tcW w:w="2312"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依托原有厂区供电</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c>
                <w:tcPr>
                  <w:tcW w:w="1024"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供水</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依托原有厂区供水</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排水</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依托原有厂区雨污分流系统，生活污水，排往华容县桥东污水处理厂</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环保工程</w:t>
                  </w: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废气处理</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经集气罩收集后通过液封水吸收装置处理后引至15m排气筒排放</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噪声治理</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eastAsia="zh-CN"/>
                      <w14:textFill>
                        <w14:solidFill>
                          <w14:schemeClr w14:val="tx1"/>
                        </w14:solidFill>
                      </w14:textFill>
                    </w:rPr>
                    <w:t>优选低噪声设备、</w:t>
                  </w:r>
                  <w:r>
                    <w:rPr>
                      <w:rFonts w:hint="default" w:ascii="Times New Roman" w:hAnsi="Times New Roman" w:eastAsia="宋体" w:cs="Times New Roman"/>
                      <w:color w:val="000000" w:themeColor="text1"/>
                      <w:u w:val="single"/>
                      <w:lang w:val="en-US" w:eastAsia="zh-CN"/>
                      <w14:textFill>
                        <w14:solidFill>
                          <w14:schemeClr w14:val="tx1"/>
                        </w14:solidFill>
                      </w14:textFill>
                    </w:rPr>
                    <w:t>设备基础减振、厂房隔声等。</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废水</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雨污分流，</w:t>
                  </w:r>
                  <w:r>
                    <w:rPr>
                      <w:rFonts w:hint="default" w:ascii="Times New Roman" w:hAnsi="Times New Roman" w:eastAsia="宋体" w:cs="Times New Roman"/>
                      <w:color w:val="000000" w:themeColor="text1"/>
                      <w:u w:val="single"/>
                      <w:lang w:eastAsia="zh-CN"/>
                      <w14:textFill>
                        <w14:solidFill>
                          <w14:schemeClr w14:val="tx1"/>
                        </w14:solidFill>
                      </w14:textFill>
                    </w:rPr>
                    <w:t>生活污水依托现有化粪池处理后</w:t>
                  </w:r>
                  <w:r>
                    <w:rPr>
                      <w:rFonts w:hint="default" w:ascii="Times New Roman" w:hAnsi="Times New Roman" w:eastAsia="宋体" w:cs="Times New Roman"/>
                      <w:color w:val="000000" w:themeColor="text1"/>
                      <w:u w:val="single"/>
                      <w:lang w:val="en-US" w:eastAsia="zh-CN"/>
                      <w14:textFill>
                        <w14:solidFill>
                          <w14:schemeClr w14:val="tx1"/>
                        </w14:solidFill>
                      </w14:textFill>
                    </w:rPr>
                    <w:t>排入华容县桥东污水处理厂</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固废</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eastAsia="zh-CN"/>
                      <w14:textFill>
                        <w14:solidFill>
                          <w14:schemeClr w14:val="tx1"/>
                        </w14:solidFill>
                      </w14:textFill>
                    </w:rPr>
                    <w:t>在厂房</w:t>
                  </w:r>
                  <w:r>
                    <w:rPr>
                      <w:rFonts w:hint="default" w:ascii="Times New Roman" w:hAnsi="Times New Roman" w:eastAsia="宋体" w:cs="Times New Roman"/>
                      <w:color w:val="000000" w:themeColor="text1"/>
                      <w:u w:val="single"/>
                      <w:lang w:val="en-US" w:eastAsia="zh-CN"/>
                      <w14:textFill>
                        <w14:solidFill>
                          <w14:schemeClr w14:val="tx1"/>
                        </w14:solidFill>
                      </w14:textFill>
                    </w:rPr>
                    <w:t>西侧</w:t>
                  </w:r>
                  <w:r>
                    <w:rPr>
                      <w:rFonts w:hint="default" w:ascii="Times New Roman" w:hAnsi="Times New Roman" w:eastAsia="宋体" w:cs="Times New Roman"/>
                      <w:color w:val="000000" w:themeColor="text1"/>
                      <w:u w:val="single"/>
                      <w:lang w:eastAsia="zh-CN"/>
                      <w14:textFill>
                        <w14:solidFill>
                          <w14:schemeClr w14:val="tx1"/>
                        </w14:solidFill>
                      </w14:textFill>
                    </w:rPr>
                    <w:t>设</w:t>
                  </w:r>
                  <w:r>
                    <w:rPr>
                      <w:rFonts w:hint="default" w:ascii="Times New Roman" w:hAnsi="Times New Roman" w:eastAsia="宋体" w:cs="Times New Roman"/>
                      <w:color w:val="000000" w:themeColor="text1"/>
                      <w:u w:val="single"/>
                      <w14:textFill>
                        <w14:solidFill>
                          <w14:schemeClr w14:val="tx1"/>
                        </w14:solidFill>
                      </w14:textFill>
                    </w:rPr>
                    <w:t>10m</w:t>
                  </w:r>
                  <w:r>
                    <w:rPr>
                      <w:rFonts w:hint="default" w:ascii="Times New Roman" w:hAnsi="Times New Roman" w:eastAsia="宋体" w:cs="Times New Roman"/>
                      <w:color w:val="000000" w:themeColor="text1"/>
                      <w:u w:val="single"/>
                      <w:vertAlign w:val="superscript"/>
                      <w14:textFill>
                        <w14:solidFill>
                          <w14:schemeClr w14:val="tx1"/>
                        </w14:solidFill>
                      </w14:textFill>
                    </w:rPr>
                    <w:t>2</w:t>
                  </w:r>
                  <w:r>
                    <w:rPr>
                      <w:rFonts w:hint="default" w:ascii="Times New Roman" w:hAnsi="Times New Roman" w:eastAsia="宋体" w:cs="Times New Roman"/>
                      <w:color w:val="000000" w:themeColor="text1"/>
                      <w:u w:val="single"/>
                      <w14:textFill>
                        <w14:solidFill>
                          <w14:schemeClr w14:val="tx1"/>
                        </w14:solidFill>
                      </w14:textFill>
                    </w:rPr>
                    <w:t>的一般固废储存</w:t>
                  </w:r>
                  <w:r>
                    <w:rPr>
                      <w:rFonts w:hint="default" w:ascii="Times New Roman" w:hAnsi="Times New Roman" w:eastAsia="宋体" w:cs="Times New Roman"/>
                      <w:color w:val="000000" w:themeColor="text1"/>
                      <w:u w:val="single"/>
                      <w:lang w:eastAsia="zh-CN"/>
                      <w14:textFill>
                        <w14:solidFill>
                          <w14:schemeClr w14:val="tx1"/>
                        </w14:solidFill>
                      </w14:textFill>
                    </w:rPr>
                    <w:t>间</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储运工程</w:t>
                  </w:r>
                </w:p>
              </w:tc>
              <w:tc>
                <w:tcPr>
                  <w:tcW w:w="10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仓储区</w:t>
                  </w:r>
                </w:p>
              </w:tc>
              <w:tc>
                <w:tcPr>
                  <w:tcW w:w="23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在厂房东侧各设立一个占地600m</w:t>
                  </w:r>
                  <w:r>
                    <w:rPr>
                      <w:rFonts w:hint="default" w:ascii="Times New Roman" w:hAnsi="Times New Roman" w:eastAsia="宋体" w:cs="Times New Roman"/>
                      <w:color w:val="000000" w:themeColor="text1"/>
                      <w:u w:val="single"/>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u w:val="single"/>
                      <w:lang w:val="en-US" w:eastAsia="zh-CN"/>
                      <w14:textFill>
                        <w14:solidFill>
                          <w14:schemeClr w14:val="tx1"/>
                        </w14:solidFill>
                      </w14:textFill>
                    </w:rPr>
                    <w:t>仓储区，用来仓储原料、成品储存。</w:t>
                  </w:r>
                </w:p>
              </w:tc>
              <w:tc>
                <w:tcPr>
                  <w:tcW w:w="66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outlineLvl w:val="2"/>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2.2、产品方案</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u w:val="single"/>
                <w:lang w:val="en-US" w:eastAsia="zh-CN"/>
              </w:rPr>
            </w:pPr>
            <w:r>
              <w:rPr>
                <w:rFonts w:hint="default" w:ascii="Times New Roman" w:hAnsi="Times New Roman" w:cs="Times New Roman"/>
                <w:b/>
                <w:bCs/>
                <w:u w:val="single"/>
                <w:lang w:val="en-US" w:eastAsia="zh-CN"/>
              </w:rPr>
              <w:t>表2-2  项目产品方案一览表</w:t>
            </w:r>
          </w:p>
          <w:tbl>
            <w:tblPr>
              <w:tblStyle w:val="27"/>
              <w:tblW w:w="499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2172"/>
              <w:gridCol w:w="1615"/>
              <w:gridCol w:w="2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8"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产品种类</w:t>
                  </w:r>
                </w:p>
              </w:tc>
              <w:tc>
                <w:tcPr>
                  <w:tcW w:w="136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名称</w:t>
                  </w:r>
                </w:p>
              </w:tc>
              <w:tc>
                <w:tcPr>
                  <w:tcW w:w="101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产量t/a</w:t>
                  </w:r>
                </w:p>
              </w:tc>
              <w:tc>
                <w:tcPr>
                  <w:tcW w:w="1688"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8"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产品</w:t>
                  </w:r>
                </w:p>
              </w:tc>
              <w:tc>
                <w:tcPr>
                  <w:tcW w:w="136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多元素氮肥（硼加锌）</w:t>
                  </w:r>
                </w:p>
              </w:tc>
              <w:tc>
                <w:tcPr>
                  <w:tcW w:w="101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10000</w:t>
                  </w:r>
                </w:p>
              </w:tc>
              <w:tc>
                <w:tcPr>
                  <w:tcW w:w="1688" w:type="pct"/>
                  <w:vMerge w:val="restar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eastAsia="宋体" w:cs="Times New Roman"/>
                      <w:u w:val="single"/>
                    </w:rPr>
                    <w:t>《复混肥料(复合肥料)GB15063-2009》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8" w:type="pct"/>
                  <w:tcBorders>
                    <w:tl2br w:val="nil"/>
                    <w:tr2bl w:val="nil"/>
                  </w:tcBorders>
                  <w:vAlign w:val="center"/>
                </w:tcPr>
                <w:p>
                  <w:pPr>
                    <w:jc w:val="center"/>
                    <w:rPr>
                      <w:rFonts w:hint="eastAsia" w:cs="Times New Roman"/>
                      <w:u w:val="single"/>
                      <w:lang w:val="en-US" w:eastAsia="zh-CN"/>
                    </w:rPr>
                  </w:pPr>
                  <w:r>
                    <w:rPr>
                      <w:rFonts w:hint="eastAsia" w:cs="Times New Roman"/>
                      <w:u w:val="single"/>
                      <w:lang w:val="en-US" w:eastAsia="zh-CN"/>
                    </w:rPr>
                    <w:t>副产品</w:t>
                  </w:r>
                </w:p>
              </w:tc>
              <w:tc>
                <w:tcPr>
                  <w:tcW w:w="1366"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氯化铵溶液</w:t>
                  </w:r>
                </w:p>
              </w:tc>
              <w:tc>
                <w:tcPr>
                  <w:tcW w:w="1016"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8</w:t>
                  </w:r>
                </w:p>
              </w:tc>
              <w:tc>
                <w:tcPr>
                  <w:tcW w:w="1688" w:type="pct"/>
                  <w:vMerge w:val="continue"/>
                  <w:tcBorders>
                    <w:tl2br w:val="nil"/>
                    <w:tr2bl w:val="nil"/>
                  </w:tcBorders>
                  <w:vAlign w:val="center"/>
                </w:tcPr>
                <w:p>
                  <w:pPr>
                    <w:jc w:val="center"/>
                    <w:rPr>
                      <w:rFonts w:hint="default" w:ascii="Times New Roman" w:hAnsi="Times New Roman" w:eastAsia="宋体" w:cs="Times New Roman"/>
                      <w:u w:val="single"/>
                    </w:rPr>
                  </w:pPr>
                </w:p>
              </w:tc>
            </w:tr>
          </w:tbl>
          <w:p>
            <w:pPr>
              <w:pStyle w:val="51"/>
              <w:keepNext w:val="0"/>
              <w:keepLines w:val="0"/>
              <w:pageBreakBefore w:val="0"/>
              <w:widowControl w:val="0"/>
              <w:numPr>
                <w:ilvl w:val="0"/>
                <w:numId w:val="0"/>
              </w:numPr>
              <w:tabs>
                <w:tab w:val="left" w:pos="889"/>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2"/>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2.3、主要生产单元</w:t>
            </w:r>
          </w:p>
          <w:p>
            <w:pPr>
              <w:pStyle w:val="51"/>
              <w:keepNext w:val="0"/>
              <w:keepLines w:val="0"/>
              <w:pageBreakBefore w:val="0"/>
              <w:widowControl w:val="0"/>
              <w:numPr>
                <w:ilvl w:val="0"/>
                <w:numId w:val="0"/>
              </w:numPr>
              <w:tabs>
                <w:tab w:val="left" w:pos="889"/>
              </w:tabs>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outlineLvl w:val="2"/>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表2-3  项目主要生产单元</w:t>
            </w:r>
          </w:p>
          <w:tbl>
            <w:tblPr>
              <w:tblStyle w:val="2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86"/>
              <w:gridCol w:w="1686"/>
              <w:gridCol w:w="1589"/>
              <w:gridCol w:w="21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9" w:type="pct"/>
                  <w:tcBorders>
                    <w:tl2br w:val="nil"/>
                    <w:tr2bl w:val="nil"/>
                  </w:tcBorders>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序号</w:t>
                  </w:r>
                </w:p>
              </w:tc>
              <w:tc>
                <w:tcPr>
                  <w:tcW w:w="1059" w:type="pct"/>
                  <w:tcBorders>
                    <w:tl2br w:val="nil"/>
                    <w:tr2bl w:val="nil"/>
                  </w:tcBorders>
                  <w:vAlign w:val="center"/>
                </w:tcPr>
                <w:p>
                  <w:pPr>
                    <w:jc w:val="center"/>
                    <w:rPr>
                      <w:rFonts w:hint="default" w:ascii="Times New Roman" w:hAnsi="Times New Roman" w:cs="Times New Roman"/>
                      <w:lang w:val="en-US" w:eastAsia="zh-CN"/>
                    </w:rPr>
                  </w:pPr>
                  <w:r>
                    <w:rPr>
                      <w:rFonts w:hint="eastAsia" w:cs="Times New Roman"/>
                      <w:lang w:val="en-US" w:eastAsia="zh-CN"/>
                    </w:rPr>
                    <w:t>生产单元</w:t>
                  </w:r>
                </w:p>
              </w:tc>
              <w:tc>
                <w:tcPr>
                  <w:tcW w:w="1059" w:type="pct"/>
                  <w:tcBorders>
                    <w:tl2br w:val="nil"/>
                    <w:tr2bl w:val="nil"/>
                  </w:tcBorders>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主要</w:t>
                  </w:r>
                  <w:r>
                    <w:rPr>
                      <w:rFonts w:hint="eastAsia" w:cs="Times New Roman"/>
                      <w:lang w:val="en-US" w:eastAsia="zh-CN"/>
                    </w:rPr>
                    <w:t>工序</w:t>
                  </w:r>
                </w:p>
              </w:tc>
              <w:tc>
                <w:tcPr>
                  <w:tcW w:w="998" w:type="pct"/>
                  <w:tcBorders>
                    <w:tl2br w:val="nil"/>
                    <w:tr2bl w:val="nil"/>
                  </w:tcBorders>
                  <w:vAlign w:val="center"/>
                </w:tcPr>
                <w:p>
                  <w:pPr>
                    <w:jc w:val="center"/>
                    <w:rPr>
                      <w:rFonts w:hint="default" w:ascii="Times New Roman" w:hAnsi="Times New Roman" w:cs="Times New Roman"/>
                      <w:lang w:val="en-US" w:eastAsia="zh-CN"/>
                    </w:rPr>
                  </w:pPr>
                  <w:r>
                    <w:rPr>
                      <w:rFonts w:hint="eastAsia" w:cs="Times New Roman"/>
                      <w:lang w:val="en-US" w:eastAsia="zh-CN"/>
                    </w:rPr>
                    <w:t>生产设施</w:t>
                  </w:r>
                </w:p>
              </w:tc>
              <w:tc>
                <w:tcPr>
                  <w:tcW w:w="1372" w:type="pct"/>
                  <w:tcBorders>
                    <w:tl2br w:val="nil"/>
                    <w:tr2bl w:val="nil"/>
                  </w:tcBorders>
                  <w:vAlign w:val="center"/>
                </w:tcPr>
                <w:p>
                  <w:pPr>
                    <w:jc w:val="center"/>
                    <w:rPr>
                      <w:rFonts w:hint="eastAsia" w:cs="Times New Roman"/>
                      <w:lang w:val="en-US" w:eastAsia="zh-CN"/>
                    </w:rPr>
                  </w:pPr>
                  <w:r>
                    <w:rPr>
                      <w:rFonts w:hint="eastAsia" w:cs="Times New Roman"/>
                      <w:lang w:val="en-US" w:eastAsia="zh-CN"/>
                    </w:rPr>
                    <w:t>设施参数及单位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0" w:hRule="atLeast"/>
              </w:trPr>
              <w:tc>
                <w:tcPr>
                  <w:tcW w:w="509" w:type="pct"/>
                  <w:vMerge w:val="restart"/>
                  <w:tcBorders>
                    <w:tl2br w:val="nil"/>
                    <w:tr2bl w:val="nil"/>
                  </w:tcBorders>
                  <w:vAlign w:val="center"/>
                </w:tcPr>
                <w:p>
                  <w:pPr>
                    <w:jc w:val="center"/>
                    <w:rPr>
                      <w:rFonts w:hint="default" w:ascii="Times New Roman" w:hAnsi="Times New Roman" w:cs="Times New Roman"/>
                      <w:lang w:val="en-US" w:eastAsia="zh-CN"/>
                    </w:rPr>
                  </w:pPr>
                  <w:r>
                    <w:rPr>
                      <w:rFonts w:hint="eastAsia" w:cs="Times New Roman"/>
                      <w:lang w:val="en-US" w:eastAsia="zh-CN"/>
                    </w:rPr>
                    <w:t>1</w:t>
                  </w:r>
                </w:p>
              </w:tc>
              <w:tc>
                <w:tcPr>
                  <w:tcW w:w="1059" w:type="pct"/>
                  <w:vMerge w:val="restart"/>
                  <w:tcBorders>
                    <w:tl2br w:val="nil"/>
                    <w:tr2bl w:val="nil"/>
                  </w:tcBorders>
                  <w:vAlign w:val="center"/>
                </w:tcPr>
                <w:p>
                  <w:pPr>
                    <w:jc w:val="center"/>
                    <w:rPr>
                      <w:rFonts w:hint="eastAsia" w:cs="Times New Roman"/>
                      <w:lang w:val="en-US" w:eastAsia="zh-CN"/>
                    </w:rPr>
                  </w:pPr>
                  <w:r>
                    <w:rPr>
                      <w:rFonts w:hint="eastAsia" w:cs="Times New Roman"/>
                      <w:lang w:val="en-US" w:eastAsia="zh-CN"/>
                    </w:rPr>
                    <w:t>掺混型复混肥料生产线</w:t>
                  </w:r>
                </w:p>
              </w:tc>
              <w:tc>
                <w:tcPr>
                  <w:tcW w:w="1059" w:type="pct"/>
                  <w:tcBorders>
                    <w:tl2br w:val="nil"/>
                    <w:tr2bl w:val="nil"/>
                  </w:tcBorders>
                  <w:vAlign w:val="center"/>
                </w:tcPr>
                <w:p>
                  <w:pPr>
                    <w:jc w:val="center"/>
                    <w:rPr>
                      <w:rFonts w:hint="default" w:ascii="Times New Roman" w:hAnsi="Times New Roman" w:cs="Times New Roman"/>
                      <w:lang w:val="en-US" w:eastAsia="zh-CN"/>
                    </w:rPr>
                  </w:pPr>
                  <w:r>
                    <w:rPr>
                      <w:rFonts w:hint="eastAsia" w:cs="Times New Roman"/>
                      <w:lang w:val="en-US" w:eastAsia="zh-CN"/>
                    </w:rPr>
                    <w:t>掺混</w:t>
                  </w:r>
                </w:p>
              </w:tc>
              <w:tc>
                <w:tcPr>
                  <w:tcW w:w="1580"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eastAsia="zh-CN"/>
                      <w14:textFill>
                        <w14:solidFill>
                          <w14:schemeClr w14:val="tx1"/>
                        </w14:solidFill>
                      </w14:textFill>
                    </w:rPr>
                    <w:t>圆盘搅拌机</w:t>
                  </w:r>
                </w:p>
              </w:tc>
              <w:tc>
                <w:tcPr>
                  <w:tcW w:w="2172"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1600型（t/h）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pct"/>
                  <w:vMerge w:val="continue"/>
                  <w:tcBorders>
                    <w:tl2br w:val="nil"/>
                    <w:tr2bl w:val="nil"/>
                  </w:tcBorders>
                  <w:vAlign w:val="center"/>
                </w:tcPr>
                <w:p>
                  <w:pPr>
                    <w:jc w:val="center"/>
                    <w:rPr>
                      <w:rFonts w:hint="eastAsia" w:cs="Times New Roman"/>
                      <w:lang w:val="en-US" w:eastAsia="zh-CN"/>
                    </w:rPr>
                  </w:pPr>
                </w:p>
              </w:tc>
              <w:tc>
                <w:tcPr>
                  <w:tcW w:w="1059" w:type="pct"/>
                  <w:vMerge w:val="continue"/>
                  <w:tcBorders>
                    <w:tl2br w:val="nil"/>
                    <w:tr2bl w:val="nil"/>
                  </w:tcBorders>
                  <w:vAlign w:val="center"/>
                </w:tcPr>
                <w:p>
                  <w:pPr>
                    <w:jc w:val="center"/>
                    <w:rPr>
                      <w:rFonts w:hint="eastAsia" w:cs="Times New Roman"/>
                      <w:lang w:val="en-US" w:eastAsia="zh-CN"/>
                    </w:rPr>
                  </w:pPr>
                </w:p>
              </w:tc>
              <w:tc>
                <w:tcPr>
                  <w:tcW w:w="1059" w:type="pct"/>
                  <w:tcBorders>
                    <w:tl2br w:val="nil"/>
                    <w:tr2bl w:val="nil"/>
                  </w:tcBorders>
                  <w:vAlign w:val="center"/>
                </w:tcPr>
                <w:p>
                  <w:pPr>
                    <w:jc w:val="center"/>
                    <w:rPr>
                      <w:rFonts w:hint="default" w:ascii="Times New Roman" w:hAnsi="Times New Roman" w:cs="Times New Roman"/>
                      <w:lang w:val="en-US" w:eastAsia="zh-CN"/>
                    </w:rPr>
                  </w:pPr>
                  <w:r>
                    <w:rPr>
                      <w:rFonts w:hint="eastAsia" w:cs="Times New Roman"/>
                      <w:lang w:val="en-US" w:eastAsia="zh-CN"/>
                    </w:rPr>
                    <w:t>造粒</w:t>
                  </w:r>
                </w:p>
              </w:tc>
              <w:tc>
                <w:tcPr>
                  <w:tcW w:w="1580"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造粒机</w:t>
                  </w:r>
                </w:p>
              </w:tc>
              <w:tc>
                <w:tcPr>
                  <w:tcW w:w="2172"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1.25（t/h）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pct"/>
                  <w:vMerge w:val="continue"/>
                  <w:tcBorders>
                    <w:tl2br w:val="nil"/>
                    <w:tr2bl w:val="nil"/>
                  </w:tcBorders>
                  <w:vAlign w:val="center"/>
                </w:tcPr>
                <w:p>
                  <w:pPr>
                    <w:jc w:val="center"/>
                    <w:rPr>
                      <w:rFonts w:hint="eastAsia" w:cs="Times New Roman"/>
                      <w:lang w:val="en-US" w:eastAsia="zh-CN"/>
                    </w:rPr>
                  </w:pPr>
                </w:p>
              </w:tc>
              <w:tc>
                <w:tcPr>
                  <w:tcW w:w="1059" w:type="pct"/>
                  <w:vMerge w:val="continue"/>
                  <w:tcBorders>
                    <w:tl2br w:val="nil"/>
                    <w:tr2bl w:val="nil"/>
                  </w:tcBorders>
                  <w:vAlign w:val="center"/>
                </w:tcPr>
                <w:p>
                  <w:pPr>
                    <w:jc w:val="center"/>
                    <w:rPr>
                      <w:rFonts w:hint="default" w:ascii="Times New Roman" w:hAnsi="Times New Roman" w:cs="Times New Roman"/>
                      <w:lang w:val="en-US" w:eastAsia="zh-CN"/>
                    </w:rPr>
                  </w:pPr>
                </w:p>
              </w:tc>
              <w:tc>
                <w:tcPr>
                  <w:tcW w:w="1059" w:type="pct"/>
                  <w:tcBorders>
                    <w:tl2br w:val="nil"/>
                    <w:tr2bl w:val="nil"/>
                  </w:tcBorders>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筛分</w:t>
                  </w:r>
                </w:p>
              </w:tc>
              <w:tc>
                <w:tcPr>
                  <w:tcW w:w="1580"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筛分机</w:t>
                  </w:r>
                </w:p>
              </w:tc>
              <w:tc>
                <w:tcPr>
                  <w:tcW w:w="2172"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1.5m*6m筛分机（m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pct"/>
                  <w:vMerge w:val="continue"/>
                  <w:tcBorders>
                    <w:tl2br w:val="nil"/>
                    <w:tr2bl w:val="nil"/>
                  </w:tcBorders>
                  <w:vAlign w:val="center"/>
                </w:tcPr>
                <w:p>
                  <w:pPr>
                    <w:jc w:val="center"/>
                    <w:rPr>
                      <w:rFonts w:hint="eastAsia" w:cs="Times New Roman"/>
                      <w:lang w:val="en-US" w:eastAsia="zh-CN"/>
                    </w:rPr>
                  </w:pPr>
                </w:p>
              </w:tc>
              <w:tc>
                <w:tcPr>
                  <w:tcW w:w="1059" w:type="pct"/>
                  <w:vMerge w:val="continue"/>
                  <w:tcBorders>
                    <w:tl2br w:val="nil"/>
                    <w:tr2bl w:val="nil"/>
                  </w:tcBorders>
                  <w:vAlign w:val="center"/>
                </w:tcPr>
                <w:p>
                  <w:pPr>
                    <w:jc w:val="center"/>
                    <w:rPr>
                      <w:rFonts w:hint="default" w:ascii="Times New Roman" w:hAnsi="Times New Roman" w:cs="Times New Roman"/>
                      <w:lang w:val="en-US" w:eastAsia="zh-CN"/>
                    </w:rPr>
                  </w:pPr>
                </w:p>
              </w:tc>
              <w:tc>
                <w:tcPr>
                  <w:tcW w:w="1059" w:type="pct"/>
                  <w:tcBorders>
                    <w:tl2br w:val="nil"/>
                    <w:tr2bl w:val="nil"/>
                  </w:tcBorders>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包装</w:t>
                  </w:r>
                </w:p>
              </w:tc>
              <w:tc>
                <w:tcPr>
                  <w:tcW w:w="1580"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包装机</w:t>
                  </w:r>
                </w:p>
              </w:tc>
              <w:tc>
                <w:tcPr>
                  <w:tcW w:w="2172" w:type="dxa"/>
                  <w:tcBorders>
                    <w:tl2br w:val="nil"/>
                    <w:tr2bl w:val="nil"/>
                  </w:tcBorders>
                  <w:vAlign w:val="center"/>
                </w:tcPr>
                <w:p>
                  <w:pPr>
                    <w:jc w:val="center"/>
                    <w:rPr>
                      <w:rFonts w:hint="eastAsia"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自动包装机（t/h）</w:t>
                  </w:r>
                </w:p>
              </w:tc>
            </w:tr>
          </w:tbl>
          <w:p>
            <w:pPr>
              <w:pStyle w:val="51"/>
              <w:keepNext w:val="0"/>
              <w:keepLines w:val="0"/>
              <w:pageBreakBefore w:val="0"/>
              <w:widowControl w:val="0"/>
              <w:numPr>
                <w:ilvl w:val="0"/>
                <w:numId w:val="0"/>
              </w:numPr>
              <w:tabs>
                <w:tab w:val="left" w:pos="889"/>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2"/>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2.4、主要工艺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24"/>
              </w:rPr>
              <w:t>各原料</w:t>
            </w:r>
            <w:r>
              <w:rPr>
                <w:rFonts w:hint="eastAsia" w:cs="Times New Roman"/>
                <w:sz w:val="24"/>
                <w:szCs w:val="24"/>
                <w:lang w:eastAsia="zh-CN"/>
              </w:rPr>
              <w:t>通过人工投料进入传送带，再由传送带输送到自动配料机中，</w:t>
            </w:r>
            <w:r>
              <w:rPr>
                <w:rFonts w:hint="default" w:ascii="Times New Roman" w:hAnsi="Times New Roman" w:cs="Times New Roman"/>
                <w:sz w:val="24"/>
                <w:szCs w:val="24"/>
              </w:rPr>
              <w:t>按养分配比进行混合配料，通过搅拌机的搅拌作用，对多种粉状肥料进行混合，促使肥料养分均匀</w:t>
            </w:r>
            <w:r>
              <w:rPr>
                <w:rFonts w:hint="eastAsia" w:cs="Times New Roman"/>
                <w:sz w:val="24"/>
                <w:szCs w:val="24"/>
                <w:lang w:eastAsia="zh-CN"/>
              </w:rPr>
              <w:t>，</w:t>
            </w:r>
            <w:r>
              <w:rPr>
                <w:rFonts w:hint="eastAsia"/>
                <w:sz w:val="24"/>
                <w:szCs w:val="24"/>
                <w:lang w:val="en-US" w:eastAsia="zh-CN"/>
              </w:rPr>
              <w:t>混合好的物料再通过传送带运送到造粒机。</w:t>
            </w:r>
            <w:r>
              <w:rPr>
                <w:rFonts w:hint="default" w:ascii="Times New Roman" w:hAnsi="Times New Roman" w:cs="Times New Roman"/>
                <w:sz w:val="24"/>
                <w:szCs w:val="32"/>
              </w:rPr>
              <w:t>本项目造粒工序采用挤压造粒的方法，常温下直接将干粉物料压成颗粒。项目造粒工序为单纯的物理挤压，无任何化学反应。</w:t>
            </w:r>
          </w:p>
          <w:p>
            <w:pPr>
              <w:pStyle w:val="51"/>
              <w:keepNext w:val="0"/>
              <w:keepLines w:val="0"/>
              <w:pageBreakBefore w:val="0"/>
              <w:widowControl w:val="0"/>
              <w:numPr>
                <w:ilvl w:val="0"/>
                <w:numId w:val="0"/>
              </w:numPr>
              <w:tabs>
                <w:tab w:val="left" w:pos="889"/>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2"/>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val="en-US" w:eastAsia="zh-CN"/>
              </w:rPr>
              <w:t>2.5</w:t>
            </w:r>
            <w:r>
              <w:rPr>
                <w:rFonts w:hint="default" w:ascii="Times New Roman" w:hAnsi="Times New Roman" w:cs="Times New Roman"/>
                <w:b/>
                <w:bCs/>
                <w:sz w:val="24"/>
                <w:szCs w:val="32"/>
              </w:rPr>
              <w:t>、主要生产</w:t>
            </w:r>
            <w:r>
              <w:rPr>
                <w:rFonts w:hint="default" w:ascii="Times New Roman" w:hAnsi="Times New Roman" w:cs="Times New Roman"/>
                <w:b/>
                <w:bCs/>
                <w:sz w:val="24"/>
                <w:szCs w:val="32"/>
                <w:lang w:eastAsia="zh-CN"/>
              </w:rPr>
              <w:t>设施</w:t>
            </w:r>
          </w:p>
          <w:p>
            <w:pPr>
              <w:widowControl/>
              <w:ind w:firstLine="422" w:firstLineChars="200"/>
              <w:jc w:val="center"/>
              <w:rPr>
                <w:rFonts w:hint="default" w:ascii="Times New Roman" w:hAnsi="Times New Roman" w:cs="Times New Roman"/>
                <w:lang w:val="zh-CN"/>
              </w:rPr>
            </w:pPr>
            <w:r>
              <w:rPr>
                <w:rFonts w:hint="default" w:ascii="Times New Roman" w:hAnsi="Times New Roman" w:cs="Times New Roman"/>
                <w:b/>
                <w:bCs/>
                <w:lang w:val="en-US" w:eastAsia="zh-CN"/>
              </w:rPr>
              <w:t xml:space="preserve">表2-4  </w:t>
            </w:r>
            <w:r>
              <w:rPr>
                <w:rFonts w:hint="default" w:ascii="Times New Roman" w:hAnsi="Times New Roman" w:cs="Times New Roman"/>
                <w:b/>
                <w:bCs/>
              </w:rPr>
              <w:t>主要设备</w:t>
            </w:r>
            <w:r>
              <w:rPr>
                <w:rFonts w:hint="default" w:ascii="Times New Roman" w:hAnsi="Times New Roman" w:cs="Times New Roman"/>
                <w:b/>
                <w:bCs/>
                <w:lang w:eastAsia="zh-CN"/>
              </w:rPr>
              <w:t>一览表</w:t>
            </w:r>
          </w:p>
          <w:tbl>
            <w:tblPr>
              <w:tblStyle w:val="2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20"/>
              <w:gridCol w:w="3573"/>
              <w:gridCol w:w="2247"/>
              <w:gridCol w:w="12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915" w:type="dxa"/>
                  <w:tcBorders>
                    <w:tl2br w:val="nil"/>
                    <w:tr2bl w:val="nil"/>
                  </w:tcBorders>
                  <w:noWrap w:val="0"/>
                  <w:vAlign w:val="center"/>
                </w:tcPr>
                <w:p>
                  <w:pPr>
                    <w:spacing w:line="240" w:lineRule="auto"/>
                    <w:jc w:val="center"/>
                    <w:rPr>
                      <w:rFonts w:hint="default" w:ascii="Times New Roman" w:hAnsi="Times New Roman" w:cs="Times New Roman"/>
                      <w:u w:val="single"/>
                    </w:rPr>
                  </w:pPr>
                  <w:r>
                    <w:rPr>
                      <w:rFonts w:hint="default" w:ascii="Times New Roman" w:hAnsi="Times New Roman" w:eastAsia="宋体" w:cs="Times New Roman"/>
                      <w:color w:val="000000" w:themeColor="text1"/>
                      <w:u w:val="single"/>
                      <w14:textFill>
                        <w14:solidFill>
                          <w14:schemeClr w14:val="tx1"/>
                        </w14:solidFill>
                      </w14:textFill>
                    </w:rPr>
                    <w:t>序号</w:t>
                  </w:r>
                </w:p>
              </w:tc>
              <w:tc>
                <w:tcPr>
                  <w:tcW w:w="3554" w:type="dxa"/>
                  <w:tcBorders>
                    <w:tl2br w:val="nil"/>
                    <w:tr2bl w:val="nil"/>
                  </w:tcBorders>
                  <w:noWrap w:val="0"/>
                  <w:vAlign w:val="center"/>
                </w:tcPr>
                <w:p>
                  <w:pPr>
                    <w:spacing w:line="240" w:lineRule="auto"/>
                    <w:jc w:val="center"/>
                    <w:rPr>
                      <w:rFonts w:hint="default" w:ascii="Times New Roman" w:hAnsi="Times New Roman" w:cs="Times New Roman"/>
                      <w:u w:val="single"/>
                    </w:rPr>
                  </w:pPr>
                  <w:r>
                    <w:rPr>
                      <w:rFonts w:hint="default" w:ascii="Times New Roman" w:hAnsi="Times New Roman" w:eastAsia="宋体" w:cs="Times New Roman"/>
                      <w:color w:val="000000" w:themeColor="text1"/>
                      <w:u w:val="single"/>
                      <w14:textFill>
                        <w14:solidFill>
                          <w14:schemeClr w14:val="tx1"/>
                        </w14:solidFill>
                      </w14:textFill>
                    </w:rPr>
                    <w:t>设备名称</w:t>
                  </w:r>
                </w:p>
              </w:tc>
              <w:tc>
                <w:tcPr>
                  <w:tcW w:w="2235"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eastAsia="zh-CN"/>
                      <w14:textFill>
                        <w14:solidFill>
                          <w14:schemeClr w14:val="tx1"/>
                        </w14:solidFill>
                      </w14:textFill>
                    </w:rPr>
                    <w:t>型号</w:t>
                  </w:r>
                </w:p>
              </w:tc>
              <w:tc>
                <w:tcPr>
                  <w:tcW w:w="1208" w:type="dxa"/>
                  <w:tcBorders>
                    <w:tl2br w:val="nil"/>
                    <w:tr2bl w:val="nil"/>
                  </w:tcBorders>
                  <w:noWrap w:val="0"/>
                  <w:vAlign w:val="center"/>
                </w:tcPr>
                <w:p>
                  <w:pPr>
                    <w:spacing w:line="240" w:lineRule="auto"/>
                    <w:jc w:val="center"/>
                    <w:rPr>
                      <w:rFonts w:hint="default" w:ascii="Times New Roman" w:hAnsi="Times New Roman" w:cs="Times New Roman"/>
                      <w:u w:val="single"/>
                    </w:rPr>
                  </w:pPr>
                  <w:r>
                    <w:rPr>
                      <w:rFonts w:hint="default" w:ascii="Times New Roman" w:hAnsi="Times New Roman" w:eastAsia="宋体" w:cs="Times New Roman"/>
                      <w:color w:val="000000" w:themeColor="text1"/>
                      <w:u w:val="single"/>
                      <w14:textFill>
                        <w14:solidFill>
                          <w14:schemeClr w14:val="tx1"/>
                        </w14:solidFill>
                      </w14:textFill>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5" w:type="dxa"/>
                  <w:tcBorders>
                    <w:tl2br w:val="nil"/>
                    <w:tr2bl w:val="nil"/>
                  </w:tcBorders>
                  <w:noWrap w:val="0"/>
                  <w:vAlign w:val="center"/>
                </w:tcPr>
                <w:p>
                  <w:pPr>
                    <w:spacing w:line="240" w:lineRule="auto"/>
                    <w:jc w:val="center"/>
                    <w:rPr>
                      <w:rFonts w:hint="default" w:ascii="Times New Roman" w:hAnsi="Times New Roman" w:cs="Times New Roman"/>
                      <w:u w:val="single"/>
                    </w:rPr>
                  </w:pPr>
                  <w:r>
                    <w:rPr>
                      <w:rFonts w:hint="default" w:ascii="Times New Roman" w:hAnsi="Times New Roman" w:eastAsia="宋体" w:cs="Times New Roman"/>
                      <w:color w:val="000000" w:themeColor="text1"/>
                      <w:u w:val="single"/>
                      <w14:textFill>
                        <w14:solidFill>
                          <w14:schemeClr w14:val="tx1"/>
                        </w14:solidFill>
                      </w14:textFill>
                    </w:rPr>
                    <w:t>1</w:t>
                  </w:r>
                </w:p>
              </w:tc>
              <w:tc>
                <w:tcPr>
                  <w:tcW w:w="3554"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eastAsia="zh-CN"/>
                      <w14:textFill>
                        <w14:solidFill>
                          <w14:schemeClr w14:val="tx1"/>
                        </w14:solidFill>
                      </w14:textFill>
                    </w:rPr>
                    <w:t>链式粉碎机</w:t>
                  </w:r>
                </w:p>
              </w:tc>
              <w:tc>
                <w:tcPr>
                  <w:tcW w:w="2235"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1000型</w:t>
                  </w:r>
                </w:p>
              </w:tc>
              <w:tc>
                <w:tcPr>
                  <w:tcW w:w="1208"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915" w:type="dxa"/>
                  <w:tcBorders>
                    <w:tl2br w:val="nil"/>
                    <w:tr2bl w:val="nil"/>
                  </w:tcBorders>
                  <w:noWrap w:val="0"/>
                  <w:vAlign w:val="center"/>
                </w:tcPr>
                <w:p>
                  <w:pPr>
                    <w:spacing w:line="240" w:lineRule="auto"/>
                    <w:jc w:val="center"/>
                    <w:rPr>
                      <w:rFonts w:hint="default" w:ascii="Times New Roman" w:hAnsi="Times New Roman" w:cs="Times New Roman"/>
                      <w:u w:val="single"/>
                    </w:rPr>
                  </w:pPr>
                  <w:r>
                    <w:rPr>
                      <w:rFonts w:hint="default" w:ascii="Times New Roman" w:hAnsi="Times New Roman" w:eastAsia="宋体" w:cs="Times New Roman"/>
                      <w:color w:val="000000" w:themeColor="text1"/>
                      <w:u w:val="single"/>
                      <w14:textFill>
                        <w14:solidFill>
                          <w14:schemeClr w14:val="tx1"/>
                        </w14:solidFill>
                      </w14:textFill>
                    </w:rPr>
                    <w:t>2</w:t>
                  </w:r>
                </w:p>
              </w:tc>
              <w:tc>
                <w:tcPr>
                  <w:tcW w:w="3554"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eastAsia="zh-CN"/>
                      <w14:textFill>
                        <w14:solidFill>
                          <w14:schemeClr w14:val="tx1"/>
                        </w14:solidFill>
                      </w14:textFill>
                    </w:rPr>
                    <w:t>圆盘搅拌机</w:t>
                  </w:r>
                </w:p>
              </w:tc>
              <w:tc>
                <w:tcPr>
                  <w:tcW w:w="2235"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1600型</w:t>
                  </w:r>
                </w:p>
              </w:tc>
              <w:tc>
                <w:tcPr>
                  <w:tcW w:w="1208"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915" w:type="dxa"/>
                  <w:tcBorders>
                    <w:tl2br w:val="nil"/>
                    <w:tr2bl w:val="nil"/>
                  </w:tcBorders>
                  <w:noWrap w:val="0"/>
                  <w:vAlign w:val="center"/>
                </w:tcPr>
                <w:p>
                  <w:pPr>
                    <w:spacing w:line="240" w:lineRule="auto"/>
                    <w:jc w:val="center"/>
                    <w:rPr>
                      <w:rFonts w:hint="default" w:ascii="Times New Roman" w:hAnsi="Times New Roman" w:cs="Times New Roman"/>
                      <w:u w:val="single"/>
                    </w:rPr>
                  </w:pPr>
                  <w:r>
                    <w:rPr>
                      <w:rFonts w:hint="default" w:ascii="Times New Roman" w:hAnsi="Times New Roman" w:eastAsia="宋体" w:cs="Times New Roman"/>
                      <w:color w:val="000000" w:themeColor="text1"/>
                      <w:u w:val="single"/>
                      <w14:textFill>
                        <w14:solidFill>
                          <w14:schemeClr w14:val="tx1"/>
                        </w14:solidFill>
                      </w14:textFill>
                    </w:rPr>
                    <w:t>3</w:t>
                  </w:r>
                </w:p>
              </w:tc>
              <w:tc>
                <w:tcPr>
                  <w:tcW w:w="3554"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eastAsia="zh-CN"/>
                      <w14:textFill>
                        <w14:solidFill>
                          <w14:schemeClr w14:val="tx1"/>
                        </w14:solidFill>
                      </w14:textFill>
                    </w:rPr>
                    <w:t>圆盘喂料机</w:t>
                  </w:r>
                </w:p>
              </w:tc>
              <w:tc>
                <w:tcPr>
                  <w:tcW w:w="2235"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2000型</w:t>
                  </w:r>
                </w:p>
              </w:tc>
              <w:tc>
                <w:tcPr>
                  <w:tcW w:w="1208"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915"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4</w:t>
                  </w:r>
                </w:p>
              </w:tc>
              <w:tc>
                <w:tcPr>
                  <w:tcW w:w="3554"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eastAsia="zh-CN"/>
                      <w14:textFill>
                        <w14:solidFill>
                          <w14:schemeClr w14:val="tx1"/>
                        </w14:solidFill>
                      </w14:textFill>
                    </w:rPr>
                    <w:t>挤压造粒机</w:t>
                  </w:r>
                </w:p>
              </w:tc>
              <w:tc>
                <w:tcPr>
                  <w:tcW w:w="2235"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p>
              </w:tc>
              <w:tc>
                <w:tcPr>
                  <w:tcW w:w="1208"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5" w:hRule="atLeast"/>
              </w:trPr>
              <w:tc>
                <w:tcPr>
                  <w:tcW w:w="915"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5</w:t>
                  </w:r>
                </w:p>
              </w:tc>
              <w:tc>
                <w:tcPr>
                  <w:tcW w:w="3554"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筛分机</w:t>
                  </w:r>
                </w:p>
              </w:tc>
              <w:tc>
                <w:tcPr>
                  <w:tcW w:w="2235"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1.5*6m</w:t>
                  </w:r>
                </w:p>
              </w:tc>
              <w:tc>
                <w:tcPr>
                  <w:tcW w:w="1208"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15"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val="en-US" w:eastAsia="zh-CN"/>
                      <w14:textFill>
                        <w14:solidFill>
                          <w14:schemeClr w14:val="tx1"/>
                        </w14:solidFill>
                      </w14:textFill>
                    </w:rPr>
                    <w:t>6</w:t>
                  </w:r>
                </w:p>
              </w:tc>
              <w:tc>
                <w:tcPr>
                  <w:tcW w:w="3554" w:type="dxa"/>
                  <w:tcBorders>
                    <w:tl2br w:val="nil"/>
                    <w:tr2bl w:val="nil"/>
                  </w:tcBorders>
                  <w:noWrap w:val="0"/>
                  <w:vAlign w:val="center"/>
                </w:tcPr>
                <w:p>
                  <w:pPr>
                    <w:spacing w:line="240" w:lineRule="auto"/>
                    <w:jc w:val="center"/>
                    <w:rPr>
                      <w:rFonts w:hint="default" w:ascii="Times New Roman" w:hAnsi="Times New Roman" w:cs="Times New Roman"/>
                      <w:u w:val="single"/>
                      <w:lang w:eastAsia="zh-CN"/>
                    </w:rPr>
                  </w:pPr>
                  <w:r>
                    <w:rPr>
                      <w:rFonts w:hint="default" w:ascii="Times New Roman" w:hAnsi="Times New Roman" w:eastAsia="宋体" w:cs="Times New Roman"/>
                      <w:color w:val="000000" w:themeColor="text1"/>
                      <w:u w:val="single"/>
                      <w:lang w:eastAsia="zh-CN"/>
                      <w14:textFill>
                        <w14:solidFill>
                          <w14:schemeClr w14:val="tx1"/>
                        </w14:solidFill>
                      </w14:textFill>
                    </w:rPr>
                    <w:t>皮带机</w:t>
                  </w:r>
                </w:p>
              </w:tc>
              <w:tc>
                <w:tcPr>
                  <w:tcW w:w="2235"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p>
              </w:tc>
              <w:tc>
                <w:tcPr>
                  <w:tcW w:w="1208" w:type="dxa"/>
                  <w:tcBorders>
                    <w:tl2br w:val="nil"/>
                    <w:tr2bl w:val="nil"/>
                  </w:tcBorders>
                  <w:noWrap w:val="0"/>
                  <w:vAlign w:val="center"/>
                </w:tcPr>
                <w:p>
                  <w:pPr>
                    <w:spacing w:line="240" w:lineRule="auto"/>
                    <w:jc w:val="center"/>
                    <w:rPr>
                      <w:rFonts w:hint="default" w:ascii="Times New Roman" w:hAnsi="Times New Roman" w:cs="Times New Roman"/>
                      <w:u w:val="single"/>
                      <w:lang w:val="en-US" w:eastAsia="zh-CN"/>
                    </w:rPr>
                  </w:pPr>
                  <w:r>
                    <w:rPr>
                      <w:rFonts w:hint="default" w:ascii="Times New Roman" w:hAnsi="Times New Roman" w:eastAsia="宋体" w:cs="Times New Roman"/>
                      <w:color w:val="000000" w:themeColor="text1"/>
                      <w:u w:val="single"/>
                      <w:lang w:eastAsia="zh-CN"/>
                      <w14:textFill>
                        <w14:solidFill>
                          <w14:schemeClr w14:val="tx1"/>
                        </w14:solidFill>
                      </w14:textFill>
                    </w:rPr>
                    <w:t>若干</w:t>
                  </w:r>
                </w:p>
              </w:tc>
            </w:tr>
          </w:tbl>
          <w:p>
            <w:pPr>
              <w:spacing w:line="360" w:lineRule="auto"/>
              <w:ind w:firstLine="48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项目主要生产设备产能核算见下表：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Cs w:val="21"/>
                <w:u w:val="single"/>
              </w:rPr>
            </w:pPr>
            <w:r>
              <w:rPr>
                <w:rFonts w:hint="default" w:ascii="Times New Roman" w:hAnsi="Times New Roman" w:eastAsia="宋体" w:cs="Times New Roman"/>
                <w:b/>
                <w:color w:val="auto"/>
                <w:szCs w:val="21"/>
                <w:u w:val="single"/>
              </w:rPr>
              <w:t>表2-5  项目主要生产设备产能核算表</w:t>
            </w:r>
          </w:p>
          <w:tbl>
            <w:tblPr>
              <w:tblStyle w:val="66"/>
              <w:tblW w:w="795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01"/>
              <w:gridCol w:w="1276"/>
              <w:gridCol w:w="953"/>
              <w:gridCol w:w="872"/>
              <w:gridCol w:w="1083"/>
              <w:gridCol w:w="1111"/>
              <w:gridCol w:w="14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17" w:hRule="atLeast"/>
                <w:jc w:val="center"/>
              </w:trPr>
              <w:tc>
                <w:tcPr>
                  <w:tcW w:w="1201" w:type="dxa"/>
                  <w:vAlign w:val="center"/>
                </w:tcPr>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设备工序</w:t>
                  </w:r>
                </w:p>
              </w:tc>
              <w:tc>
                <w:tcPr>
                  <w:tcW w:w="1276" w:type="dxa"/>
                  <w:vAlign w:val="center"/>
                </w:tcPr>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lang w:eastAsia="zh-CN"/>
                    </w:rPr>
                    <w:t>单台</w:t>
                  </w:r>
                  <w:r>
                    <w:rPr>
                      <w:rFonts w:hint="default" w:ascii="Times New Roman" w:hAnsi="Times New Roman" w:eastAsia="宋体" w:cs="Times New Roman"/>
                      <w:color w:val="auto"/>
                      <w:szCs w:val="21"/>
                      <w:u w:val="single"/>
                    </w:rPr>
                    <w:t>设备设计产能（t/h）</w:t>
                  </w:r>
                </w:p>
              </w:tc>
              <w:tc>
                <w:tcPr>
                  <w:tcW w:w="953" w:type="dxa"/>
                  <w:vAlign w:val="center"/>
                </w:tcPr>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设备数量（台/套）</w:t>
                  </w:r>
                </w:p>
              </w:tc>
              <w:tc>
                <w:tcPr>
                  <w:tcW w:w="872" w:type="dxa"/>
                  <w:vAlign w:val="center"/>
                </w:tcPr>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小时产能（t/h）</w:t>
                  </w:r>
                </w:p>
              </w:tc>
              <w:tc>
                <w:tcPr>
                  <w:tcW w:w="1083" w:type="dxa"/>
                  <w:vAlign w:val="center"/>
                </w:tcPr>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年工作时间（h）</w:t>
                  </w:r>
                </w:p>
              </w:tc>
              <w:tc>
                <w:tcPr>
                  <w:tcW w:w="1111" w:type="dxa"/>
                  <w:vAlign w:val="center"/>
                </w:tcPr>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年设计产能（t/a）</w:t>
                  </w:r>
                </w:p>
              </w:tc>
              <w:tc>
                <w:tcPr>
                  <w:tcW w:w="1461" w:type="dxa"/>
                  <w:vAlign w:val="center"/>
                </w:tcPr>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项目产能</w:t>
                  </w:r>
                </w:p>
                <w:p>
                  <w:pPr>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201" w:type="dxa"/>
                  <w:vAlign w:val="center"/>
                </w:tcPr>
                <w:p>
                  <w:pPr>
                    <w:jc w:val="center"/>
                    <w:rPr>
                      <w:rFonts w:hint="default" w:ascii="Times New Roman" w:hAnsi="Times New Roman" w:eastAsia="宋体" w:cs="Times New Roman"/>
                      <w:color w:val="auto"/>
                      <w:szCs w:val="21"/>
                      <w:u w:val="single"/>
                      <w:lang w:eastAsia="zh-CN"/>
                    </w:rPr>
                  </w:pPr>
                  <w:r>
                    <w:rPr>
                      <w:rFonts w:hint="default" w:ascii="Times New Roman" w:hAnsi="Times New Roman" w:eastAsia="宋体" w:cs="Times New Roman"/>
                      <w:color w:val="auto"/>
                      <w:szCs w:val="21"/>
                      <w:u w:val="single"/>
                      <w:lang w:eastAsia="zh-CN"/>
                    </w:rPr>
                    <w:t>挤压造粒机</w:t>
                  </w:r>
                </w:p>
              </w:tc>
              <w:tc>
                <w:tcPr>
                  <w:tcW w:w="1276" w:type="dxa"/>
                  <w:vAlign w:val="center"/>
                </w:tcPr>
                <w:p>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eastAsia="宋体" w:cs="Times New Roman"/>
                      <w:color w:val="auto"/>
                      <w:szCs w:val="21"/>
                      <w:u w:val="single"/>
                      <w:lang w:val="en-US" w:eastAsia="zh-CN"/>
                    </w:rPr>
                    <w:t>1</w:t>
                  </w:r>
                  <w:r>
                    <w:rPr>
                      <w:rFonts w:hint="eastAsia" w:cs="Times New Roman"/>
                      <w:color w:val="auto"/>
                      <w:szCs w:val="21"/>
                      <w:u w:val="single"/>
                      <w:lang w:val="en-US" w:eastAsia="zh-CN"/>
                    </w:rPr>
                    <w:t>.2</w:t>
                  </w:r>
                </w:p>
              </w:tc>
              <w:tc>
                <w:tcPr>
                  <w:tcW w:w="953" w:type="dxa"/>
                  <w:vAlign w:val="center"/>
                </w:tcPr>
                <w:p>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eastAsia="宋体" w:cs="Times New Roman"/>
                      <w:color w:val="auto"/>
                      <w:szCs w:val="21"/>
                      <w:u w:val="single"/>
                      <w:lang w:val="en-US" w:eastAsia="zh-CN"/>
                    </w:rPr>
                    <w:t>4</w:t>
                  </w:r>
                </w:p>
              </w:tc>
              <w:tc>
                <w:tcPr>
                  <w:tcW w:w="872" w:type="dxa"/>
                  <w:vAlign w:val="center"/>
                </w:tcPr>
                <w:p>
                  <w:pPr>
                    <w:jc w:val="center"/>
                    <w:rPr>
                      <w:rFonts w:hint="default" w:ascii="Times New Roman" w:hAnsi="Times New Roman" w:eastAsia="宋体" w:cs="Times New Roman"/>
                      <w:color w:val="auto"/>
                      <w:szCs w:val="21"/>
                      <w:u w:val="single"/>
                      <w:lang w:val="en-US" w:eastAsia="zh-CN"/>
                    </w:rPr>
                  </w:pPr>
                  <w:r>
                    <w:rPr>
                      <w:rFonts w:hint="eastAsia" w:cs="Times New Roman"/>
                      <w:color w:val="auto"/>
                      <w:szCs w:val="21"/>
                      <w:u w:val="single"/>
                      <w:lang w:val="en-US" w:eastAsia="zh-CN"/>
                    </w:rPr>
                    <w:t>4.8</w:t>
                  </w:r>
                </w:p>
              </w:tc>
              <w:tc>
                <w:tcPr>
                  <w:tcW w:w="1083" w:type="dxa"/>
                  <w:vAlign w:val="center"/>
                </w:tcPr>
                <w:p>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eastAsia="宋体" w:cs="Times New Roman"/>
                      <w:color w:val="auto"/>
                      <w:szCs w:val="21"/>
                      <w:u w:val="single"/>
                      <w:lang w:val="en-US" w:eastAsia="zh-CN"/>
                    </w:rPr>
                    <w:t>2400</w:t>
                  </w:r>
                </w:p>
              </w:tc>
              <w:tc>
                <w:tcPr>
                  <w:tcW w:w="1111" w:type="dxa"/>
                  <w:vAlign w:val="center"/>
                </w:tcPr>
                <w:p>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eastAsia="宋体" w:cs="Times New Roman"/>
                      <w:color w:val="auto"/>
                      <w:szCs w:val="21"/>
                      <w:u w:val="single"/>
                      <w:lang w:val="en-US" w:eastAsia="zh-CN"/>
                    </w:rPr>
                    <w:t>10000</w:t>
                  </w:r>
                </w:p>
              </w:tc>
              <w:tc>
                <w:tcPr>
                  <w:tcW w:w="1461" w:type="dxa"/>
                  <w:vAlign w:val="center"/>
                </w:tcPr>
                <w:p>
                  <w:pPr>
                    <w:jc w:val="center"/>
                    <w:rPr>
                      <w:rFonts w:hint="default" w:ascii="Times New Roman" w:hAnsi="Times New Roman" w:eastAsia="宋体" w:cs="Times New Roman"/>
                      <w:color w:val="auto"/>
                      <w:szCs w:val="21"/>
                      <w:u w:val="single"/>
                      <w:lang w:val="en-US" w:eastAsia="zh-CN"/>
                    </w:rPr>
                  </w:pPr>
                  <w:r>
                    <w:rPr>
                      <w:rFonts w:hint="eastAsia" w:cs="Times New Roman"/>
                      <w:color w:val="auto"/>
                      <w:szCs w:val="21"/>
                      <w:u w:val="single"/>
                      <w:lang w:val="en-US" w:eastAsia="zh-CN"/>
                    </w:rPr>
                    <w:t>11520</w:t>
                  </w:r>
                </w:p>
              </w:tc>
            </w:tr>
          </w:tbl>
          <w:p>
            <w:pPr>
              <w:pStyle w:val="51"/>
              <w:keepNext w:val="0"/>
              <w:keepLines w:val="0"/>
              <w:pageBreakBefore w:val="0"/>
              <w:widowControl w:val="0"/>
              <w:numPr>
                <w:ilvl w:val="0"/>
                <w:numId w:val="0"/>
              </w:numPr>
              <w:tabs>
                <w:tab w:val="left" w:pos="88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outlineLvl w:val="2"/>
              <w:rPr>
                <w:rFonts w:hint="default" w:ascii="Times New Roman" w:hAnsi="Times New Roman" w:cs="Times New Roman"/>
                <w:b/>
                <w:bCs/>
                <w:color w:val="auto"/>
                <w:sz w:val="24"/>
                <w:szCs w:val="32"/>
                <w:lang w:val="en-US" w:eastAsia="zh-CN"/>
              </w:rPr>
            </w:pPr>
            <w:r>
              <w:rPr>
                <w:rFonts w:hint="default" w:ascii="Times New Roman" w:hAnsi="Times New Roman" w:eastAsia="宋体" w:cs="Times New Roman"/>
                <w:b w:val="0"/>
                <w:bCs w:val="0"/>
                <w:color w:val="auto"/>
                <w:sz w:val="24"/>
                <w:szCs w:val="32"/>
                <w:u w:val="single"/>
                <w:lang w:val="en-US" w:eastAsia="zh-CN"/>
              </w:rPr>
              <w:t>根据上表可知，项目年工作时间为300天，每天8小时，项目生产线设计产能大于项目产能，因考虑到实际生产过程中设备运行存在检修维护等情况，设备运行负荷率在90左右，则项目生产线产能与项目产能相符。根据其设备数量及产能核算，其年设计产能可满足生产产能需求。</w:t>
            </w:r>
          </w:p>
          <w:p>
            <w:pPr>
              <w:pStyle w:val="51"/>
              <w:keepNext w:val="0"/>
              <w:keepLines w:val="0"/>
              <w:pageBreakBefore w:val="0"/>
              <w:widowControl w:val="0"/>
              <w:numPr>
                <w:ilvl w:val="0"/>
                <w:numId w:val="0"/>
              </w:numPr>
              <w:tabs>
                <w:tab w:val="left" w:pos="889"/>
              </w:tabs>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outlineLvl w:val="2"/>
              <w:rPr>
                <w:rFonts w:hint="default" w:ascii="Times New Roman" w:hAnsi="Times New Roman" w:cs="Times New Roman"/>
                <w:b/>
                <w:bCs/>
                <w:u w:val="single"/>
                <w:lang w:val="en-US" w:eastAsia="zh-CN"/>
              </w:rPr>
            </w:pPr>
            <w:r>
              <w:rPr>
                <w:rFonts w:hint="default" w:ascii="Times New Roman" w:hAnsi="Times New Roman" w:cs="Times New Roman"/>
                <w:b/>
                <w:bCs/>
                <w:sz w:val="24"/>
                <w:szCs w:val="32"/>
                <w:u w:val="single"/>
                <w:lang w:val="en-US" w:eastAsia="zh-CN"/>
              </w:rPr>
              <w:t>2.6、主要原辅材料用量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u w:val="single"/>
                <w:lang w:val="en-US" w:eastAsia="zh-CN"/>
              </w:rPr>
            </w:pPr>
            <w:bookmarkStart w:id="2" w:name="_Toc318242950"/>
            <w:r>
              <w:rPr>
                <w:rFonts w:hint="default" w:ascii="Times New Roman" w:hAnsi="Times New Roman" w:cs="Times New Roman"/>
                <w:sz w:val="24"/>
                <w:szCs w:val="32"/>
                <w:u w:val="single"/>
                <w:lang w:val="en-US" w:eastAsia="zh-CN"/>
              </w:rPr>
              <w:t>本项目原料均为新料，主要原辅材料用量见下表。</w:t>
            </w:r>
          </w:p>
          <w:p>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表2-5  项目主要原辅材料用量一览表</w:t>
            </w:r>
          </w:p>
          <w:tbl>
            <w:tblPr>
              <w:tblStyle w:val="27"/>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851"/>
              <w:gridCol w:w="901"/>
              <w:gridCol w:w="713"/>
              <w:gridCol w:w="1158"/>
              <w:gridCol w:w="1158"/>
              <w:gridCol w:w="1158"/>
              <w:gridCol w:w="1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序号</w:t>
                  </w:r>
                </w:p>
              </w:tc>
              <w:tc>
                <w:tcPr>
                  <w:tcW w:w="535"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原料名称</w:t>
                  </w:r>
                </w:p>
              </w:tc>
              <w:tc>
                <w:tcPr>
                  <w:tcW w:w="56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年耗量（t/a）</w:t>
                  </w:r>
                </w:p>
              </w:tc>
              <w:tc>
                <w:tcPr>
                  <w:tcW w:w="448"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状态</w:t>
                  </w:r>
                </w:p>
              </w:tc>
              <w:tc>
                <w:tcPr>
                  <w:tcW w:w="728"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包装规格</w:t>
                  </w:r>
                </w:p>
              </w:tc>
              <w:tc>
                <w:tcPr>
                  <w:tcW w:w="728"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纯度</w:t>
                  </w:r>
                </w:p>
              </w:tc>
              <w:tc>
                <w:tcPr>
                  <w:tcW w:w="728" w:type="pct"/>
                  <w:tcBorders>
                    <w:tl2br w:val="nil"/>
                    <w:tr2bl w:val="nil"/>
                  </w:tcBorders>
                  <w:vAlign w:val="center"/>
                </w:tcPr>
                <w:p>
                  <w:pPr>
                    <w:jc w:val="center"/>
                    <w:rPr>
                      <w:rFonts w:hint="eastAsia" w:cs="Times New Roman"/>
                      <w:u w:val="single"/>
                      <w:lang w:val="en-US" w:eastAsia="zh-CN"/>
                    </w:rPr>
                  </w:pPr>
                  <w:r>
                    <w:rPr>
                      <w:rFonts w:hint="eastAsia" w:cs="Times New Roman"/>
                      <w:u w:val="single"/>
                      <w:lang w:val="en-US" w:eastAsia="zh-CN"/>
                    </w:rPr>
                    <w:t>来源</w:t>
                  </w:r>
                </w:p>
              </w:tc>
              <w:tc>
                <w:tcPr>
                  <w:tcW w:w="728" w:type="pct"/>
                  <w:tcBorders>
                    <w:tl2br w:val="nil"/>
                    <w:tr2bl w:val="nil"/>
                  </w:tcBorders>
                  <w:vAlign w:val="center"/>
                </w:tcPr>
                <w:p>
                  <w:pPr>
                    <w:jc w:val="center"/>
                    <w:rPr>
                      <w:rFonts w:hint="eastAsia" w:cs="Times New Roman"/>
                      <w:u w:val="single"/>
                      <w:lang w:val="en-US" w:eastAsia="zh-CN"/>
                    </w:rPr>
                  </w:pPr>
                  <w:r>
                    <w:rPr>
                      <w:rFonts w:hint="eastAsia" w:cs="Times New Roman"/>
                      <w:u w:val="single"/>
                      <w:lang w:val="en-US" w:eastAsia="zh-CN"/>
                    </w:rPr>
                    <w:t>单次最大存放量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1</w:t>
                  </w:r>
                </w:p>
              </w:tc>
              <w:tc>
                <w:tcPr>
                  <w:tcW w:w="535"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农用氯化铵</w:t>
                  </w:r>
                </w:p>
              </w:tc>
              <w:tc>
                <w:tcPr>
                  <w:tcW w:w="566"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9000</w:t>
                  </w:r>
                </w:p>
              </w:tc>
              <w:tc>
                <w:tcPr>
                  <w:tcW w:w="448"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固体颗粒</w:t>
                  </w:r>
                </w:p>
              </w:tc>
              <w:tc>
                <w:tcPr>
                  <w:tcW w:w="728"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50</w:t>
                  </w:r>
                  <w:r>
                    <w:rPr>
                      <w:rFonts w:hint="default" w:ascii="Times New Roman" w:hAnsi="Times New Roman" w:cs="Times New Roman"/>
                      <w:u w:val="single"/>
                    </w:rPr>
                    <w:t>Kg/袋，多层堆放</w:t>
                  </w:r>
                </w:p>
              </w:tc>
              <w:tc>
                <w:tcPr>
                  <w:tcW w:w="728"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eastAsia"/>
                      <w:u w:val="single"/>
                      <w:lang w:val="en-US" w:eastAsia="zh-CN"/>
                    </w:rPr>
                    <w:t>优等品</w:t>
                  </w:r>
                </w:p>
              </w:tc>
              <w:tc>
                <w:tcPr>
                  <w:tcW w:w="728" w:type="pct"/>
                  <w:tcBorders>
                    <w:tl2br w:val="nil"/>
                    <w:tr2bl w:val="nil"/>
                  </w:tcBorders>
                  <w:vAlign w:val="center"/>
                </w:tcPr>
                <w:p>
                  <w:pPr>
                    <w:ind w:left="0" w:leftChars="0" w:right="0" w:rightChars="0"/>
                    <w:jc w:val="center"/>
                    <w:rPr>
                      <w:rFonts w:hint="eastAsia" w:cs="Times New Roman"/>
                      <w:u w:val="single"/>
                      <w:lang w:val="en-US" w:eastAsia="zh-CN"/>
                    </w:rPr>
                  </w:pPr>
                  <w:r>
                    <w:rPr>
                      <w:rFonts w:hint="eastAsia" w:cs="Times New Roman"/>
                      <w:u w:val="single"/>
                      <w:lang w:val="en-US" w:eastAsia="zh-CN"/>
                    </w:rPr>
                    <w:t>外购</w:t>
                  </w:r>
                </w:p>
              </w:tc>
              <w:tc>
                <w:tcPr>
                  <w:tcW w:w="728" w:type="pct"/>
                  <w:tcBorders>
                    <w:tl2br w:val="nil"/>
                    <w:tr2bl w:val="nil"/>
                  </w:tcBorders>
                  <w:vAlign w:val="center"/>
                </w:tcPr>
                <w:p>
                  <w:pPr>
                    <w:ind w:left="0" w:leftChars="0" w:right="0" w:rightChars="0"/>
                    <w:jc w:val="center"/>
                    <w:rPr>
                      <w:rFonts w:hint="default" w:cs="Times New Roman"/>
                      <w:u w:val="single"/>
                      <w:lang w:val="en-US" w:eastAsia="zh-CN"/>
                    </w:rPr>
                  </w:pPr>
                  <w:r>
                    <w:rPr>
                      <w:rFonts w:hint="eastAsia" w:cs="Times New Roman"/>
                      <w:u w:val="single"/>
                      <w:lang w:val="en-US" w:eastAsia="zh-CN"/>
                    </w:rPr>
                    <w:t>200T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3</w:t>
                  </w:r>
                </w:p>
              </w:tc>
              <w:tc>
                <w:tcPr>
                  <w:tcW w:w="535"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氯化锌</w:t>
                  </w:r>
                </w:p>
              </w:tc>
              <w:tc>
                <w:tcPr>
                  <w:tcW w:w="566"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500</w:t>
                  </w:r>
                </w:p>
              </w:tc>
              <w:tc>
                <w:tcPr>
                  <w:tcW w:w="448"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固体颗粒</w:t>
                  </w:r>
                </w:p>
              </w:tc>
              <w:tc>
                <w:tcPr>
                  <w:tcW w:w="728"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rPr>
                    <w:t>25Kg/袋，多层堆放</w:t>
                  </w:r>
                </w:p>
              </w:tc>
              <w:tc>
                <w:tcPr>
                  <w:tcW w:w="728" w:type="pct"/>
                  <w:tcBorders>
                    <w:tl2br w:val="nil"/>
                    <w:tr2bl w:val="nil"/>
                  </w:tcBorders>
                  <w:vAlign w:val="center"/>
                </w:tcPr>
                <w:p>
                  <w:pPr>
                    <w:ind w:left="0" w:leftChars="0" w:right="0" w:rightChars="0"/>
                    <w:jc w:val="center"/>
                    <w:rPr>
                      <w:rFonts w:hint="default" w:ascii="Times New Roman" w:hAnsi="Times New Roman" w:eastAsia="宋体" w:cs="Times New Roman"/>
                      <w:u w:val="single"/>
                      <w:lang w:val="en-US" w:eastAsia="zh-CN"/>
                    </w:rPr>
                  </w:pPr>
                  <w:r>
                    <w:rPr>
                      <w:rFonts w:hint="eastAsia"/>
                      <w:u w:val="single"/>
                      <w:lang w:val="en-US" w:eastAsia="zh-CN"/>
                    </w:rPr>
                    <w:t>优等品</w:t>
                  </w:r>
                </w:p>
              </w:tc>
              <w:tc>
                <w:tcPr>
                  <w:tcW w:w="728" w:type="pct"/>
                  <w:tcBorders>
                    <w:tl2br w:val="nil"/>
                    <w:tr2bl w:val="nil"/>
                  </w:tcBorders>
                  <w:vAlign w:val="center"/>
                </w:tcPr>
                <w:p>
                  <w:pPr>
                    <w:ind w:left="0" w:leftChars="0" w:right="0" w:rightChars="0"/>
                    <w:jc w:val="center"/>
                    <w:rPr>
                      <w:rFonts w:hint="eastAsia" w:ascii="Times New Roman" w:hAnsi="Times New Roman" w:eastAsia="宋体" w:cs="Times New Roman"/>
                      <w:u w:val="single"/>
                      <w:lang w:eastAsia="zh-CN"/>
                    </w:rPr>
                  </w:pPr>
                  <w:r>
                    <w:rPr>
                      <w:rFonts w:hint="eastAsia" w:cs="Times New Roman"/>
                      <w:u w:val="single"/>
                      <w:lang w:eastAsia="zh-CN"/>
                    </w:rPr>
                    <w:t>外购</w:t>
                  </w:r>
                </w:p>
              </w:tc>
              <w:tc>
                <w:tcPr>
                  <w:tcW w:w="728" w:type="pct"/>
                  <w:tcBorders>
                    <w:tl2br w:val="nil"/>
                    <w:tr2bl w:val="nil"/>
                  </w:tcBorders>
                  <w:vAlign w:val="center"/>
                </w:tcPr>
                <w:p>
                  <w:pPr>
                    <w:ind w:left="0" w:leftChars="0" w:right="0" w:rightChars="0"/>
                    <w:jc w:val="center"/>
                    <w:rPr>
                      <w:rFonts w:hint="default" w:cs="Times New Roman"/>
                      <w:u w:val="single"/>
                      <w:lang w:val="en-US" w:eastAsia="zh-CN"/>
                    </w:rPr>
                  </w:pPr>
                  <w:r>
                    <w:rPr>
                      <w:rFonts w:hint="eastAsia" w:cs="Times New Roman"/>
                      <w:u w:val="single"/>
                      <w:lang w:val="en-US" w:eastAsia="zh-CN"/>
                    </w:rPr>
                    <w:t>50T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6" w:type="pct"/>
                  <w:tcBorders>
                    <w:tl2br w:val="nil"/>
                    <w:tr2bl w:val="nil"/>
                  </w:tcBorders>
                  <w:vAlign w:val="center"/>
                </w:tcPr>
                <w:p>
                  <w:pPr>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4</w:t>
                  </w:r>
                </w:p>
              </w:tc>
              <w:tc>
                <w:tcPr>
                  <w:tcW w:w="535"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硼肥</w:t>
                  </w:r>
                </w:p>
              </w:tc>
              <w:tc>
                <w:tcPr>
                  <w:tcW w:w="566" w:type="pct"/>
                  <w:tcBorders>
                    <w:tl2br w:val="nil"/>
                    <w:tr2bl w:val="nil"/>
                  </w:tcBorders>
                  <w:vAlign w:val="center"/>
                </w:tcPr>
                <w:p>
                  <w:pPr>
                    <w:jc w:val="center"/>
                    <w:rPr>
                      <w:rFonts w:hint="default" w:ascii="Times New Roman" w:hAnsi="Times New Roman" w:cs="Times New Roman"/>
                      <w:u w:val="single"/>
                      <w:lang w:val="en-US" w:eastAsia="zh-CN"/>
                    </w:rPr>
                  </w:pPr>
                  <w:r>
                    <w:rPr>
                      <w:rFonts w:hint="eastAsia" w:cs="Times New Roman"/>
                      <w:u w:val="single"/>
                      <w:lang w:val="en-US" w:eastAsia="zh-CN"/>
                    </w:rPr>
                    <w:t>500</w:t>
                  </w:r>
                </w:p>
              </w:tc>
              <w:tc>
                <w:tcPr>
                  <w:tcW w:w="448"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固体颗粒</w:t>
                  </w:r>
                </w:p>
              </w:tc>
              <w:tc>
                <w:tcPr>
                  <w:tcW w:w="728" w:type="pct"/>
                  <w:tcBorders>
                    <w:tl2br w:val="nil"/>
                    <w:tr2bl w:val="nil"/>
                  </w:tcBorders>
                  <w:vAlign w:val="center"/>
                </w:tcPr>
                <w:p>
                  <w:pPr>
                    <w:ind w:left="0" w:leftChars="0" w:right="0" w:rightChars="0"/>
                    <w:jc w:val="center"/>
                    <w:rPr>
                      <w:rFonts w:hint="default" w:ascii="Times New Roman" w:hAnsi="Times New Roman" w:cs="Times New Roman"/>
                      <w:u w:val="single"/>
                      <w:lang w:val="en-US" w:eastAsia="zh-CN"/>
                    </w:rPr>
                  </w:pPr>
                  <w:r>
                    <w:rPr>
                      <w:rFonts w:hint="default" w:ascii="Times New Roman" w:hAnsi="Times New Roman" w:cs="Times New Roman"/>
                      <w:u w:val="single"/>
                    </w:rPr>
                    <w:t>25Kg/袋，多层堆放</w:t>
                  </w:r>
                </w:p>
              </w:tc>
              <w:tc>
                <w:tcPr>
                  <w:tcW w:w="728" w:type="pct"/>
                  <w:tcBorders>
                    <w:tl2br w:val="nil"/>
                    <w:tr2bl w:val="nil"/>
                  </w:tcBorders>
                  <w:vAlign w:val="center"/>
                </w:tcPr>
                <w:p>
                  <w:pPr>
                    <w:ind w:left="0" w:leftChars="0" w:right="0" w:rightChars="0"/>
                    <w:jc w:val="center"/>
                    <w:rPr>
                      <w:rFonts w:hint="default" w:ascii="Times New Roman" w:hAnsi="Times New Roman" w:eastAsia="宋体" w:cs="Times New Roman"/>
                      <w:u w:val="single"/>
                      <w:lang w:val="en-US" w:eastAsia="zh-CN"/>
                    </w:rPr>
                  </w:pPr>
                  <w:r>
                    <w:rPr>
                      <w:rFonts w:hint="eastAsia"/>
                      <w:u w:val="single"/>
                      <w:lang w:val="en-US" w:eastAsia="zh-CN"/>
                    </w:rPr>
                    <w:t>优等品</w:t>
                  </w:r>
                </w:p>
              </w:tc>
              <w:tc>
                <w:tcPr>
                  <w:tcW w:w="728" w:type="pct"/>
                  <w:tcBorders>
                    <w:tl2br w:val="nil"/>
                    <w:tr2bl w:val="nil"/>
                  </w:tcBorders>
                  <w:vAlign w:val="center"/>
                </w:tcPr>
                <w:p>
                  <w:pPr>
                    <w:ind w:left="0" w:leftChars="0" w:right="0" w:rightChars="0"/>
                    <w:jc w:val="center"/>
                    <w:rPr>
                      <w:rFonts w:hint="eastAsia" w:ascii="Times New Roman" w:hAnsi="Times New Roman" w:eastAsia="宋体" w:cs="Times New Roman"/>
                      <w:u w:val="single"/>
                      <w:lang w:eastAsia="zh-CN"/>
                    </w:rPr>
                  </w:pPr>
                  <w:r>
                    <w:rPr>
                      <w:rFonts w:hint="eastAsia" w:cs="Times New Roman"/>
                      <w:u w:val="single"/>
                      <w:lang w:eastAsia="zh-CN"/>
                    </w:rPr>
                    <w:t>外购</w:t>
                  </w:r>
                </w:p>
              </w:tc>
              <w:tc>
                <w:tcPr>
                  <w:tcW w:w="728" w:type="pct"/>
                  <w:tcBorders>
                    <w:tl2br w:val="nil"/>
                    <w:tr2bl w:val="nil"/>
                  </w:tcBorders>
                  <w:vAlign w:val="center"/>
                </w:tcPr>
                <w:p>
                  <w:pPr>
                    <w:ind w:left="0" w:leftChars="0" w:right="0" w:rightChars="0"/>
                    <w:jc w:val="center"/>
                    <w:rPr>
                      <w:rFonts w:hint="default" w:cs="Times New Roman"/>
                      <w:u w:val="single"/>
                      <w:lang w:val="en-US" w:eastAsia="zh-CN"/>
                    </w:rPr>
                  </w:pPr>
                  <w:r>
                    <w:rPr>
                      <w:rFonts w:hint="eastAsia" w:cs="Times New Roman"/>
                      <w:u w:val="single"/>
                      <w:lang w:val="en-US" w:eastAsia="zh-CN"/>
                    </w:rPr>
                    <w:t>50T</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原材料理化性质</w:t>
            </w:r>
          </w:p>
          <w:p>
            <w:pPr>
              <w:keepNext w:val="0"/>
              <w:keepLines w:val="0"/>
              <w:pageBreakBefore w:val="0"/>
              <w:widowControl w:val="0"/>
              <w:kinsoku/>
              <w:wordWrap/>
              <w:overflowPunct/>
              <w:topLinePunct w:val="0"/>
              <w:autoSpaceDE w:val="0"/>
              <w:autoSpaceDN w:val="0"/>
              <w:bidi w:val="0"/>
              <w:adjustRightInd/>
              <w:snapToGrid/>
              <w:spacing w:line="240" w:lineRule="auto"/>
              <w:ind w:firstLine="422"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表2-6  主要原材料理化性质一览表</w:t>
            </w:r>
          </w:p>
          <w:tbl>
            <w:tblPr>
              <w:tblStyle w:val="27"/>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934"/>
              <w:gridCol w:w="6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序号</w:t>
                  </w:r>
                </w:p>
              </w:tc>
              <w:tc>
                <w:tcPr>
                  <w:tcW w:w="58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物料</w:t>
                  </w:r>
                </w:p>
              </w:tc>
              <w:tc>
                <w:tcPr>
                  <w:tcW w:w="410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1</w:t>
                  </w:r>
                </w:p>
              </w:tc>
              <w:tc>
                <w:tcPr>
                  <w:tcW w:w="58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农用氯化铵</w:t>
                  </w:r>
                </w:p>
              </w:tc>
              <w:tc>
                <w:tcPr>
                  <w:tcW w:w="410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firstLine="420" w:firstLineChars="200"/>
                    <w:jc w:val="center"/>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农用氯化铵(Ammonium Chloride)常温下无色立方晶体或白色结晶，味咸凉而微苦。相对密度1.527。易溶于水，溶于液氨，微溶于醇，不溶于丙酮和乙醚。加热至100℃时开始显著挥发，337.8℃时离解为氨和氯化氢，遇冷后又重新化合生成颗粒极小的氯化铵而呈白色浓烟，不易下沉，也极不易再溶解于水。加热至350℃升华，沸点520℃。吸湿性小，但在潮湿的阴雨天气也能吸潮结块。水溶液呈弱酸性，加热时酸性增强。对黑色金属和其它金属有腐蚀性，特别对铜腐蚀更大，对生铁无腐蚀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u w:val="single"/>
                      <w:lang w:val="en-US" w:eastAsia="zh-CN"/>
                    </w:rPr>
                  </w:pPr>
                  <w:r>
                    <w:rPr>
                      <w:rFonts w:hint="eastAsia" w:cs="Times New Roman"/>
                      <w:u w:val="single"/>
                      <w:lang w:val="en-US" w:eastAsia="zh-CN"/>
                    </w:rPr>
                    <w:t>2</w:t>
                  </w:r>
                </w:p>
              </w:tc>
              <w:tc>
                <w:tcPr>
                  <w:tcW w:w="58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氯化锌</w:t>
                  </w:r>
                </w:p>
              </w:tc>
              <w:tc>
                <w:tcPr>
                  <w:tcW w:w="4101"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20" w:firstLineChars="200"/>
                    <w:jc w:val="center"/>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白色粒状、棒状，无气味，易吸湿。水中溶解度25℃时为432g、100℃时为614g。1g溶于0.25ml</w:t>
                  </w:r>
                  <w:r>
                    <w:rPr>
                      <w:rFonts w:hint="eastAsia" w:cs="Times New Roman"/>
                      <w:sz w:val="21"/>
                      <w:szCs w:val="21"/>
                      <w:u w:val="single"/>
                      <w:lang w:val="en-US" w:eastAsia="zh-CN"/>
                    </w:rPr>
                    <w:t>、</w:t>
                  </w:r>
                  <w:r>
                    <w:rPr>
                      <w:rFonts w:hint="default" w:ascii="Times New Roman" w:hAnsi="Times New Roman" w:cs="Times New Roman"/>
                      <w:sz w:val="21"/>
                      <w:szCs w:val="21"/>
                      <w:u w:val="single"/>
                      <w:lang w:val="en-US" w:eastAsia="zh-CN"/>
                    </w:rPr>
                    <w:t>2%</w:t>
                  </w:r>
                  <w:r>
                    <w:rPr>
                      <w:rFonts w:hint="default" w:ascii="Times New Roman" w:hAnsi="Times New Roman" w:cs="Times New Roman"/>
                      <w:sz w:val="21"/>
                      <w:szCs w:val="21"/>
                      <w:u w:val="single"/>
                      <w:lang w:val="en-US" w:eastAsia="zh-CN"/>
                    </w:rPr>
                    <w:fldChar w:fldCharType="begin"/>
                  </w:r>
                  <w:r>
                    <w:rPr>
                      <w:rFonts w:hint="default" w:ascii="Times New Roman" w:hAnsi="Times New Roman" w:cs="Times New Roman"/>
                      <w:sz w:val="21"/>
                      <w:szCs w:val="21"/>
                      <w:u w:val="single"/>
                      <w:lang w:val="en-US" w:eastAsia="zh-CN"/>
                    </w:rPr>
                    <w:instrText xml:space="preserve"> HYPERLINK "https://baike.baidu.com/item/%E7%9B%90%E9%85%B8" \t "https://baike.baidu.com/item/%E6%B0%AF%E5%8C%96%E9%94%8C/_blank" </w:instrText>
                  </w:r>
                  <w:r>
                    <w:rPr>
                      <w:rFonts w:hint="default" w:ascii="Times New Roman" w:hAnsi="Times New Roman" w:cs="Times New Roman"/>
                      <w:sz w:val="21"/>
                      <w:szCs w:val="21"/>
                      <w:u w:val="single"/>
                      <w:lang w:val="en-US" w:eastAsia="zh-CN"/>
                    </w:rPr>
                    <w:fldChar w:fldCharType="separate"/>
                  </w:r>
                  <w:r>
                    <w:rPr>
                      <w:rFonts w:hint="default" w:ascii="Times New Roman" w:hAnsi="Times New Roman" w:cs="Times New Roman"/>
                      <w:sz w:val="21"/>
                      <w:szCs w:val="21"/>
                      <w:u w:val="single"/>
                      <w:lang w:val="en-US" w:eastAsia="zh-CN"/>
                    </w:rPr>
                    <w:t>盐酸</w:t>
                  </w:r>
                  <w:r>
                    <w:rPr>
                      <w:rFonts w:hint="default" w:ascii="Times New Roman" w:hAnsi="Times New Roman" w:cs="Times New Roman"/>
                      <w:sz w:val="21"/>
                      <w:szCs w:val="21"/>
                      <w:u w:val="single"/>
                      <w:lang w:val="en-US" w:eastAsia="zh-CN"/>
                    </w:rPr>
                    <w:fldChar w:fldCharType="end"/>
                  </w:r>
                  <w:r>
                    <w:rPr>
                      <w:rFonts w:hint="default" w:ascii="Times New Roman" w:hAnsi="Times New Roman" w:cs="Times New Roman"/>
                      <w:sz w:val="21"/>
                      <w:szCs w:val="21"/>
                      <w:u w:val="single"/>
                      <w:lang w:val="en-US" w:eastAsia="zh-CN"/>
                    </w:rPr>
                    <w:t>、1.3ml</w:t>
                  </w:r>
                  <w:r>
                    <w:rPr>
                      <w:rFonts w:hint="default" w:ascii="Times New Roman" w:hAnsi="Times New Roman" w:cs="Times New Roman"/>
                      <w:sz w:val="21"/>
                      <w:szCs w:val="21"/>
                      <w:u w:val="single"/>
                      <w:lang w:val="en-US" w:eastAsia="zh-CN"/>
                    </w:rPr>
                    <w:fldChar w:fldCharType="begin"/>
                  </w:r>
                  <w:r>
                    <w:rPr>
                      <w:rFonts w:hint="default" w:ascii="Times New Roman" w:hAnsi="Times New Roman" w:cs="Times New Roman"/>
                      <w:sz w:val="21"/>
                      <w:szCs w:val="21"/>
                      <w:u w:val="single"/>
                      <w:lang w:val="en-US" w:eastAsia="zh-CN"/>
                    </w:rPr>
                    <w:instrText xml:space="preserve"> HYPERLINK "https://baike.baidu.com/item/%E4%B9%99%E9%86%87" \t "https://baike.baidu.com/item/%E6%B0%AF%E5%8C%96%E9%94%8C/_blank" </w:instrText>
                  </w:r>
                  <w:r>
                    <w:rPr>
                      <w:rFonts w:hint="default" w:ascii="Times New Roman" w:hAnsi="Times New Roman" w:cs="Times New Roman"/>
                      <w:sz w:val="21"/>
                      <w:szCs w:val="21"/>
                      <w:u w:val="single"/>
                      <w:lang w:val="en-US" w:eastAsia="zh-CN"/>
                    </w:rPr>
                    <w:fldChar w:fldCharType="separate"/>
                  </w:r>
                  <w:r>
                    <w:rPr>
                      <w:rFonts w:hint="default" w:ascii="Times New Roman" w:hAnsi="Times New Roman" w:cs="Times New Roman"/>
                      <w:sz w:val="21"/>
                      <w:szCs w:val="21"/>
                      <w:u w:val="single"/>
                      <w:lang w:val="en-US" w:eastAsia="zh-CN"/>
                    </w:rPr>
                    <w:t>乙醇</w:t>
                  </w:r>
                  <w:r>
                    <w:rPr>
                      <w:rFonts w:hint="default" w:ascii="Times New Roman" w:hAnsi="Times New Roman" w:cs="Times New Roman"/>
                      <w:sz w:val="21"/>
                      <w:szCs w:val="21"/>
                      <w:u w:val="single"/>
                      <w:lang w:val="en-US" w:eastAsia="zh-CN"/>
                    </w:rPr>
                    <w:fldChar w:fldCharType="end"/>
                  </w:r>
                  <w:r>
                    <w:rPr>
                      <w:rFonts w:hint="default" w:ascii="Times New Roman" w:hAnsi="Times New Roman" w:cs="Times New Roman"/>
                      <w:sz w:val="21"/>
                      <w:szCs w:val="21"/>
                      <w:u w:val="single"/>
                      <w:lang w:val="en-US" w:eastAsia="zh-CN"/>
                    </w:rPr>
                    <w:t>、2ml</w:t>
                  </w:r>
                  <w:r>
                    <w:rPr>
                      <w:rFonts w:hint="default" w:ascii="Times New Roman" w:hAnsi="Times New Roman" w:cs="Times New Roman"/>
                      <w:sz w:val="21"/>
                      <w:szCs w:val="21"/>
                      <w:u w:val="single"/>
                      <w:lang w:val="en-US" w:eastAsia="zh-CN"/>
                    </w:rPr>
                    <w:fldChar w:fldCharType="begin"/>
                  </w:r>
                  <w:r>
                    <w:rPr>
                      <w:rFonts w:hint="default" w:ascii="Times New Roman" w:hAnsi="Times New Roman" w:cs="Times New Roman"/>
                      <w:sz w:val="21"/>
                      <w:szCs w:val="21"/>
                      <w:u w:val="single"/>
                      <w:lang w:val="en-US" w:eastAsia="zh-CN"/>
                    </w:rPr>
                    <w:instrText xml:space="preserve"> HYPERLINK "https://baike.baidu.com/item/%E7%94%98%E6%B2%B9" \t "https://baike.baidu.com/item/%E6%B0%AF%E5%8C%96%E9%94%8C/_blank" </w:instrText>
                  </w:r>
                  <w:r>
                    <w:rPr>
                      <w:rFonts w:hint="default" w:ascii="Times New Roman" w:hAnsi="Times New Roman" w:cs="Times New Roman"/>
                      <w:sz w:val="21"/>
                      <w:szCs w:val="21"/>
                      <w:u w:val="single"/>
                      <w:lang w:val="en-US" w:eastAsia="zh-CN"/>
                    </w:rPr>
                    <w:fldChar w:fldCharType="separate"/>
                  </w:r>
                  <w:r>
                    <w:rPr>
                      <w:rFonts w:hint="default" w:ascii="Times New Roman" w:hAnsi="Times New Roman" w:cs="Times New Roman"/>
                      <w:sz w:val="21"/>
                      <w:szCs w:val="21"/>
                      <w:u w:val="single"/>
                      <w:lang w:val="en-US" w:eastAsia="zh-CN"/>
                    </w:rPr>
                    <w:t>甘油</w:t>
                  </w:r>
                  <w:r>
                    <w:rPr>
                      <w:rFonts w:hint="default" w:ascii="Times New Roman" w:hAnsi="Times New Roman" w:cs="Times New Roman"/>
                      <w:sz w:val="21"/>
                      <w:szCs w:val="21"/>
                      <w:u w:val="single"/>
                      <w:lang w:val="en-US" w:eastAsia="zh-CN"/>
                    </w:rPr>
                    <w:fldChar w:fldCharType="end"/>
                  </w:r>
                  <w:r>
                    <w:rPr>
                      <w:rFonts w:hint="default" w:ascii="Times New Roman" w:hAnsi="Times New Roman" w:cs="Times New Roman"/>
                      <w:sz w:val="21"/>
                      <w:szCs w:val="21"/>
                      <w:u w:val="single"/>
                      <w:lang w:val="en-US" w:eastAsia="zh-CN"/>
                    </w:rPr>
                    <w:t>。易溶于</w:t>
                  </w:r>
                  <w:r>
                    <w:rPr>
                      <w:rFonts w:hint="default" w:ascii="Times New Roman" w:hAnsi="Times New Roman" w:cs="Times New Roman"/>
                      <w:sz w:val="21"/>
                      <w:szCs w:val="21"/>
                      <w:u w:val="single"/>
                      <w:lang w:val="en-US" w:eastAsia="zh-CN"/>
                    </w:rPr>
                    <w:fldChar w:fldCharType="begin"/>
                  </w:r>
                  <w:r>
                    <w:rPr>
                      <w:rFonts w:hint="default" w:ascii="Times New Roman" w:hAnsi="Times New Roman" w:cs="Times New Roman"/>
                      <w:sz w:val="21"/>
                      <w:szCs w:val="21"/>
                      <w:u w:val="single"/>
                      <w:lang w:val="en-US" w:eastAsia="zh-CN"/>
                    </w:rPr>
                    <w:instrText xml:space="preserve"> HYPERLINK "https://baike.baidu.com/item/%E4%B8%99%E9%85%AE" \t "https://baike.baidu.com/item/%E6%B0%AF%E5%8C%96%E9%94%8C/_blank" </w:instrText>
                  </w:r>
                  <w:r>
                    <w:rPr>
                      <w:rFonts w:hint="default" w:ascii="Times New Roman" w:hAnsi="Times New Roman" w:cs="Times New Roman"/>
                      <w:sz w:val="21"/>
                      <w:szCs w:val="21"/>
                      <w:u w:val="single"/>
                      <w:lang w:val="en-US" w:eastAsia="zh-CN"/>
                    </w:rPr>
                    <w:fldChar w:fldCharType="separate"/>
                  </w:r>
                  <w:r>
                    <w:rPr>
                      <w:rFonts w:hint="default" w:ascii="Times New Roman" w:hAnsi="Times New Roman" w:cs="Times New Roman"/>
                      <w:sz w:val="21"/>
                      <w:szCs w:val="21"/>
                      <w:u w:val="single"/>
                      <w:lang w:val="en-US" w:eastAsia="zh-CN"/>
                    </w:rPr>
                    <w:t>丙酮</w:t>
                  </w:r>
                  <w:r>
                    <w:rPr>
                      <w:rFonts w:hint="default" w:ascii="Times New Roman" w:hAnsi="Times New Roman" w:cs="Times New Roman"/>
                      <w:sz w:val="21"/>
                      <w:szCs w:val="21"/>
                      <w:u w:val="single"/>
                      <w:lang w:val="en-US" w:eastAsia="zh-CN"/>
                    </w:rPr>
                    <w:fldChar w:fldCharType="end"/>
                  </w:r>
                  <w:r>
                    <w:rPr>
                      <w:rFonts w:hint="default" w:ascii="Times New Roman" w:hAnsi="Times New Roman" w:cs="Times New Roman"/>
                      <w:sz w:val="21"/>
                      <w:szCs w:val="21"/>
                      <w:u w:val="single"/>
                      <w:lang w:val="en-US" w:eastAsia="zh-CN"/>
                    </w:rPr>
                    <w:t>。加多量水有氧氯化锌产生。其水溶液呈酸性，pH约为4。</w:t>
                  </w:r>
                  <w:r>
                    <w:rPr>
                      <w:rFonts w:hint="default" w:ascii="Times New Roman" w:hAnsi="Times New Roman" w:cs="Times New Roman"/>
                      <w:sz w:val="21"/>
                      <w:szCs w:val="21"/>
                      <w:u w:val="single"/>
                      <w:lang w:val="en-US" w:eastAsia="zh-CN"/>
                    </w:rPr>
                    <w:fldChar w:fldCharType="begin"/>
                  </w:r>
                  <w:r>
                    <w:rPr>
                      <w:rFonts w:hint="default" w:ascii="Times New Roman" w:hAnsi="Times New Roman" w:cs="Times New Roman"/>
                      <w:sz w:val="21"/>
                      <w:szCs w:val="21"/>
                      <w:u w:val="single"/>
                      <w:lang w:val="en-US" w:eastAsia="zh-CN"/>
                    </w:rPr>
                    <w:instrText xml:space="preserve"> HYPERLINK "https://baike.baidu.com/item/%E7%9B%B8%E5%AF%B9%E5%AF%86%E5%BA%A6" \t "https://baike.baidu.com/item/%E6%B0%AF%E5%8C%96%E9%94%8C/_blank" </w:instrText>
                  </w:r>
                  <w:r>
                    <w:rPr>
                      <w:rFonts w:hint="default" w:ascii="Times New Roman" w:hAnsi="Times New Roman" w:cs="Times New Roman"/>
                      <w:sz w:val="21"/>
                      <w:szCs w:val="21"/>
                      <w:u w:val="single"/>
                      <w:lang w:val="en-US" w:eastAsia="zh-CN"/>
                    </w:rPr>
                    <w:fldChar w:fldCharType="separate"/>
                  </w:r>
                  <w:r>
                    <w:rPr>
                      <w:rFonts w:hint="default" w:ascii="Times New Roman" w:hAnsi="Times New Roman" w:cs="Times New Roman"/>
                      <w:sz w:val="21"/>
                      <w:szCs w:val="21"/>
                      <w:u w:val="single"/>
                      <w:lang w:val="en-US" w:eastAsia="zh-CN"/>
                    </w:rPr>
                    <w:t>相对密度</w:t>
                  </w:r>
                  <w:r>
                    <w:rPr>
                      <w:rFonts w:hint="default" w:ascii="Times New Roman" w:hAnsi="Times New Roman" w:cs="Times New Roman"/>
                      <w:sz w:val="21"/>
                      <w:szCs w:val="21"/>
                      <w:u w:val="single"/>
                      <w:lang w:val="en-US" w:eastAsia="zh-CN"/>
                    </w:rPr>
                    <w:fldChar w:fldCharType="end"/>
                  </w:r>
                  <w:r>
                    <w:rPr>
                      <w:rFonts w:hint="default" w:ascii="Times New Roman" w:hAnsi="Times New Roman" w:cs="Times New Roman"/>
                      <w:sz w:val="21"/>
                      <w:szCs w:val="21"/>
                      <w:u w:val="single"/>
                      <w:lang w:val="en-US" w:eastAsia="zh-CN"/>
                    </w:rPr>
                    <w:t>2.907。熔点约290℃。沸点732℃。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u w:val="single"/>
                      <w:lang w:val="en-US" w:eastAsia="zh-CN"/>
                    </w:rPr>
                  </w:pPr>
                  <w:r>
                    <w:rPr>
                      <w:rFonts w:hint="eastAsia" w:cs="Times New Roman"/>
                      <w:u w:val="single"/>
                      <w:lang w:val="en-US" w:eastAsia="zh-CN"/>
                    </w:rPr>
                    <w:t>3</w:t>
                  </w:r>
                </w:p>
              </w:tc>
              <w:tc>
                <w:tcPr>
                  <w:tcW w:w="58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硼肥</w:t>
                  </w:r>
                </w:p>
              </w:tc>
              <w:tc>
                <w:tcPr>
                  <w:tcW w:w="4101"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20" w:firstLineChars="200"/>
                    <w:jc w:val="left"/>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硼肥，是指含有硼(B)元素，能促进农作物生长，增强农作物抗性，有利于开花结实的微量元素肥料，又称硼素肥料。外观呈白色细小晶体，难溶于冷水，硼素易被土壤固定，植物当季吸收利用率较低，是常用的单质硼肥品种。</w:t>
                  </w:r>
                </w:p>
              </w:tc>
            </w:tr>
            <w:bookmarkEnd w:id="2"/>
          </w:tbl>
          <w:p>
            <w:pPr>
              <w:pStyle w:val="10"/>
              <w:keepNext w:val="0"/>
              <w:keepLines w:val="0"/>
              <w:pageBreakBefore w:val="0"/>
              <w:widowControl w:val="0"/>
              <w:numPr>
                <w:ilvl w:val="0"/>
                <w:numId w:val="0"/>
              </w:numPr>
              <w:tabs>
                <w:tab w:val="left" w:pos="1180"/>
              </w:tabs>
              <w:kinsoku/>
              <w:wordWrap/>
              <w:overflowPunct/>
              <w:topLinePunct w:val="0"/>
              <w:autoSpaceDE w:val="0"/>
              <w:autoSpaceDN w:val="0"/>
              <w:bidi w:val="0"/>
              <w:adjustRightInd/>
              <w:snapToGrid/>
              <w:spacing w:before="0" w:after="0" w:line="360" w:lineRule="auto"/>
              <w:ind w:right="0" w:rightChars="0" w:firstLine="482" w:firstLineChars="200"/>
              <w:jc w:val="left"/>
              <w:textAlignment w:val="auto"/>
              <w:rPr>
                <w:rFonts w:hint="default" w:ascii="Times New Roman" w:hAnsi="Times New Roman" w:cs="Times New Roman"/>
              </w:rPr>
            </w:pPr>
            <w:r>
              <w:rPr>
                <w:rFonts w:hint="default" w:ascii="Times New Roman" w:hAnsi="Times New Roman" w:cs="Times New Roman"/>
                <w:lang w:val="en-US" w:eastAsia="zh-CN"/>
              </w:rPr>
              <w:t>2.7、</w:t>
            </w:r>
            <w:r>
              <w:rPr>
                <w:rFonts w:hint="default" w:ascii="Times New Roman" w:hAnsi="Times New Roman" w:cs="Times New Roman"/>
              </w:rPr>
              <w:t>劳动定员、工作制度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lang w:eastAsia="zh-CN"/>
              </w:rPr>
            </w:pPr>
            <w:r>
              <w:rPr>
                <w:rFonts w:hint="default" w:ascii="Times New Roman" w:hAnsi="Times New Roman" w:cs="Times New Roman"/>
                <w:sz w:val="24"/>
                <w:szCs w:val="32"/>
                <w:u w:val="single"/>
                <w:lang w:val="en-US" w:eastAsia="zh-CN"/>
              </w:rPr>
              <w:t>项目建成后，劳动定员为15人</w:t>
            </w:r>
            <w:r>
              <w:rPr>
                <w:rFonts w:hint="eastAsia" w:cs="Times New Roman"/>
                <w:sz w:val="24"/>
                <w:szCs w:val="32"/>
                <w:u w:val="single"/>
                <w:lang w:val="en-US" w:eastAsia="zh-CN"/>
              </w:rPr>
              <w:t>，</w:t>
            </w:r>
            <w:r>
              <w:rPr>
                <w:rFonts w:hint="eastAsia"/>
                <w:sz w:val="24"/>
                <w:szCs w:val="32"/>
                <w:u w:val="single"/>
                <w:lang w:eastAsia="zh-CN"/>
              </w:rPr>
              <w:t>厂区内不设食宿，</w:t>
            </w:r>
            <w:r>
              <w:rPr>
                <w:rFonts w:hint="default" w:ascii="Times New Roman" w:hAnsi="Times New Roman" w:cs="Times New Roman"/>
                <w:sz w:val="24"/>
                <w:szCs w:val="32"/>
                <w:u w:val="single"/>
              </w:rPr>
              <w:t>年工作时间为300天，实行</w:t>
            </w:r>
            <w:r>
              <w:rPr>
                <w:rFonts w:hint="default" w:ascii="Times New Roman" w:hAnsi="Times New Roman" w:cs="Times New Roman"/>
                <w:sz w:val="24"/>
                <w:szCs w:val="32"/>
                <w:u w:val="single"/>
                <w:lang w:eastAsia="zh-CN"/>
              </w:rPr>
              <w:t>一</w:t>
            </w:r>
            <w:r>
              <w:rPr>
                <w:rFonts w:hint="default" w:ascii="Times New Roman" w:hAnsi="Times New Roman" w:cs="Times New Roman"/>
                <w:sz w:val="24"/>
                <w:szCs w:val="32"/>
                <w:u w:val="single"/>
              </w:rPr>
              <w:t>班8小时工作制</w:t>
            </w:r>
            <w:r>
              <w:rPr>
                <w:rFonts w:hint="eastAsia"/>
                <w:sz w:val="24"/>
                <w:szCs w:val="32"/>
                <w:u w:val="single"/>
                <w:lang w:eastAsia="zh-CN"/>
              </w:rPr>
              <w:t>。</w:t>
            </w:r>
          </w:p>
          <w:p>
            <w:pPr>
              <w:pStyle w:val="2"/>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themeColor="text1"/>
                <w:sz w:val="24"/>
                <w:szCs w:val="22"/>
                <w:lang w:eastAsia="zh-CN"/>
                <w14:textFill>
                  <w14:solidFill>
                    <w14:schemeClr w14:val="tx1"/>
                  </w14:solidFill>
                </w14:textFill>
              </w:rPr>
            </w:pPr>
            <w:r>
              <w:rPr>
                <w:rFonts w:hint="default" w:ascii="Times New Roman" w:hAnsi="Times New Roman" w:eastAsia="宋体" w:cs="Times New Roman"/>
                <w:b/>
                <w:bCs/>
                <w:color w:val="000000" w:themeColor="text1"/>
                <w:sz w:val="24"/>
                <w:szCs w:val="22"/>
                <w:lang w:val="en-US" w:eastAsia="zh-CN"/>
                <w14:textFill>
                  <w14:solidFill>
                    <w14:schemeClr w14:val="tx1"/>
                  </w14:solidFill>
                </w14:textFill>
              </w:rPr>
              <w:t>2.8、</w:t>
            </w:r>
            <w:r>
              <w:rPr>
                <w:rFonts w:hint="default" w:ascii="Times New Roman" w:hAnsi="Times New Roman" w:eastAsia="宋体" w:cs="Times New Roman"/>
                <w:b/>
                <w:bCs/>
                <w:color w:val="000000" w:themeColor="text1"/>
                <w:sz w:val="24"/>
                <w:szCs w:val="22"/>
                <w:lang w:eastAsia="zh-CN"/>
                <w14:textFill>
                  <w14:solidFill>
                    <w14:schemeClr w14:val="tx1"/>
                  </w14:solidFill>
                </w14:textFill>
              </w:rPr>
              <w:t>厂区平面布置</w:t>
            </w:r>
          </w:p>
          <w:p>
            <w:pPr>
              <w:pStyle w:val="7"/>
              <w:spacing w:line="360" w:lineRule="auto"/>
              <w:rPr>
                <w:rFonts w:hint="default" w:ascii="Times New Roman" w:hAnsi="Times New Roman" w:eastAsia="宋体" w:cs="Times New Roman"/>
                <w:color w:val="000000" w:themeColor="text1"/>
                <w:sz w:val="24"/>
                <w:szCs w:val="22"/>
                <w14:textFill>
                  <w14:solidFill>
                    <w14:schemeClr w14:val="tx1"/>
                  </w14:solidFill>
                </w14:textFill>
              </w:rPr>
            </w:pPr>
            <w:r>
              <w:rPr>
                <w:rFonts w:hint="default" w:ascii="Times New Roman" w:hAnsi="Times New Roman" w:eastAsia="宋体" w:cs="Times New Roman"/>
                <w:color w:val="000000" w:themeColor="text1"/>
                <w:sz w:val="24"/>
                <w:szCs w:val="22"/>
                <w14:textFill>
                  <w14:solidFill>
                    <w14:schemeClr w14:val="tx1"/>
                  </w14:solidFill>
                </w14:textFill>
              </w:rPr>
              <w:t>项目厂区主要组成部分包括：生产区、</w:t>
            </w:r>
            <w:r>
              <w:rPr>
                <w:rFonts w:hint="default" w:ascii="Times New Roman" w:hAnsi="Times New Roman" w:eastAsia="宋体" w:cs="Times New Roman"/>
                <w:color w:val="000000" w:themeColor="text1"/>
                <w:sz w:val="24"/>
                <w:szCs w:val="22"/>
                <w:lang w:eastAsia="zh-CN"/>
                <w14:textFill>
                  <w14:solidFill>
                    <w14:schemeClr w14:val="tx1"/>
                  </w14:solidFill>
                </w14:textFill>
              </w:rPr>
              <w:t>仓储区</w:t>
            </w:r>
            <w:r>
              <w:rPr>
                <w:rFonts w:hint="default" w:ascii="Times New Roman" w:hAnsi="Times New Roman" w:eastAsia="宋体" w:cs="Times New Roman"/>
                <w:color w:val="000000" w:themeColor="text1"/>
                <w:sz w:val="24"/>
                <w:szCs w:val="22"/>
                <w14:textFill>
                  <w14:solidFill>
                    <w14:schemeClr w14:val="tx1"/>
                  </w14:solidFill>
                </w14:textFill>
              </w:rPr>
              <w:t>及办公及生活区。办公生活区和生产区分隔开，生产区域位于</w:t>
            </w:r>
            <w:r>
              <w:rPr>
                <w:rFonts w:hint="default" w:ascii="Times New Roman" w:hAnsi="Times New Roman" w:eastAsia="宋体" w:cs="Times New Roman"/>
                <w:color w:val="000000" w:themeColor="text1"/>
                <w:sz w:val="24"/>
                <w:szCs w:val="22"/>
                <w:lang w:eastAsia="zh-CN"/>
                <w14:textFill>
                  <w14:solidFill>
                    <w14:schemeClr w14:val="tx1"/>
                  </w14:solidFill>
                </w14:textFill>
              </w:rPr>
              <w:t>中部</w:t>
            </w:r>
            <w:r>
              <w:rPr>
                <w:rFonts w:hint="default" w:ascii="Times New Roman" w:hAnsi="Times New Roman" w:eastAsia="宋体" w:cs="Times New Roman"/>
                <w:color w:val="000000" w:themeColor="text1"/>
                <w:sz w:val="24"/>
                <w:szCs w:val="22"/>
                <w14:textFill>
                  <w14:solidFill>
                    <w14:schemeClr w14:val="tx1"/>
                  </w14:solidFill>
                </w14:textFill>
              </w:rPr>
              <w:t>；</w:t>
            </w:r>
            <w:r>
              <w:rPr>
                <w:rFonts w:hint="default" w:ascii="Times New Roman" w:hAnsi="Times New Roman" w:eastAsia="宋体" w:cs="Times New Roman"/>
                <w:color w:val="000000" w:themeColor="text1"/>
                <w:sz w:val="24"/>
                <w:szCs w:val="22"/>
                <w:lang w:eastAsia="zh-CN"/>
                <w14:textFill>
                  <w14:solidFill>
                    <w14:schemeClr w14:val="tx1"/>
                  </w14:solidFill>
                </w14:textFill>
              </w:rPr>
              <w:t>仓储区</w:t>
            </w:r>
            <w:r>
              <w:rPr>
                <w:rFonts w:hint="default" w:ascii="Times New Roman" w:hAnsi="Times New Roman" w:eastAsia="宋体" w:cs="Times New Roman"/>
                <w:color w:val="000000" w:themeColor="text1"/>
                <w:sz w:val="24"/>
                <w:szCs w:val="22"/>
                <w14:textFill>
                  <w14:solidFill>
                    <w14:schemeClr w14:val="tx1"/>
                  </w14:solidFill>
                </w14:textFill>
              </w:rPr>
              <w:t>位于</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东北侧</w:t>
            </w:r>
            <w:r>
              <w:rPr>
                <w:rFonts w:hint="default" w:ascii="Times New Roman" w:hAnsi="Times New Roman" w:eastAsia="宋体" w:cs="Times New Roman"/>
                <w:color w:val="000000" w:themeColor="text1"/>
                <w:sz w:val="24"/>
                <w:szCs w:val="22"/>
                <w14:textFill>
                  <w14:solidFill>
                    <w14:schemeClr w14:val="tx1"/>
                  </w14:solidFill>
                </w14:textFill>
              </w:rPr>
              <w:t>。货运进出口设置在北部，人行进出口位于北侧，均连接场外道路。</w:t>
            </w:r>
          </w:p>
          <w:p>
            <w:pPr>
              <w:pStyle w:val="7"/>
              <w:spacing w:line="360" w:lineRule="auto"/>
              <w:rPr>
                <w:rFonts w:hint="default" w:ascii="Times New Roman" w:hAnsi="Times New Roman" w:eastAsia="宋体" w:cs="Times New Roman"/>
                <w:b/>
                <w:bCs/>
                <w:color w:val="000000" w:themeColor="text1"/>
                <w:sz w:val="24"/>
                <w:szCs w:val="22"/>
                <w:lang w:eastAsia="zh-CN"/>
                <w14:textFill>
                  <w14:solidFill>
                    <w14:schemeClr w14:val="tx1"/>
                  </w14:solidFill>
                </w14:textFill>
              </w:rPr>
            </w:pPr>
            <w:r>
              <w:rPr>
                <w:rFonts w:hint="default" w:ascii="Times New Roman" w:hAnsi="Times New Roman" w:eastAsia="宋体" w:cs="Times New Roman"/>
                <w:b/>
                <w:bCs/>
                <w:color w:val="000000" w:themeColor="text1"/>
                <w:sz w:val="24"/>
                <w:szCs w:val="22"/>
                <w:lang w:val="en-US" w:eastAsia="zh-CN"/>
                <w14:textFill>
                  <w14:solidFill>
                    <w14:schemeClr w14:val="tx1"/>
                  </w14:solidFill>
                </w14:textFill>
              </w:rPr>
              <w:t>2.9、</w:t>
            </w:r>
            <w:r>
              <w:rPr>
                <w:rFonts w:hint="default" w:ascii="Times New Roman" w:hAnsi="Times New Roman" w:eastAsia="宋体" w:cs="Times New Roman"/>
                <w:b/>
                <w:bCs/>
                <w:color w:val="000000" w:themeColor="text1"/>
                <w:sz w:val="24"/>
                <w:szCs w:val="22"/>
                <w:lang w:eastAsia="zh-CN"/>
                <w14:textFill>
                  <w14:solidFill>
                    <w14:schemeClr w14:val="tx1"/>
                  </w14:solidFill>
                </w14:textFill>
              </w:rPr>
              <w:t>项目水平衡</w:t>
            </w:r>
          </w:p>
          <w:p>
            <w:pPr>
              <w:pStyle w:val="7"/>
              <w:spacing w:line="36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32"/>
                <w:lang w:val="en-US" w:eastAsia="zh-CN"/>
                <w14:textFill>
                  <w14:solidFill>
                    <w14:schemeClr w14:val="tx1"/>
                  </w14:solidFill>
                </w14:textFill>
              </w:rPr>
              <w:t>生活废水：根据湖南省地方标准用水定额（DB43/T388-2020），生活用水定额按45L/d·人计算，排放系数取0.8，则生活用水量为0.675m³/d，生活污水排放量为0.54m³/d，即162t/a。</w:t>
            </w:r>
          </w:p>
          <w:p>
            <w:pPr>
              <w:pStyle w:val="7"/>
              <w:spacing w:line="360" w:lineRule="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废气治理废水：</w:t>
            </w:r>
            <w:r>
              <w:rPr>
                <w:rFonts w:hint="default" w:ascii="Times New Roman" w:hAnsi="Times New Roman" w:eastAsia="宋体" w:cs="Times New Roman"/>
                <w:color w:val="000000" w:themeColor="text1"/>
                <w:sz w:val="24"/>
                <w:szCs w:val="24"/>
                <w14:textFill>
                  <w14:solidFill>
                    <w14:schemeClr w14:val="tx1"/>
                  </w14:solidFill>
                </w14:textFill>
              </w:rPr>
              <w:t>项目全厂产生的氨气量为0.0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32</w:t>
            </w:r>
            <w:r>
              <w:rPr>
                <w:rFonts w:hint="default" w:ascii="Times New Roman" w:hAnsi="Times New Roman" w:eastAsia="宋体" w:cs="Times New Roman"/>
                <w:color w:val="000000" w:themeColor="text1"/>
                <w:sz w:val="24"/>
                <w:szCs w:val="24"/>
                <w14:textFill>
                  <w14:solidFill>
                    <w14:schemeClr w14:val="tx1"/>
                  </w14:solidFill>
                </w14:textFill>
              </w:rPr>
              <w:t>t/a，水吸收装置产生的废水量为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8.464t</w:t>
            </w:r>
            <w:r>
              <w:rPr>
                <w:rFonts w:hint="default" w:ascii="Times New Roman" w:hAnsi="Times New Roman" w:eastAsia="宋体" w:cs="Times New Roman"/>
                <w:color w:val="000000" w:themeColor="text1"/>
                <w:sz w:val="24"/>
                <w:szCs w:val="24"/>
                <w14:textFill>
                  <w14:solidFill>
                    <w14:schemeClr w14:val="tx1"/>
                  </w14:solidFill>
                </w14:textFill>
              </w:rPr>
              <w:t>/a，项目废气治理装置内水箱容积为4m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换水周期为3月/次</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2-8     </w:t>
            </w:r>
            <w:r>
              <w:rPr>
                <w:rFonts w:hint="default" w:ascii="Times New Roman" w:hAnsi="Times New Roman" w:eastAsia="宋体" w:cs="Times New Roman"/>
                <w:b/>
                <w:bCs/>
                <w:sz w:val="21"/>
                <w:szCs w:val="21"/>
              </w:rPr>
              <w:t>项目用水情况一览表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2461"/>
              <w:gridCol w:w="1396"/>
              <w:gridCol w:w="13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7"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项目</w:t>
                  </w:r>
                </w:p>
              </w:tc>
              <w:tc>
                <w:tcPr>
                  <w:tcW w:w="154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给水（m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a）</w:t>
                  </w:r>
                </w:p>
              </w:tc>
              <w:tc>
                <w:tcPr>
                  <w:tcW w:w="1755"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排水（m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rPr>
                  </w:pPr>
                </w:p>
              </w:tc>
              <w:tc>
                <w:tcPr>
                  <w:tcW w:w="154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新鲜水</w:t>
                  </w:r>
                </w:p>
              </w:tc>
              <w:tc>
                <w:tcPr>
                  <w:tcW w:w="8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损失水</w:t>
                  </w:r>
                </w:p>
              </w:tc>
              <w:tc>
                <w:tcPr>
                  <w:tcW w:w="8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排放水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6" w:hRule="atLeast"/>
                <w:jc w:val="center"/>
              </w:trPr>
              <w:tc>
                <w:tcPr>
                  <w:tcW w:w="169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生活</w:t>
                  </w:r>
                  <w:r>
                    <w:rPr>
                      <w:rFonts w:hint="default" w:ascii="Times New Roman" w:hAnsi="Times New Roman" w:eastAsia="宋体" w:cs="Times New Roman"/>
                      <w:b w:val="0"/>
                      <w:bCs w:val="0"/>
                      <w:sz w:val="21"/>
                      <w:szCs w:val="21"/>
                      <w:lang w:eastAsia="zh-CN"/>
                    </w:rPr>
                    <w:t>废水</w:t>
                  </w:r>
                </w:p>
              </w:tc>
              <w:tc>
                <w:tcPr>
                  <w:tcW w:w="154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202.5</w:t>
                  </w:r>
                </w:p>
              </w:tc>
              <w:tc>
                <w:tcPr>
                  <w:tcW w:w="8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34.5</w:t>
                  </w:r>
                </w:p>
              </w:tc>
              <w:tc>
                <w:tcPr>
                  <w:tcW w:w="8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69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废气治理废水</w:t>
                  </w:r>
                </w:p>
              </w:tc>
              <w:tc>
                <w:tcPr>
                  <w:tcW w:w="154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8.464</w:t>
                  </w:r>
                </w:p>
              </w:tc>
              <w:tc>
                <w:tcPr>
                  <w:tcW w:w="87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8.464（外售）</w:t>
                  </w:r>
                </w:p>
              </w:tc>
              <w:tc>
                <w:tcPr>
                  <w:tcW w:w="878"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697"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总计</w:t>
                  </w:r>
                </w:p>
              </w:tc>
              <w:tc>
                <w:tcPr>
                  <w:tcW w:w="1546"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210.964</w:t>
                  </w:r>
                </w:p>
              </w:tc>
              <w:tc>
                <w:tcPr>
                  <w:tcW w:w="1755"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210.964</w:t>
                  </w:r>
                </w:p>
              </w:tc>
            </w:tr>
          </w:tbl>
          <w:p>
            <w:pPr>
              <w:pStyle w:val="7"/>
              <w:spacing w:line="360" w:lineRule="auto"/>
              <w:ind w:left="0" w:leftChars="0" w:firstLine="0" w:firstLineChars="0"/>
              <w:jc w:val="both"/>
              <w:rPr>
                <w:rFonts w:hint="default" w:ascii="Times New Roman" w:hAnsi="Times New Roman" w:eastAsia="宋体" w:cs="Times New Roman"/>
                <w:color w:val="000000" w:themeColor="text1"/>
                <w:sz w:val="24"/>
                <w:szCs w:val="22"/>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lang w:val="en-US" w:eastAsia="zh-CN"/>
                <w14:textFill>
                  <w14:solidFill>
                    <w14:schemeClr w14:val="tx1"/>
                  </w14:solidFill>
                </w14:textFill>
              </w:rPr>
              <w:object>
                <v:shape id="_x0000_i1025" o:spt="75" type="#_x0000_t75" style="height:101.65pt;width:379.25pt;" o:ole="t" filled="f" o:preferrelative="t" stroked="f" coordsize="21600,21600">
                  <v:path/>
                  <v:fill on="f" focussize="0,0"/>
                  <v:stroke on="f"/>
                  <v:imagedata r:id="rId14" o:title=""/>
                  <o:lock v:ext="edit" aspectratio="f"/>
                  <w10:wrap type="none"/>
                  <w10:anchorlock/>
                </v:shape>
                <o:OLEObject Type="Embed" ProgID="Visio.Drawing.11" ShapeID="_x0000_i1025" DrawAspect="Content" ObjectID="_1468075725" r:id="rId13">
                  <o:LockedField>false</o:LockedField>
                </o:OLEObject>
              </w:object>
            </w:r>
          </w:p>
          <w:p>
            <w:pPr>
              <w:pStyle w:val="7"/>
              <w:spacing w:line="360" w:lineRule="auto"/>
              <w:jc w:val="center"/>
              <w:rPr>
                <w:rFonts w:hint="default"/>
                <w:sz w:val="24"/>
                <w:szCs w:val="24"/>
                <w:lang w:val="en-US" w:eastAsia="zh-CN"/>
              </w:rPr>
            </w:pPr>
            <w:r>
              <w:rPr>
                <w:rFonts w:hint="default" w:ascii="Times New Roman" w:hAnsi="Times New Roman" w:eastAsia="宋体" w:cs="Times New Roman"/>
                <w:b/>
                <w:bCs/>
                <w:color w:val="000000" w:themeColor="text1"/>
                <w:sz w:val="21"/>
                <w:szCs w:val="20"/>
                <w:lang w:val="en-US" w:eastAsia="zh-CN"/>
                <w14:textFill>
                  <w14:solidFill>
                    <w14:schemeClr w14:val="tx1"/>
                  </w14:solidFill>
                </w14:textFill>
              </w:rPr>
              <w:t>图2-1  项目水平衡图   单位m</w:t>
            </w:r>
            <w:r>
              <w:rPr>
                <w:rFonts w:hint="default" w:ascii="Times New Roman" w:hAnsi="Times New Roman" w:eastAsia="宋体" w:cs="Times New Roman"/>
                <w:b/>
                <w:bCs/>
                <w:color w:val="000000" w:themeColor="text1"/>
                <w:sz w:val="21"/>
                <w:szCs w:val="20"/>
                <w:vertAlign w:val="superscript"/>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0"/>
                <w:lang w:val="en-US" w:eastAsia="zh-CN"/>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pPr>
              <w:pStyle w:val="22"/>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sz w:val="24"/>
                <w:szCs w:val="24"/>
              </w:rPr>
              <w:t>工艺流程和产排污环节</w:t>
            </w:r>
          </w:p>
        </w:tc>
        <w:tc>
          <w:tcPr>
            <w:tcW w:w="8161" w:type="dxa"/>
            <w:noWrap w:val="0"/>
            <w:vAlign w:val="top"/>
          </w:tcPr>
          <w:p>
            <w:pPr>
              <w:pStyle w:val="10"/>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工艺流程简述：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1、施工期</w:t>
            </w:r>
          </w:p>
          <w:p>
            <w:pPr>
              <w:pStyle w:val="12"/>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eastAsia" w:eastAsia="宋体"/>
                <w:lang w:eastAsia="zh-CN"/>
              </w:rPr>
            </w:pPr>
            <w:r>
              <w:rPr>
                <w:rFonts w:hint="eastAsia" w:cs="Times New Roman"/>
                <w:sz w:val="24"/>
                <w:szCs w:val="24"/>
                <w:lang w:eastAsia="zh-CN"/>
              </w:rPr>
              <w:t>项目施工期工艺流程图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object>
                <v:shape id="_x0000_i1026" o:spt="75" type="#_x0000_t75" style="height:93pt;width:317.25pt;" o:ole="t" filled="f" o:preferrelative="t" stroked="f" coordsize="21600,21600">
                  <v:path/>
                  <v:fill on="f" focussize="0,0"/>
                  <v:stroke on="f"/>
                  <v:imagedata r:id="rId16" o:title=""/>
                  <o:lock v:ext="edit" aspectratio="f"/>
                  <w10:wrap type="none"/>
                  <w10:anchorlock/>
                </v:shape>
                <o:OLEObject Type="Embed" ProgID="Visio.Drawing.11" ShapeID="_x0000_i1026" DrawAspect="Content" ObjectID="_1468075726" r:id="rId15">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default" w:cs="Times New Roman"/>
                <w:b/>
                <w:bCs/>
                <w:sz w:val="24"/>
                <w:szCs w:val="24"/>
                <w:lang w:val="en-US" w:eastAsia="zh-CN"/>
              </w:rPr>
            </w:pPr>
            <w:r>
              <w:rPr>
                <w:rFonts w:hint="eastAsia" w:cs="Times New Roman"/>
                <w:b/>
                <w:bCs/>
                <w:sz w:val="24"/>
                <w:szCs w:val="24"/>
                <w:lang w:eastAsia="zh-CN"/>
              </w:rPr>
              <w:t>图</w:t>
            </w:r>
            <w:r>
              <w:rPr>
                <w:rFonts w:hint="eastAsia" w:cs="Times New Roman"/>
                <w:b/>
                <w:bCs/>
                <w:sz w:val="24"/>
                <w:szCs w:val="24"/>
                <w:lang w:val="en-US" w:eastAsia="zh-CN"/>
              </w:rPr>
              <w:t>2-1  施工期工艺流程图</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cs="Times New Roman"/>
                <w:sz w:val="24"/>
                <w:szCs w:val="24"/>
                <w:lang w:eastAsia="zh-CN"/>
              </w:rPr>
            </w:pPr>
            <w:r>
              <w:rPr>
                <w:rFonts w:hint="eastAsia" w:cs="Times New Roman"/>
                <w:sz w:val="24"/>
                <w:szCs w:val="24"/>
                <w:lang w:eastAsia="zh-CN"/>
              </w:rPr>
              <w:t>（</w:t>
            </w:r>
            <w:r>
              <w:rPr>
                <w:rFonts w:hint="eastAsia" w:cs="Times New Roman"/>
                <w:sz w:val="24"/>
                <w:szCs w:val="24"/>
                <w:lang w:val="en-US" w:eastAsia="zh-CN"/>
              </w:rPr>
              <w:t>1</w:t>
            </w:r>
            <w:r>
              <w:rPr>
                <w:rFonts w:hint="eastAsia" w:cs="Times New Roman"/>
                <w:sz w:val="24"/>
                <w:szCs w:val="24"/>
                <w:lang w:eastAsia="zh-CN"/>
              </w:rPr>
              <w:t>）厂房整理：对租用的闲置厂房进行地面清扫整理，厂房装修。</w:t>
            </w:r>
          </w:p>
          <w:p>
            <w:pPr>
              <w:pStyle w:val="12"/>
              <w:keepNext w:val="0"/>
              <w:keepLines w:val="0"/>
              <w:pageBreakBefore w:val="0"/>
              <w:kinsoku/>
              <w:wordWrap/>
              <w:overflowPunct/>
              <w:topLinePunct w:val="0"/>
              <w:autoSpaceDE/>
              <w:autoSpaceDN/>
              <w:bidi w:val="0"/>
              <w:adjustRightInd/>
              <w:snapToGrid/>
              <w:spacing w:before="0" w:after="0" w:line="360" w:lineRule="auto"/>
              <w:ind w:right="0" w:firstLine="480" w:firstLineChars="200"/>
              <w:textAlignment w:val="auto"/>
              <w:rPr>
                <w:rFonts w:hint="eastAsia" w:cs="Times New Roman"/>
                <w:sz w:val="24"/>
                <w:szCs w:val="24"/>
                <w:lang w:eastAsia="zh-CN"/>
              </w:rPr>
            </w:pPr>
            <w:r>
              <w:rPr>
                <w:rFonts w:hint="eastAsia" w:cs="Times New Roman"/>
                <w:sz w:val="24"/>
                <w:szCs w:val="24"/>
                <w:lang w:eastAsia="zh-CN"/>
              </w:rPr>
              <w:t>（</w:t>
            </w:r>
            <w:r>
              <w:rPr>
                <w:rFonts w:hint="eastAsia" w:cs="Times New Roman"/>
                <w:sz w:val="24"/>
                <w:szCs w:val="24"/>
                <w:lang w:val="en-US" w:eastAsia="zh-CN"/>
              </w:rPr>
              <w:t>2</w:t>
            </w:r>
            <w:r>
              <w:rPr>
                <w:rFonts w:hint="eastAsia" w:cs="Times New Roman"/>
                <w:sz w:val="24"/>
                <w:szCs w:val="24"/>
                <w:lang w:eastAsia="zh-CN"/>
              </w:rPr>
              <w:t>）设备安装：将外购的仪器设备搬进厂房安装；</w:t>
            </w:r>
          </w:p>
          <w:p>
            <w:pPr>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default"/>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）验收：对安装好的生产设备进行验收。</w:t>
            </w:r>
          </w:p>
          <w:p>
            <w:pPr>
              <w:pStyle w:val="15"/>
              <w:tabs>
                <w:tab w:val="left" w:pos="2395"/>
              </w:tabs>
              <w:spacing w:after="0" w:line="360" w:lineRule="auto"/>
              <w:ind w:left="0" w:leftChars="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产污节点分析</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hint="eastAsia" w:cs="Times New Roman"/>
                <w:color w:val="auto"/>
                <w:sz w:val="24"/>
                <w:szCs w:val="24"/>
                <w:lang w:eastAsia="zh-CN"/>
              </w:rPr>
              <w:t>废气：主要为装修过程中挥发的有机物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噪声：主要为</w:t>
            </w:r>
            <w:r>
              <w:rPr>
                <w:rFonts w:hint="eastAsia" w:eastAsia="宋体" w:cs="Times New Roman"/>
                <w:color w:val="auto"/>
                <w:sz w:val="24"/>
                <w:szCs w:val="24"/>
                <w:lang w:eastAsia="zh-CN"/>
              </w:rPr>
              <w:t>安装</w:t>
            </w:r>
            <w:r>
              <w:rPr>
                <w:rFonts w:hint="default" w:ascii="Times New Roman" w:hAnsi="Times New Roman" w:eastAsia="宋体" w:cs="Times New Roman"/>
                <w:color w:val="auto"/>
                <w:sz w:val="24"/>
                <w:szCs w:val="24"/>
              </w:rPr>
              <w:t>设备</w:t>
            </w:r>
            <w:r>
              <w:rPr>
                <w:rFonts w:hint="eastAsia" w:eastAsia="宋体" w:cs="Times New Roman"/>
                <w:color w:val="auto"/>
                <w:sz w:val="24"/>
                <w:szCs w:val="24"/>
                <w:lang w:eastAsia="zh-CN"/>
              </w:rPr>
              <w:t>产生的</w:t>
            </w:r>
            <w:r>
              <w:rPr>
                <w:rFonts w:hint="default" w:ascii="Times New Roman" w:hAnsi="Times New Roman" w:eastAsia="宋体" w:cs="Times New Roman"/>
                <w:color w:val="auto"/>
                <w:sz w:val="24"/>
                <w:szCs w:val="24"/>
              </w:rPr>
              <w:t>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eastAsia="宋体" w:cs="Times New Roman"/>
                <w:b w:val="0"/>
                <w:bCs/>
                <w:color w:val="auto"/>
                <w:sz w:val="24"/>
                <w:szCs w:val="24"/>
              </w:rPr>
              <w:t>固废：</w:t>
            </w:r>
            <w:r>
              <w:rPr>
                <w:rFonts w:hint="default" w:ascii="Times New Roman" w:hAnsi="Times New Roman" w:eastAsia="宋体" w:cs="Times New Roman"/>
                <w:b w:val="0"/>
                <w:bCs/>
                <w:color w:val="auto"/>
                <w:sz w:val="24"/>
                <w:szCs w:val="24"/>
                <w:lang w:eastAsia="zh-CN"/>
              </w:rPr>
              <w:t>主要为</w:t>
            </w:r>
            <w:r>
              <w:rPr>
                <w:rFonts w:hint="eastAsia" w:eastAsia="宋体" w:cs="Times New Roman"/>
                <w:b w:val="0"/>
                <w:bCs/>
                <w:color w:val="auto"/>
                <w:sz w:val="24"/>
                <w:szCs w:val="24"/>
                <w:lang w:eastAsia="zh-CN"/>
              </w:rPr>
              <w:t>地面清扫产生的垃圾。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2、营运期</w:t>
            </w:r>
          </w:p>
          <w:p>
            <w:pPr>
              <w:pStyle w:val="7"/>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项目营运期工艺流程见下图</w:t>
            </w:r>
          </w:p>
          <w:p>
            <w:pPr>
              <w:pStyle w:val="7"/>
              <w:jc w:val="center"/>
              <w:rPr>
                <w:rFonts w:hint="default" w:ascii="Times New Roman" w:hAnsi="Times New Roman" w:cs="Times New Roman"/>
                <w:sz w:val="24"/>
                <w:szCs w:val="24"/>
              </w:rPr>
            </w:pPr>
            <w:r>
              <w:rPr>
                <w:rFonts w:hint="default" w:ascii="Times New Roman" w:hAnsi="Times New Roman" w:eastAsia="宋体" w:cs="Times New Roman"/>
                <w:bCs/>
                <w:color w:val="000000" w:themeColor="text1"/>
                <w:szCs w:val="21"/>
                <w14:textFill>
                  <w14:solidFill>
                    <w14:schemeClr w14:val="tx1"/>
                  </w14:solidFill>
                </w14:textFill>
              </w:rPr>
              <w:object>
                <v:shape id="_x0000_i1027" o:spt="75" type="#_x0000_t75" style="height:327pt;width:319pt;" o:ole="t" filled="f" o:preferrelative="t" stroked="f" coordsize="21600,21600">
                  <v:path/>
                  <v:fill on="f" focussize="0,0"/>
                  <v:stroke on="f"/>
                  <v:imagedata r:id="rId18" o:title=""/>
                  <o:lock v:ext="edit" aspectratio="f"/>
                  <w10:wrap type="none"/>
                  <w10:anchorlock/>
                </v:shape>
                <o:OLEObject Type="Embed" ProgID="Visio.Drawing.11" ShapeID="_x0000_i1027" DrawAspect="Content" ObjectID="_1468075727" r:id="rId17">
                  <o:LockedField>false</o:LockedField>
                </o:OLEObject>
              </w:object>
            </w:r>
          </w:p>
          <w:p>
            <w:pPr>
              <w:pStyle w:val="7"/>
              <w:ind w:left="0" w:leftChars="0" w:firstLine="0" w:firstLineChars="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eastAsia="zh-CN"/>
              </w:rPr>
              <w:t>图</w:t>
            </w:r>
            <w:r>
              <w:rPr>
                <w:rFonts w:hint="eastAsia" w:ascii="Times New Roman" w:cs="Times New Roman"/>
                <w:b/>
                <w:bCs/>
                <w:sz w:val="21"/>
                <w:szCs w:val="21"/>
                <w:lang w:val="en-US" w:eastAsia="zh-CN"/>
              </w:rPr>
              <w:t>2</w:t>
            </w:r>
            <w:r>
              <w:rPr>
                <w:rFonts w:hint="default" w:ascii="Times New Roman" w:hAnsi="Times New Roman" w:cs="Times New Roman"/>
                <w:b/>
                <w:bCs/>
                <w:sz w:val="21"/>
                <w:szCs w:val="21"/>
                <w:lang w:val="en-US" w:eastAsia="zh-CN"/>
              </w:rPr>
              <w:t>-</w:t>
            </w:r>
            <w:r>
              <w:rPr>
                <w:rFonts w:hint="eastAsia" w:ascii="Times New Roman" w:cs="Times New Roman"/>
                <w:b/>
                <w:bCs/>
                <w:sz w:val="21"/>
                <w:szCs w:val="21"/>
                <w:lang w:val="en-US" w:eastAsia="zh-CN"/>
              </w:rPr>
              <w:t>2</w:t>
            </w:r>
            <w:r>
              <w:rPr>
                <w:rFonts w:hint="default" w:ascii="Times New Roman" w:hAnsi="Times New Roman" w:cs="Times New Roman"/>
                <w:b/>
                <w:bCs/>
                <w:sz w:val="21"/>
                <w:szCs w:val="21"/>
                <w:lang w:val="en-US" w:eastAsia="zh-CN"/>
              </w:rPr>
              <w:t xml:space="preserve">  多元素颗粒氮肥工艺流程图</w:t>
            </w:r>
          </w:p>
          <w:p>
            <w:pPr>
              <w:pStyle w:val="7"/>
              <w:spacing w:line="360" w:lineRule="auto"/>
              <w:ind w:left="0" w:leftChars="0" w:firstLine="0" w:firstLineChars="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主要生产工艺介绍如下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）搅拌：</w:t>
            </w:r>
            <w:r>
              <w:rPr>
                <w:rFonts w:hint="eastAsia" w:cs="Times New Roman"/>
                <w:color w:val="000000" w:themeColor="text1"/>
                <w:sz w:val="24"/>
                <w:szCs w:val="24"/>
                <w:lang w:eastAsia="zh-CN"/>
                <w14:textFill>
                  <w14:solidFill>
                    <w14:schemeClr w14:val="tx1"/>
                  </w14:solidFill>
                </w14:textFill>
              </w:rPr>
              <w:t>将</w:t>
            </w:r>
            <w:r>
              <w:rPr>
                <w:rFonts w:hint="default" w:ascii="Times New Roman" w:hAnsi="Times New Roman" w:eastAsia="宋体" w:cs="Times New Roman"/>
                <w:color w:val="000000" w:themeColor="text1"/>
                <w:sz w:val="24"/>
                <w:szCs w:val="24"/>
                <w:lang w:eastAsia="zh-CN"/>
                <w14:textFill>
                  <w14:solidFill>
                    <w14:schemeClr w14:val="tx1"/>
                  </w14:solidFill>
                </w14:textFill>
              </w:rPr>
              <w:t>氯化铵</w:t>
            </w:r>
            <w:r>
              <w:rPr>
                <w:rFonts w:hint="eastAsia" w:cs="Times New Roman"/>
                <w:color w:val="000000" w:themeColor="text1"/>
                <w:sz w:val="24"/>
                <w:szCs w:val="24"/>
                <w:lang w:eastAsia="zh-CN"/>
                <w14:textFill>
                  <w14:solidFill>
                    <w14:schemeClr w14:val="tx1"/>
                  </w14:solidFill>
                </w14:textFill>
              </w:rPr>
              <w:t>、硼肥、锌肥按照一定比例</w:t>
            </w:r>
            <w:r>
              <w:rPr>
                <w:rFonts w:hint="default" w:ascii="Times New Roman" w:hAnsi="Times New Roman" w:eastAsia="宋体" w:cs="Times New Roman"/>
                <w:color w:val="000000" w:themeColor="text1"/>
                <w:sz w:val="24"/>
                <w:szCs w:val="24"/>
                <w:lang w:eastAsia="zh-CN"/>
                <w14:textFill>
                  <w14:solidFill>
                    <w14:schemeClr w14:val="tx1"/>
                  </w14:solidFill>
                </w14:textFill>
              </w:rPr>
              <w:t>搅拌均匀，此处将粘连的</w:t>
            </w:r>
            <w:r>
              <w:rPr>
                <w:rFonts w:hint="eastAsia" w:cs="Times New Roman"/>
                <w:color w:val="000000" w:themeColor="text1"/>
                <w:sz w:val="24"/>
                <w:szCs w:val="24"/>
                <w:lang w:eastAsia="zh-CN"/>
                <w14:textFill>
                  <w14:solidFill>
                    <w14:schemeClr w14:val="tx1"/>
                  </w14:solidFill>
                </w14:textFill>
              </w:rPr>
              <w:t>晶</w:t>
            </w:r>
            <w:r>
              <w:rPr>
                <w:rFonts w:hint="default" w:ascii="Times New Roman" w:hAnsi="Times New Roman" w:eastAsia="宋体" w:cs="Times New Roman"/>
                <w:color w:val="000000" w:themeColor="text1"/>
                <w:sz w:val="24"/>
                <w:szCs w:val="24"/>
                <w:lang w:eastAsia="zh-CN"/>
                <w14:textFill>
                  <w14:solidFill>
                    <w14:schemeClr w14:val="tx1"/>
                  </w14:solidFill>
                </w14:textFill>
              </w:rPr>
              <w:t>体块打散搅匀便于挤压造粒，搅拌过程中会产生少量粉尘和氯化铵晶体分解产生的挥发性氨气、氯化氢气体。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eastAsia="zh-CN"/>
                <w14:textFill>
                  <w14:solidFill>
                    <w14:schemeClr w14:val="tx1"/>
                  </w14:solidFill>
                </w14:textFill>
              </w:rPr>
              <w:t>）密闭输送：搅拌均匀的</w:t>
            </w:r>
            <w:r>
              <w:rPr>
                <w:rFonts w:hint="eastAsia" w:cs="Times New Roman"/>
                <w:color w:val="000000" w:themeColor="text1"/>
                <w:sz w:val="24"/>
                <w:szCs w:val="24"/>
                <w:lang w:eastAsia="zh-CN"/>
                <w14:textFill>
                  <w14:solidFill>
                    <w14:schemeClr w14:val="tx1"/>
                  </w14:solidFill>
                </w14:textFill>
              </w:rPr>
              <w:t>原辅料</w:t>
            </w:r>
            <w:r>
              <w:rPr>
                <w:rFonts w:hint="default" w:ascii="Times New Roman" w:hAnsi="Times New Roman" w:eastAsia="宋体" w:cs="Times New Roman"/>
                <w:color w:val="000000" w:themeColor="text1"/>
                <w:sz w:val="24"/>
                <w:szCs w:val="24"/>
                <w:lang w:eastAsia="zh-CN"/>
                <w14:textFill>
                  <w14:solidFill>
                    <w14:schemeClr w14:val="tx1"/>
                  </w14:solidFill>
                </w14:textFill>
              </w:rPr>
              <w:t>经密闭输送带送至挤压造粒机中，输送过程全密闭结构，无废气产生。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）挤压造粒：项目使用的挤压造粒机采用物理方式进行造粒，挤压造粒过程中产生的污染物为氯化铵晶体分解产生的挥发性氨气、氯化氢气体。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eastAsia="zh-CN"/>
                <w14:textFill>
                  <w14:solidFill>
                    <w14:schemeClr w14:val="tx1"/>
                  </w14:solidFill>
                </w14:textFill>
              </w:rPr>
              <w:t>）筛分：对造粒成型的氯化铵颗粒进行筛分，大颗粒进入破碎工序，合格的氯化铵颗粒可进行包装。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eastAsia="zh-CN"/>
                <w14:textFill>
                  <w14:solidFill>
                    <w14:schemeClr w14:val="tx1"/>
                  </w14:solidFill>
                </w14:textFill>
              </w:rPr>
              <w:t>）破碎：筛分出来的大颗粒氯化铵颗粒进入破碎机进行破碎，将大块儿颗粒破碎成小颗粒，重新回到筛分工序，如此反复直至大颗粒破碎为合格粒径的小颗粒，破碎过程中会产生少量的氯化铵粉尘和氯化铵晶体分解产生的挥发性氨气、氯化氢气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eastAsia="zh-CN"/>
                <w14:textFill>
                  <w14:solidFill>
                    <w14:schemeClr w14:val="tx1"/>
                  </w14:solidFill>
                </w14:textFill>
              </w:rPr>
              <w:t>）包装入库：筛分出料口直接接入灌装设备，将筛分合格的氯化铵颗粒装袋待售，产品包装袋内含塑料膜，堆存时无废气产生。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eastAsia="zh-CN"/>
                <w14:textFill>
                  <w14:solidFill>
                    <w14:schemeClr w14:val="tx1"/>
                  </w14:solidFill>
                </w14:textFill>
              </w:rPr>
              <w:t>）机械噪声：项目生产过程中各设备运作均会产生机械噪声。</w:t>
            </w:r>
          </w:p>
          <w:p>
            <w:pPr>
              <w:pStyle w:val="15"/>
              <w:tabs>
                <w:tab w:val="left" w:pos="2395"/>
              </w:tabs>
              <w:spacing w:after="0" w:line="360" w:lineRule="auto"/>
              <w:ind w:left="0" w:leftChars="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产污节点分析</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废气：主要为</w:t>
            </w:r>
            <w:r>
              <w:rPr>
                <w:rFonts w:hint="eastAsia" w:cs="Times New Roman"/>
                <w:color w:val="auto"/>
                <w:sz w:val="24"/>
                <w:szCs w:val="24"/>
                <w:lang w:eastAsia="zh-CN"/>
              </w:rPr>
              <w:t>颗粒物</w:t>
            </w:r>
            <w:r>
              <w:rPr>
                <w:rFonts w:hint="default" w:ascii="Times New Roman" w:hAnsi="Times New Roman"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废水：主要为</w:t>
            </w:r>
            <w:r>
              <w:rPr>
                <w:rFonts w:hint="default" w:ascii="Times New Roman" w:hAnsi="Times New Roman" w:eastAsia="宋体" w:cs="Times New Roman"/>
                <w:color w:val="auto"/>
                <w:sz w:val="24"/>
                <w:szCs w:val="24"/>
                <w:lang w:val="en-US" w:eastAsia="zh-CN"/>
              </w:rPr>
              <w:t>生活废水</w:t>
            </w:r>
            <w:r>
              <w:rPr>
                <w:rFonts w:hint="default" w:ascii="Times New Roman" w:hAnsi="Times New Roman" w:eastAsia="宋体" w:cs="Times New Roman"/>
                <w:color w:val="auto"/>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噪声：主要为生产设备噪声；</w:t>
            </w:r>
          </w:p>
          <w:p>
            <w:pPr>
              <w:pStyle w:val="2"/>
              <w:keepNext w:val="0"/>
              <w:keepLines w:val="0"/>
              <w:pageBreakBefore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b w:val="0"/>
                <w:bCs/>
                <w:color w:val="auto"/>
                <w:sz w:val="24"/>
                <w:szCs w:val="24"/>
              </w:rPr>
              <w:t>固废：</w:t>
            </w:r>
            <w:r>
              <w:rPr>
                <w:rFonts w:hint="default" w:ascii="Times New Roman" w:hAnsi="Times New Roman" w:eastAsia="宋体" w:cs="Times New Roman"/>
                <w:b w:val="0"/>
                <w:bCs/>
                <w:color w:val="auto"/>
                <w:sz w:val="24"/>
                <w:szCs w:val="24"/>
                <w:lang w:eastAsia="zh-CN"/>
              </w:rPr>
              <w:t>主要为废包装材料以及</w:t>
            </w:r>
            <w:r>
              <w:rPr>
                <w:rFonts w:hint="default" w:ascii="Times New Roman" w:hAnsi="Times New Roman" w:eastAsia="宋体" w:cs="Times New Roman"/>
                <w:b w:val="0"/>
                <w:bCs/>
                <w:color w:val="auto"/>
                <w:sz w:val="24"/>
                <w:szCs w:val="24"/>
              </w:rPr>
              <w:t>生活垃圾。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23" w:type="dxa"/>
            <w:noWrap w:val="0"/>
            <w:vAlign w:val="center"/>
          </w:tcPr>
          <w:p>
            <w:pPr>
              <w:pStyle w:val="22"/>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bCs/>
                <w:kern w:val="2"/>
                <w:sz w:val="24"/>
                <w:szCs w:val="24"/>
              </w:rPr>
              <w:t>与项目有关的原有环境污染问题</w:t>
            </w:r>
          </w:p>
        </w:tc>
        <w:tc>
          <w:tcPr>
            <w:tcW w:w="8161"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w:t>
            </w:r>
            <w:r>
              <w:rPr>
                <w:rFonts w:hint="default" w:ascii="Times New Roman" w:hAnsi="Times New Roman" w:cs="Times New Roman"/>
                <w:sz w:val="24"/>
                <w:szCs w:val="24"/>
                <w:lang w:val="en-US" w:eastAsia="zh-CN"/>
              </w:rPr>
              <w:t>租用现有闲置厂房</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属于新建项目，该厂房</w:t>
            </w:r>
            <w:r>
              <w:rPr>
                <w:rFonts w:hint="default" w:ascii="Times New Roman" w:hAnsi="Times New Roman" w:cs="Times New Roman"/>
                <w:sz w:val="24"/>
                <w:szCs w:val="24"/>
              </w:rPr>
              <w:t>无原有污染情况及其他环境问题。</w:t>
            </w:r>
          </w:p>
          <w:p>
            <w:pPr>
              <w:adjustRightInd w:val="0"/>
              <w:snapToGrid w:val="0"/>
              <w:rPr>
                <w:rFonts w:hint="default" w:ascii="Times New Roman" w:hAnsi="Times New Roman" w:cs="Times New Roman"/>
                <w:sz w:val="24"/>
                <w:szCs w:val="24"/>
              </w:rPr>
            </w:pPr>
          </w:p>
          <w:p>
            <w:pPr>
              <w:pStyle w:val="12"/>
              <w:rPr>
                <w:rFonts w:hint="default"/>
              </w:rPr>
            </w:pPr>
          </w:p>
          <w:p>
            <w:pPr>
              <w:bidi w:val="0"/>
              <w:rPr>
                <w:rFonts w:hint="default"/>
              </w:rPr>
            </w:pPr>
          </w:p>
          <w:p>
            <w:pPr>
              <w:pStyle w:val="2"/>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bidi w:val="0"/>
              <w:rPr>
                <w:rFonts w:hint="default"/>
              </w:rPr>
            </w:pPr>
          </w:p>
          <w:p>
            <w:pPr>
              <w:bidi w:val="0"/>
              <w:rPr>
                <w:rFonts w:hint="default"/>
              </w:rPr>
            </w:pPr>
          </w:p>
          <w:p>
            <w:pPr>
              <w:bidi w:val="0"/>
              <w:rPr>
                <w:rFonts w:hint="default"/>
              </w:rPr>
            </w:pPr>
          </w:p>
          <w:p>
            <w:pPr>
              <w:pStyle w:val="12"/>
              <w:rPr>
                <w:rFonts w:hint="default"/>
              </w:rPr>
            </w:pPr>
          </w:p>
          <w:p>
            <w:pPr>
              <w:pStyle w:val="12"/>
              <w:rPr>
                <w:rFonts w:hint="default"/>
              </w:rPr>
            </w:pPr>
          </w:p>
          <w:p>
            <w:pPr>
              <w:pStyle w:val="12"/>
              <w:rPr>
                <w:rFonts w:hint="default"/>
              </w:rPr>
            </w:pPr>
          </w:p>
          <w:p>
            <w:pPr>
              <w:pStyle w:val="7"/>
              <w:ind w:left="0" w:leftChars="0" w:firstLine="0" w:firstLineChars="0"/>
              <w:rPr>
                <w:rFonts w:hint="default" w:ascii="Times New Roman" w:hAnsi="Times New Roman" w:cs="Times New Roman"/>
                <w:bCs/>
                <w:sz w:val="24"/>
                <w:szCs w:val="24"/>
              </w:rPr>
            </w:pPr>
          </w:p>
        </w:tc>
      </w:tr>
    </w:tbl>
    <w:p>
      <w:pPr>
        <w:pStyle w:val="22"/>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adjustRightInd w:val="0"/>
        <w:snapToGrid w:val="0"/>
        <w:spacing w:before="0" w:beforeAutospacing="0" w:after="0" w:afterAutospacing="0" w:line="14" w:lineRule="auto"/>
        <w:jc w:val="center"/>
        <w:outlineLvl w:val="0"/>
        <w:rPr>
          <w:rFonts w:hint="eastAsia" w:ascii="黑体" w:hAnsi="黑体" w:eastAsia="黑体"/>
          <w:snapToGrid w:val="0"/>
          <w:sz w:val="30"/>
          <w:szCs w:val="30"/>
        </w:rPr>
      </w:pPr>
    </w:p>
    <w:p>
      <w:pPr>
        <w:pStyle w:val="22"/>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区域</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质量</w:t>
            </w:r>
          </w:p>
          <w:p>
            <w:pPr>
              <w:adjustRightInd w:val="0"/>
              <w:snapToGrid w:val="0"/>
              <w:jc w:val="center"/>
              <w:rPr>
                <w:rFonts w:ascii="宋体" w:hAnsi="宋体" w:cs="宋体"/>
                <w:kern w:val="0"/>
                <w:szCs w:val="21"/>
              </w:rPr>
            </w:pPr>
            <w:r>
              <w:rPr>
                <w:rFonts w:hint="eastAsia" w:ascii="宋体" w:hAnsi="宋体" w:cs="宋体"/>
                <w:kern w:val="0"/>
                <w:sz w:val="24"/>
                <w:szCs w:val="24"/>
              </w:rPr>
              <w:t>现状</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t>区域环境质量现状：</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t>1、大气</w:t>
            </w:r>
            <w:r>
              <w:rPr>
                <w:rFonts w:hint="default" w:ascii="Times New Roman" w:hAnsi="Times New Roman" w:eastAsia="宋体" w:cs="Times New Roman"/>
                <w:b/>
                <w:bCs/>
                <w:color w:val="000000" w:themeColor="text1"/>
                <w:sz w:val="24"/>
                <w:szCs w:val="32"/>
                <w14:textFill>
                  <w14:solidFill>
                    <w14:schemeClr w14:val="tx1"/>
                  </w14:solidFill>
                </w14:textFill>
              </w:rPr>
              <w:t>环境</w:t>
            </w:r>
          </w:p>
          <w:p>
            <w:pPr>
              <w:pStyle w:val="11"/>
              <w:spacing w:line="360" w:lineRule="auto"/>
              <w:ind w:firstLine="482" w:firstLineChars="200"/>
              <w:jc w:val="both"/>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b/>
                <w:bCs/>
                <w:color w:val="000000" w:themeColor="text1"/>
                <w:lang w:eastAsia="zh-CN"/>
                <w14:textFill>
                  <w14:solidFill>
                    <w14:schemeClr w14:val="tx1"/>
                  </w14:solidFill>
                </w14:textFill>
              </w:rPr>
              <w:t>基本污染物</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根据《环境影响评价技术导则 大气环境》（HJ2.2-2018）中要求，项目所在区域达标判定，优先采用国家或地方生态环境主管部门公开发布的评价基准年环境质量公告或环境质量报告中的数据或结论。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u w:val="single"/>
                <w14:textFill>
                  <w14:solidFill>
                    <w14:schemeClr w14:val="tx1"/>
                  </w14:solidFill>
                </w14:textFill>
              </w:rPr>
            </w:pPr>
            <w:r>
              <w:rPr>
                <w:rFonts w:hint="default" w:ascii="Times New Roman" w:hAnsi="Times New Roman" w:eastAsia="宋体" w:cs="Times New Roman"/>
                <w:color w:val="000000" w:themeColor="text1"/>
                <w:sz w:val="24"/>
                <w:u w:val="single"/>
                <w14:textFill>
                  <w14:solidFill>
                    <w14:schemeClr w14:val="tx1"/>
                  </w14:solidFill>
                </w14:textFill>
              </w:rPr>
              <w:t>本项目筛选的评价基准年为2020年。由于本项目评价范围内没有环境空气质量监测网数据，故区域达标判定所用数据引用2020年岳阳市华容县环境监测站点的基本污染物环境质量现状数据。具体达标判定监测数据及评价结果见下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000000" w:themeColor="text1"/>
                <w:sz w:val="21"/>
                <w:szCs w:val="21"/>
                <w:u w:val="single"/>
                <w:vertAlign w:val="superscript"/>
                <w14:textFill>
                  <w14:solidFill>
                    <w14:schemeClr w14:val="tx1"/>
                  </w14:solidFill>
                </w14:textFill>
              </w:rPr>
            </w:pPr>
            <w:r>
              <w:rPr>
                <w:rFonts w:hint="default" w:ascii="Times New Roman" w:hAnsi="Times New Roman" w:eastAsia="宋体" w:cs="Times New Roman"/>
                <w:b/>
                <w:color w:val="000000" w:themeColor="text1"/>
                <w:sz w:val="21"/>
                <w:szCs w:val="21"/>
                <w:u w:val="single"/>
                <w14:textFill>
                  <w14:solidFill>
                    <w14:schemeClr w14:val="tx1"/>
                  </w14:solidFill>
                </w14:textFill>
              </w:rPr>
              <w:t>表3-1  本项目区域环境空气质量现状评价表  单位：μg/m</w:t>
            </w:r>
            <w:r>
              <w:rPr>
                <w:rFonts w:hint="default" w:ascii="Times New Roman" w:hAnsi="Times New Roman" w:eastAsia="宋体" w:cs="Times New Roman"/>
                <w:b/>
                <w:color w:val="000000" w:themeColor="text1"/>
                <w:sz w:val="21"/>
                <w:szCs w:val="21"/>
                <w:u w:val="single"/>
                <w:vertAlign w:val="superscript"/>
                <w14:textFill>
                  <w14:solidFill>
                    <w14:schemeClr w14:val="tx1"/>
                  </w14:solidFill>
                </w14:textFill>
              </w:rPr>
              <w:t>3</w:t>
            </w:r>
          </w:p>
          <w:tbl>
            <w:tblPr>
              <w:tblStyle w:val="66"/>
              <w:tblW w:w="7964" w:type="dxa"/>
              <w:tblInd w:w="-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78"/>
              <w:gridCol w:w="1790"/>
              <w:gridCol w:w="1472"/>
              <w:gridCol w:w="1088"/>
              <w:gridCol w:w="868"/>
              <w:gridCol w:w="884"/>
              <w:gridCol w:w="8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87" w:hRule="atLeast"/>
              </w:trPr>
              <w:tc>
                <w:tcPr>
                  <w:tcW w:w="97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评价因子</w:t>
                  </w:r>
                </w:p>
              </w:tc>
              <w:tc>
                <w:tcPr>
                  <w:tcW w:w="1790"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评均时段</w:t>
                  </w:r>
                </w:p>
              </w:tc>
              <w:tc>
                <w:tcPr>
                  <w:tcW w:w="1472"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现状浓度/</w:t>
                  </w:r>
                </w:p>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μg/m</w:t>
                  </w:r>
                  <w:r>
                    <w:rPr>
                      <w:rFonts w:hint="default" w:ascii="Times New Roman" w:hAnsi="Times New Roman" w:eastAsia="宋体" w:cs="Times New Roman"/>
                      <w:color w:val="000000" w:themeColor="text1"/>
                      <w:sz w:val="21"/>
                      <w:szCs w:val="21"/>
                      <w:u w:val="single"/>
                      <w:vertAlign w:val="superscript"/>
                      <w14:textFill>
                        <w14:solidFill>
                          <w14:schemeClr w14:val="tx1"/>
                        </w14:solidFill>
                      </w14:textFill>
                    </w:rPr>
                    <w:t>3</w:t>
                  </w:r>
                </w:p>
              </w:tc>
              <w:tc>
                <w:tcPr>
                  <w:tcW w:w="108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标准浓度/</w:t>
                  </w:r>
                </w:p>
                <w:p>
                  <w:pPr>
                    <w:spacing w:after="0"/>
                    <w:jc w:val="center"/>
                    <w:rPr>
                      <w:rFonts w:hint="default" w:ascii="Times New Roman" w:hAnsi="Times New Roman" w:eastAsia="宋体" w:cs="Times New Roman"/>
                      <w:color w:val="000000" w:themeColor="text1"/>
                      <w:sz w:val="21"/>
                      <w:szCs w:val="21"/>
                      <w:u w:val="single"/>
                      <w:vertAlign w:val="superscript"/>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μg/m</w:t>
                  </w:r>
                  <w:r>
                    <w:rPr>
                      <w:rFonts w:hint="default" w:ascii="Times New Roman" w:hAnsi="Times New Roman" w:eastAsia="宋体" w:cs="Times New Roman"/>
                      <w:color w:val="000000" w:themeColor="text1"/>
                      <w:sz w:val="21"/>
                      <w:szCs w:val="21"/>
                      <w:u w:val="single"/>
                      <w:vertAlign w:val="superscript"/>
                      <w14:textFill>
                        <w14:solidFill>
                          <w14:schemeClr w14:val="tx1"/>
                        </w14:solidFill>
                      </w14:textFill>
                    </w:rPr>
                    <w:t>3</w:t>
                  </w:r>
                </w:p>
              </w:tc>
              <w:tc>
                <w:tcPr>
                  <w:tcW w:w="86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占标率/％</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达标情况</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超标倍数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91" w:hRule="atLeast"/>
              </w:trPr>
              <w:tc>
                <w:tcPr>
                  <w:tcW w:w="97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SO</w:t>
                  </w:r>
                  <w:r>
                    <w:rPr>
                      <w:rFonts w:hint="default" w:ascii="Times New Roman" w:hAnsi="Times New Roman" w:eastAsia="宋体" w:cs="Times New Roman"/>
                      <w:color w:val="000000" w:themeColor="text1"/>
                      <w:sz w:val="21"/>
                      <w:szCs w:val="21"/>
                      <w:u w:val="single"/>
                      <w:vertAlign w:val="subscript"/>
                      <w14:textFill>
                        <w14:solidFill>
                          <w14:schemeClr w14:val="tx1"/>
                        </w14:solidFill>
                      </w14:textFill>
                    </w:rPr>
                    <w:t>2</w:t>
                  </w:r>
                </w:p>
              </w:tc>
              <w:tc>
                <w:tcPr>
                  <w:tcW w:w="1790"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年平均浓度</w:t>
                  </w:r>
                </w:p>
              </w:tc>
              <w:tc>
                <w:tcPr>
                  <w:tcW w:w="1472"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6</w:t>
                  </w:r>
                </w:p>
              </w:tc>
              <w:tc>
                <w:tcPr>
                  <w:tcW w:w="108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60</w:t>
                  </w:r>
                </w:p>
              </w:tc>
              <w:tc>
                <w:tcPr>
                  <w:tcW w:w="86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10</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达标</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7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NO</w:t>
                  </w:r>
                  <w:r>
                    <w:rPr>
                      <w:rFonts w:hint="default" w:ascii="Times New Roman" w:hAnsi="Times New Roman" w:eastAsia="宋体" w:cs="Times New Roman"/>
                      <w:color w:val="000000" w:themeColor="text1"/>
                      <w:sz w:val="21"/>
                      <w:szCs w:val="21"/>
                      <w:u w:val="single"/>
                      <w:vertAlign w:val="subscript"/>
                      <w14:textFill>
                        <w14:solidFill>
                          <w14:schemeClr w14:val="tx1"/>
                        </w14:solidFill>
                      </w14:textFill>
                    </w:rPr>
                    <w:t>2</w:t>
                  </w:r>
                </w:p>
              </w:tc>
              <w:tc>
                <w:tcPr>
                  <w:tcW w:w="1790"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年平均浓度</w:t>
                  </w:r>
                </w:p>
              </w:tc>
              <w:tc>
                <w:tcPr>
                  <w:tcW w:w="1472"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11</w:t>
                  </w:r>
                </w:p>
              </w:tc>
              <w:tc>
                <w:tcPr>
                  <w:tcW w:w="108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40</w:t>
                  </w:r>
                </w:p>
              </w:tc>
              <w:tc>
                <w:tcPr>
                  <w:tcW w:w="86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27</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达标</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97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CO</w:t>
                  </w:r>
                </w:p>
              </w:tc>
              <w:tc>
                <w:tcPr>
                  <w:tcW w:w="1790"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24小时平均第95百分位数</w:t>
                  </w:r>
                </w:p>
              </w:tc>
              <w:tc>
                <w:tcPr>
                  <w:tcW w:w="1472"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1600</w:t>
                  </w:r>
                </w:p>
              </w:tc>
              <w:tc>
                <w:tcPr>
                  <w:tcW w:w="108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4000</w:t>
                  </w:r>
                </w:p>
              </w:tc>
              <w:tc>
                <w:tcPr>
                  <w:tcW w:w="86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40</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达标</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97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臭氧</w:t>
                  </w:r>
                </w:p>
              </w:tc>
              <w:tc>
                <w:tcPr>
                  <w:tcW w:w="1790"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8h平均第90百分位数</w:t>
                  </w:r>
                </w:p>
              </w:tc>
              <w:tc>
                <w:tcPr>
                  <w:tcW w:w="1472"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102</w:t>
                  </w:r>
                </w:p>
              </w:tc>
              <w:tc>
                <w:tcPr>
                  <w:tcW w:w="108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160</w:t>
                  </w:r>
                </w:p>
              </w:tc>
              <w:tc>
                <w:tcPr>
                  <w:tcW w:w="86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63</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达标</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97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PM</w:t>
                  </w:r>
                  <w:r>
                    <w:rPr>
                      <w:rFonts w:hint="default" w:ascii="Times New Roman" w:hAnsi="Times New Roman" w:eastAsia="宋体" w:cs="Times New Roman"/>
                      <w:color w:val="000000" w:themeColor="text1"/>
                      <w:sz w:val="21"/>
                      <w:szCs w:val="21"/>
                      <w:u w:val="single"/>
                      <w:vertAlign w:val="subscript"/>
                      <w14:textFill>
                        <w14:solidFill>
                          <w14:schemeClr w14:val="tx1"/>
                        </w14:solidFill>
                      </w14:textFill>
                    </w:rPr>
                    <w:t>2.5</w:t>
                  </w:r>
                </w:p>
              </w:tc>
              <w:tc>
                <w:tcPr>
                  <w:tcW w:w="1790"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年平均浓度</w:t>
                  </w:r>
                </w:p>
              </w:tc>
              <w:tc>
                <w:tcPr>
                  <w:tcW w:w="1472"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31</w:t>
                  </w:r>
                </w:p>
              </w:tc>
              <w:tc>
                <w:tcPr>
                  <w:tcW w:w="108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35</w:t>
                  </w:r>
                </w:p>
              </w:tc>
              <w:tc>
                <w:tcPr>
                  <w:tcW w:w="86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88%</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达标</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97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PM</w:t>
                  </w:r>
                  <w:r>
                    <w:rPr>
                      <w:rFonts w:hint="default" w:ascii="Times New Roman" w:hAnsi="Times New Roman" w:eastAsia="宋体" w:cs="Times New Roman"/>
                      <w:color w:val="000000" w:themeColor="text1"/>
                      <w:sz w:val="21"/>
                      <w:szCs w:val="21"/>
                      <w:u w:val="single"/>
                      <w:vertAlign w:val="subscript"/>
                      <w14:textFill>
                        <w14:solidFill>
                          <w14:schemeClr w14:val="tx1"/>
                        </w14:solidFill>
                      </w14:textFill>
                    </w:rPr>
                    <w:t>10</w:t>
                  </w:r>
                </w:p>
              </w:tc>
              <w:tc>
                <w:tcPr>
                  <w:tcW w:w="1790"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年平均浓度</w:t>
                  </w:r>
                </w:p>
              </w:tc>
              <w:tc>
                <w:tcPr>
                  <w:tcW w:w="1472"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45</w:t>
                  </w:r>
                </w:p>
              </w:tc>
              <w:tc>
                <w:tcPr>
                  <w:tcW w:w="108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70</w:t>
                  </w:r>
                </w:p>
              </w:tc>
              <w:tc>
                <w:tcPr>
                  <w:tcW w:w="868"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47</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达标</w:t>
                  </w:r>
                </w:p>
              </w:tc>
              <w:tc>
                <w:tcPr>
                  <w:tcW w:w="884" w:type="dxa"/>
                  <w:tcBorders>
                    <w:tl2br w:val="nil"/>
                    <w:tr2bl w:val="nil"/>
                  </w:tcBorders>
                  <w:vAlign w:val="center"/>
                </w:tcPr>
                <w:p>
                  <w:pPr>
                    <w:spacing w:after="0"/>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u w:val="single"/>
                <w14:textFill>
                  <w14:solidFill>
                    <w14:schemeClr w14:val="tx1"/>
                  </w14:solidFill>
                </w14:textFill>
              </w:rPr>
            </w:pPr>
            <w:r>
              <w:rPr>
                <w:rFonts w:hint="default" w:ascii="Times New Roman" w:hAnsi="Times New Roman" w:eastAsia="宋体" w:cs="Times New Roman"/>
                <w:color w:val="000000" w:themeColor="text1"/>
                <w:sz w:val="24"/>
                <w:u w:val="single"/>
                <w14:textFill>
                  <w14:solidFill>
                    <w14:schemeClr w14:val="tx1"/>
                  </w14:solidFill>
                </w14:textFill>
              </w:rPr>
              <w:t>根据上表中监测数据可看出，本项目所在区域（华容县）为达标区域。</w:t>
            </w:r>
          </w:p>
          <w:p>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right="0"/>
              <w:jc w:val="both"/>
              <w:textAlignment w:val="auto"/>
              <w:rPr>
                <w:rFonts w:hint="default" w:ascii="Times New Roman" w:hAnsi="Times New Roman" w:eastAsia="宋体" w:cs="Times New Roman"/>
                <w:b/>
                <w:bCs/>
                <w:color w:val="000000" w:themeColor="text1"/>
                <w:sz w:val="22"/>
                <w:szCs w:val="24"/>
                <w:lang w:eastAsia="zh-CN"/>
                <w14:textFill>
                  <w14:solidFill>
                    <w14:schemeClr w14:val="tx1"/>
                  </w14:solidFill>
                </w14:textFill>
              </w:rPr>
            </w:pPr>
            <w:r>
              <w:rPr>
                <w:rFonts w:hint="default" w:ascii="Times New Roman" w:hAnsi="Times New Roman" w:eastAsia="宋体" w:cs="Times New Roman"/>
                <w:b/>
                <w:bCs/>
                <w:color w:val="000000" w:themeColor="text1"/>
                <w:sz w:val="22"/>
                <w:szCs w:val="24"/>
                <w:lang w:eastAsia="zh-CN"/>
                <w14:textFill>
                  <w14:solidFill>
                    <w14:schemeClr w14:val="tx1"/>
                  </w14:solidFill>
                </w14:textFill>
              </w:rPr>
              <w:t>补充监测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本项目特征因子为氨气、氯化氢，为了了解项目区域内氨气、氯化氢环境质量现状，我公司对氨气、氯化氢短期浓度采用现场实测，在厂区下风向</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200m处设置1个监测点进行监测。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textAlignment w:val="auto"/>
              <w:rPr>
                <w:rFonts w:hint="default" w:ascii="Times New Roman" w:hAnsi="Times New Roman" w:eastAsia="宋体" w:cs="Times New Roman"/>
                <w:color w:val="000000" w:themeColor="text1"/>
                <w:sz w:val="24"/>
                <w:szCs w:val="24"/>
                <w:u w:val="single"/>
                <w:lang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）测点布置：</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个，厂界下风向</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200m处</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，按技术规范要求进行监测。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）监测频次：监测</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天，每天</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4次</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textAlignment w:val="auto"/>
              <w:rPr>
                <w:rFonts w:hint="default" w:ascii="Times New Roman" w:hAnsi="Times New Roman" w:eastAsia="宋体" w:cs="Times New Roman"/>
                <w:color w:val="000000" w:themeColor="text1"/>
                <w:sz w:val="24"/>
                <w:szCs w:val="24"/>
                <w:u w:val="single"/>
                <w:lang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）监测时间：20</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年</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月</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26~28日，2021年5月23~2</w:t>
            </w:r>
            <w:r>
              <w:rPr>
                <w:rFonts w:hint="eastAsia"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日</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p>
          <w:p>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）氨气监测结果：氨气短期浓度监测结果统计和分析见下表。</w:t>
            </w:r>
          </w:p>
          <w:p>
            <w:pPr>
              <w:bidi w:val="0"/>
              <w:jc w:val="center"/>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b/>
                <w:bCs/>
                <w:color w:val="000000" w:themeColor="text1"/>
                <w:u w:val="single"/>
                <w:lang w:val="en-US" w:eastAsia="zh-CN"/>
                <w14:textFill>
                  <w14:solidFill>
                    <w14:schemeClr w14:val="tx1"/>
                  </w14:solidFill>
                </w14:textFill>
              </w:rPr>
              <w:t>表3-2  氨气短期浓度监测结果</w:t>
            </w:r>
          </w:p>
          <w:tbl>
            <w:tblPr>
              <w:tblStyle w:val="27"/>
              <w:tblW w:w="4996"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168"/>
              <w:gridCol w:w="741"/>
              <w:gridCol w:w="792"/>
              <w:gridCol w:w="792"/>
              <w:gridCol w:w="792"/>
              <w:gridCol w:w="792"/>
              <w:gridCol w:w="792"/>
              <w:gridCol w:w="1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669"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检测点位</w:t>
                  </w:r>
                </w:p>
              </w:tc>
              <w:tc>
                <w:tcPr>
                  <w:tcW w:w="733"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监测时间</w:t>
                  </w:r>
                </w:p>
              </w:tc>
              <w:tc>
                <w:tcPr>
                  <w:tcW w:w="465"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检测项目</w:t>
                  </w:r>
                </w:p>
              </w:tc>
              <w:tc>
                <w:tcPr>
                  <w:tcW w:w="497"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第一次</w:t>
                  </w:r>
                </w:p>
              </w:tc>
              <w:tc>
                <w:tcPr>
                  <w:tcW w:w="497"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第二次</w:t>
                  </w:r>
                </w:p>
              </w:tc>
              <w:tc>
                <w:tcPr>
                  <w:tcW w:w="497"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第三次</w:t>
                  </w:r>
                </w:p>
              </w:tc>
              <w:tc>
                <w:tcPr>
                  <w:tcW w:w="497"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第四次</w:t>
                  </w:r>
                </w:p>
              </w:tc>
              <w:tc>
                <w:tcPr>
                  <w:tcW w:w="497"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标准限值</w:t>
                  </w:r>
                </w:p>
              </w:tc>
              <w:tc>
                <w:tcPr>
                  <w:tcW w:w="642"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69" w:type="pct"/>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厂房场地下风向Q1</w:t>
                  </w:r>
                </w:p>
              </w:tc>
              <w:tc>
                <w:tcPr>
                  <w:tcW w:w="733" w:type="pct"/>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2021.3.26</w:t>
                  </w:r>
                </w:p>
              </w:tc>
              <w:tc>
                <w:tcPr>
                  <w:tcW w:w="465" w:type="pct"/>
                  <w:vMerge w:val="restar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氨</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0.15</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0.14</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0.12</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0.08</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0.2</w:t>
                  </w:r>
                </w:p>
              </w:tc>
              <w:tc>
                <w:tcPr>
                  <w:tcW w:w="64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u w:val="singl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5" w:hRule="atLeast"/>
              </w:trPr>
              <w:tc>
                <w:tcPr>
                  <w:tcW w:w="669" w:type="pct"/>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厂房场地下风向Q1</w:t>
                  </w:r>
                </w:p>
              </w:tc>
              <w:tc>
                <w:tcPr>
                  <w:tcW w:w="733" w:type="pct"/>
                  <w:vMerge w:val="restar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2021.3.27</w:t>
                  </w:r>
                </w:p>
              </w:tc>
              <w:tc>
                <w:tcPr>
                  <w:tcW w:w="465" w:type="pct"/>
                  <w:vMerge w:val="restar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氨</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0.05</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0.04</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0.13</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0.08</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0.2</w:t>
                  </w:r>
                </w:p>
              </w:tc>
              <w:tc>
                <w:tcPr>
                  <w:tcW w:w="64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u w:val="singl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9" w:type="pc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厂房场地下风向Q1</w:t>
                  </w:r>
                </w:p>
              </w:tc>
              <w:tc>
                <w:tcPr>
                  <w:tcW w:w="733" w:type="pc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2021.3.28</w:t>
                  </w:r>
                </w:p>
              </w:tc>
              <w:tc>
                <w:tcPr>
                  <w:tcW w:w="465"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氨</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0.09</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0.15</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0.12</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0.08</w:t>
                  </w:r>
                </w:p>
              </w:tc>
              <w:tc>
                <w:tcPr>
                  <w:tcW w:w="497"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0.2</w:t>
                  </w:r>
                </w:p>
              </w:tc>
              <w:tc>
                <w:tcPr>
                  <w:tcW w:w="64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u w:val="singl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 w:type="pc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厂房场地下风向Q1</w:t>
                  </w:r>
                </w:p>
              </w:tc>
              <w:tc>
                <w:tcPr>
                  <w:tcW w:w="733"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2021.05.23</w:t>
                  </w:r>
                </w:p>
              </w:tc>
              <w:tc>
                <w:tcPr>
                  <w:tcW w:w="465"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氯化氢</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0.05</w:t>
                  </w:r>
                </w:p>
              </w:tc>
              <w:tc>
                <w:tcPr>
                  <w:tcW w:w="64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u w:val="singl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9" w:type="pc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厂房场地下风向Q1</w:t>
                  </w:r>
                </w:p>
              </w:tc>
              <w:tc>
                <w:tcPr>
                  <w:tcW w:w="733"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2021.05.24</w:t>
                  </w:r>
                </w:p>
              </w:tc>
              <w:tc>
                <w:tcPr>
                  <w:tcW w:w="465"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氯化氢</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0.05</w:t>
                  </w:r>
                </w:p>
              </w:tc>
              <w:tc>
                <w:tcPr>
                  <w:tcW w:w="64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u w:val="singl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69" w:type="pc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厂房场地下风向Q1</w:t>
                  </w:r>
                </w:p>
              </w:tc>
              <w:tc>
                <w:tcPr>
                  <w:tcW w:w="733"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2021.05.25</w:t>
                  </w:r>
                </w:p>
              </w:tc>
              <w:tc>
                <w:tcPr>
                  <w:tcW w:w="465" w:type="pct"/>
                  <w:tcBorders>
                    <w:tl2br w:val="nil"/>
                    <w:tr2bl w:val="nil"/>
                  </w:tcBorders>
                  <w:vAlign w:val="center"/>
                </w:tcPr>
                <w:p>
                  <w:pPr>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氯化氢</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t>＜0.02</w:t>
                  </w:r>
                </w:p>
              </w:tc>
              <w:tc>
                <w:tcPr>
                  <w:tcW w:w="497" w:type="pct"/>
                  <w:tcBorders>
                    <w:tl2br w:val="nil"/>
                    <w:tr2bl w:val="nil"/>
                  </w:tcBorders>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0.05</w:t>
                  </w:r>
                </w:p>
              </w:tc>
              <w:tc>
                <w:tcPr>
                  <w:tcW w:w="642" w:type="pct"/>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u w:val="single"/>
                      <w:vertAlign w:val="superscript"/>
                      <w:lang w:val="en-US" w:eastAsia="zh-CN"/>
                      <w14:textFill>
                        <w14:solidFill>
                          <w14:schemeClr w14:val="tx1"/>
                        </w14:solidFill>
                      </w14:textFill>
                    </w:rPr>
                    <w:t>3</w:t>
                  </w:r>
                </w:p>
              </w:tc>
            </w:tr>
          </w:tbl>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u w:val="single"/>
                <w:lang w:eastAsia="zh-CN"/>
                <w14:textFill>
                  <w14:solidFill>
                    <w14:schemeClr w14:val="tx1"/>
                  </w14:solidFill>
                </w14:textFill>
              </w:rPr>
            </w:pPr>
            <w:r>
              <w:rPr>
                <w:rFonts w:hint="default" w:ascii="Times New Roman" w:hAnsi="Times New Roman" w:eastAsia="宋体" w:cs="Times New Roman"/>
                <w:color w:val="000000" w:themeColor="text1"/>
                <w:sz w:val="24"/>
                <w:szCs w:val="32"/>
                <w:u w:val="single"/>
                <w:lang w:val="en-US" w:eastAsia="zh-CN"/>
                <w14:textFill>
                  <w14:solidFill>
                    <w14:schemeClr w14:val="tx1"/>
                  </w14:solidFill>
                </w14:textFill>
              </w:rPr>
              <w:t>由上表可知，经过补充监测表明，项目区域氨气、氯化氢的短期浓度满足</w:t>
            </w:r>
            <w:r>
              <w:rPr>
                <w:rFonts w:hint="default" w:ascii="Times New Roman" w:hAnsi="Times New Roman" w:eastAsia="宋体" w:cs="Times New Roman"/>
                <w:color w:val="000000" w:themeColor="text1"/>
                <w:sz w:val="24"/>
                <w:szCs w:val="32"/>
                <w:u w:val="single"/>
                <w14:textFill>
                  <w14:solidFill>
                    <w14:schemeClr w14:val="tx1"/>
                  </w14:solidFill>
                </w14:textFill>
              </w:rPr>
              <w:t>《环境影响评价技术导则 大气环境》（HJ2.2-2018）附录D中表D.1规定的限值要求</w:t>
            </w: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000000" w:themeColor="text1"/>
                <w:sz w:val="24"/>
                <w:szCs w:val="22"/>
                <w:u w:val="single"/>
                <w:lang w:eastAsia="zh-CN"/>
                <w14:textFill>
                  <w14:solidFill>
                    <w14:schemeClr w14:val="tx1"/>
                  </w14:solidFill>
                </w14:textFill>
              </w:rPr>
            </w:pPr>
            <w:r>
              <w:rPr>
                <w:rFonts w:hint="default" w:ascii="Times New Roman" w:hAnsi="Times New Roman" w:eastAsia="宋体" w:cs="Times New Roman"/>
                <w:b/>
                <w:bCs/>
                <w:color w:val="000000" w:themeColor="text1"/>
                <w:sz w:val="24"/>
                <w:szCs w:val="22"/>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2"/>
                <w:u w:val="single"/>
                <w:lang w:eastAsia="zh-CN"/>
                <w14:textFill>
                  <w14:solidFill>
                    <w14:schemeClr w14:val="tx1"/>
                  </w14:solidFill>
                </w14:textFill>
              </w:rPr>
              <w:t>地表</w:t>
            </w:r>
            <w:r>
              <w:rPr>
                <w:rFonts w:hint="default" w:ascii="Times New Roman" w:hAnsi="Times New Roman" w:eastAsia="宋体" w:cs="Times New Roman"/>
                <w:b/>
                <w:bCs/>
                <w:color w:val="000000" w:themeColor="text1"/>
                <w:sz w:val="24"/>
                <w:szCs w:val="22"/>
                <w:u w:val="single"/>
                <w14:textFill>
                  <w14:solidFill>
                    <w14:schemeClr w14:val="tx1"/>
                  </w14:solidFill>
                </w14:textFill>
              </w:rPr>
              <w:t>水环境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u w:val="single"/>
                <w14:textFill>
                  <w14:solidFill>
                    <w14:schemeClr w14:val="tx1"/>
                  </w14:solidFill>
                </w14:textFill>
              </w:rPr>
            </w:pPr>
            <w:r>
              <w:rPr>
                <w:rFonts w:hint="default" w:ascii="Times New Roman" w:hAnsi="Times New Roman" w:eastAsia="宋体" w:cs="Times New Roman"/>
                <w:color w:val="000000" w:themeColor="text1"/>
                <w:sz w:val="24"/>
                <w:u w:val="single"/>
                <w14:textFill>
                  <w14:solidFill>
                    <w14:schemeClr w14:val="tx1"/>
                  </w14:solidFill>
                </w14:textFill>
              </w:rPr>
              <w:t>项目附近水体为华容河，根据《湖南省主要水系地表水环境功能区划》DB43/023-2005，华容河，华容大桥至六门闸（北支）属于Ⅲ类水体，其地表水环境质量执行《地表水环境质量标准》（GB3838-2002）中的Ⅲ类标准。本项目采用华容河常规监测断面六门闸断面2019年全年监测数据对华容河水质进行评价，其结果如下。</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b/>
                <w:color w:val="000000" w:themeColor="text1"/>
                <w:sz w:val="21"/>
                <w:szCs w:val="21"/>
                <w:u w:val="single"/>
                <w14:textFill>
                  <w14:solidFill>
                    <w14:schemeClr w14:val="tx1"/>
                  </w14:solidFill>
                </w14:textFill>
              </w:rPr>
              <w:t>表3-</w:t>
            </w:r>
            <w:r>
              <w:rPr>
                <w:rFonts w:hint="default" w:ascii="Times New Roman" w:hAnsi="Times New Roman" w:eastAsia="宋体" w:cs="Times New Roman"/>
                <w:b/>
                <w:color w:val="000000" w:themeColor="text1"/>
                <w:sz w:val="21"/>
                <w:szCs w:val="21"/>
                <w:u w:val="single"/>
                <w:lang w:val="en-US" w:eastAsia="zh-CN"/>
                <w14:textFill>
                  <w14:solidFill>
                    <w14:schemeClr w14:val="tx1"/>
                  </w14:solidFill>
                </w14:textFill>
              </w:rPr>
              <w:t>2</w:t>
            </w:r>
            <w:r>
              <w:rPr>
                <w:rFonts w:hint="default" w:ascii="Times New Roman" w:hAnsi="Times New Roman" w:eastAsia="宋体" w:cs="Times New Roman"/>
                <w:b/>
                <w:color w:val="000000" w:themeColor="text1"/>
                <w:sz w:val="21"/>
                <w:szCs w:val="21"/>
                <w:u w:val="single"/>
                <w14:textFill>
                  <w14:solidFill>
                    <w14:schemeClr w14:val="tx1"/>
                  </w14:solidFill>
                </w14:textFill>
              </w:rPr>
              <w:t xml:space="preserve">   华容河2019年六门闸断面水质监测结果表（单位：mg/L）</w:t>
            </w:r>
          </w:p>
          <w:tbl>
            <w:tblPr>
              <w:tblStyle w:val="66"/>
              <w:tblW w:w="5000"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108" w:type="dxa"/>
                <w:bottom w:w="0" w:type="dxa"/>
                <w:right w:w="108" w:type="dxa"/>
              </w:tblCellMar>
            </w:tblPr>
            <w:tblGrid>
              <w:gridCol w:w="1736"/>
              <w:gridCol w:w="1432"/>
              <w:gridCol w:w="1325"/>
              <w:gridCol w:w="958"/>
              <w:gridCol w:w="1390"/>
              <w:gridCol w:w="1123"/>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397" w:hRule="atLeast"/>
                <w:jc w:val="center"/>
              </w:trPr>
              <w:tc>
                <w:tcPr>
                  <w:tcW w:w="1732" w:type="dxa"/>
                  <w:tcBorders>
                    <w:top w:val="single" w:color="000000" w:sz="1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监测项目</w:t>
                  </w:r>
                </w:p>
              </w:tc>
              <w:tc>
                <w:tcPr>
                  <w:tcW w:w="1428" w:type="dxa"/>
                  <w:tcBorders>
                    <w:top w:val="single" w:color="000000" w:sz="1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监测结果（均值）</w:t>
                  </w:r>
                </w:p>
              </w:tc>
              <w:tc>
                <w:tcPr>
                  <w:tcW w:w="1322" w:type="dxa"/>
                  <w:tcBorders>
                    <w:top w:val="single" w:color="000000" w:sz="1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标准指数</w:t>
                  </w:r>
                </w:p>
              </w:tc>
              <w:tc>
                <w:tcPr>
                  <w:tcW w:w="956" w:type="dxa"/>
                  <w:tcBorders>
                    <w:top w:val="single" w:color="000000" w:sz="1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超标率%</w:t>
                  </w:r>
                </w:p>
              </w:tc>
              <w:tc>
                <w:tcPr>
                  <w:tcW w:w="1387" w:type="dxa"/>
                  <w:tcBorders>
                    <w:top w:val="single" w:color="000000" w:sz="1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最大超标倍数</w:t>
                  </w:r>
                </w:p>
              </w:tc>
              <w:tc>
                <w:tcPr>
                  <w:tcW w:w="1119" w:type="dxa"/>
                  <w:tcBorders>
                    <w:top w:val="single" w:color="000000" w:sz="1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标准值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397" w:hRule="atLeast"/>
                <w:jc w:val="center"/>
              </w:trPr>
              <w:tc>
                <w:tcPr>
                  <w:tcW w:w="173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pH</w:t>
                  </w:r>
                </w:p>
              </w:tc>
              <w:tc>
                <w:tcPr>
                  <w:tcW w:w="14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7.7</w:t>
                  </w:r>
                </w:p>
              </w:tc>
              <w:tc>
                <w:tcPr>
                  <w:tcW w:w="132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0.35</w:t>
                  </w:r>
                </w:p>
              </w:tc>
              <w:tc>
                <w:tcPr>
                  <w:tcW w:w="95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3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11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6～9</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397" w:hRule="atLeast"/>
                <w:jc w:val="center"/>
              </w:trPr>
              <w:tc>
                <w:tcPr>
                  <w:tcW w:w="173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COD</w:t>
                  </w:r>
                  <w:r>
                    <w:rPr>
                      <w:rFonts w:hint="default" w:ascii="Times New Roman" w:hAnsi="Times New Roman" w:eastAsia="宋体" w:cs="Times New Roman"/>
                      <w:color w:val="000000" w:themeColor="text1"/>
                      <w:u w:val="single"/>
                      <w:vertAlign w:val="subscript"/>
                      <w14:textFill>
                        <w14:solidFill>
                          <w14:schemeClr w14:val="tx1"/>
                        </w14:solidFill>
                      </w14:textFill>
                    </w:rPr>
                    <w:t>Cr</w:t>
                  </w:r>
                </w:p>
              </w:tc>
              <w:tc>
                <w:tcPr>
                  <w:tcW w:w="14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20.2</w:t>
                  </w:r>
                </w:p>
              </w:tc>
              <w:tc>
                <w:tcPr>
                  <w:tcW w:w="132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1.01</w:t>
                  </w:r>
                </w:p>
              </w:tc>
              <w:tc>
                <w:tcPr>
                  <w:tcW w:w="95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100</w:t>
                  </w:r>
                </w:p>
              </w:tc>
              <w:tc>
                <w:tcPr>
                  <w:tcW w:w="13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1.01</w:t>
                  </w:r>
                </w:p>
              </w:tc>
              <w:tc>
                <w:tcPr>
                  <w:tcW w:w="111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≤20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397" w:hRule="atLeast"/>
                <w:jc w:val="center"/>
              </w:trPr>
              <w:tc>
                <w:tcPr>
                  <w:tcW w:w="173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BOD</w:t>
                  </w:r>
                  <w:r>
                    <w:rPr>
                      <w:rFonts w:hint="default" w:ascii="Times New Roman" w:hAnsi="Times New Roman" w:eastAsia="宋体" w:cs="Times New Roman"/>
                      <w:color w:val="000000" w:themeColor="text1"/>
                      <w:u w:val="single"/>
                      <w:vertAlign w:val="subscript"/>
                      <w14:textFill>
                        <w14:solidFill>
                          <w14:schemeClr w14:val="tx1"/>
                        </w14:solidFill>
                      </w14:textFill>
                    </w:rPr>
                    <w:t>5</w:t>
                  </w:r>
                </w:p>
              </w:tc>
              <w:tc>
                <w:tcPr>
                  <w:tcW w:w="14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2.6</w:t>
                  </w:r>
                </w:p>
              </w:tc>
              <w:tc>
                <w:tcPr>
                  <w:tcW w:w="132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0.65</w:t>
                  </w:r>
                </w:p>
              </w:tc>
              <w:tc>
                <w:tcPr>
                  <w:tcW w:w="95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3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11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173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DO</w:t>
                  </w:r>
                </w:p>
              </w:tc>
              <w:tc>
                <w:tcPr>
                  <w:tcW w:w="14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6.6</w:t>
                  </w:r>
                </w:p>
              </w:tc>
              <w:tc>
                <w:tcPr>
                  <w:tcW w:w="132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0.67</w:t>
                  </w:r>
                </w:p>
              </w:tc>
              <w:tc>
                <w:tcPr>
                  <w:tcW w:w="95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3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11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≥5</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173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NH</w:t>
                  </w:r>
                  <w:r>
                    <w:rPr>
                      <w:rFonts w:hint="default" w:ascii="Times New Roman" w:hAnsi="Times New Roman" w:eastAsia="宋体" w:cs="Times New Roman"/>
                      <w:color w:val="000000" w:themeColor="text1"/>
                      <w:u w:val="single"/>
                      <w:vertAlign w:val="subscript"/>
                      <w14:textFill>
                        <w14:solidFill>
                          <w14:schemeClr w14:val="tx1"/>
                        </w14:solidFill>
                      </w14:textFill>
                    </w:rPr>
                    <w:t>3</w:t>
                  </w:r>
                  <w:r>
                    <w:rPr>
                      <w:rFonts w:hint="default" w:ascii="Times New Roman" w:hAnsi="Times New Roman" w:eastAsia="宋体" w:cs="Times New Roman"/>
                      <w:color w:val="000000" w:themeColor="text1"/>
                      <w:u w:val="single"/>
                      <w14:textFill>
                        <w14:solidFill>
                          <w14:schemeClr w14:val="tx1"/>
                        </w14:solidFill>
                      </w14:textFill>
                    </w:rPr>
                    <w:t>-N</w:t>
                  </w:r>
                </w:p>
              </w:tc>
              <w:tc>
                <w:tcPr>
                  <w:tcW w:w="14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0.76</w:t>
                  </w:r>
                </w:p>
              </w:tc>
              <w:tc>
                <w:tcPr>
                  <w:tcW w:w="132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0.76</w:t>
                  </w:r>
                </w:p>
              </w:tc>
              <w:tc>
                <w:tcPr>
                  <w:tcW w:w="95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3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11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173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TP</w:t>
                  </w:r>
                </w:p>
              </w:tc>
              <w:tc>
                <w:tcPr>
                  <w:tcW w:w="14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0.118</w:t>
                  </w:r>
                </w:p>
              </w:tc>
              <w:tc>
                <w:tcPr>
                  <w:tcW w:w="132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0.59</w:t>
                  </w:r>
                </w:p>
              </w:tc>
              <w:tc>
                <w:tcPr>
                  <w:tcW w:w="95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3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11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1732" w:type="dxa"/>
                  <w:tcBorders>
                    <w:top w:val="single" w:color="000000" w:sz="2" w:space="0"/>
                    <w:left w:val="single" w:color="000000" w:sz="1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LAS</w:t>
                  </w:r>
                </w:p>
              </w:tc>
              <w:tc>
                <w:tcPr>
                  <w:tcW w:w="142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0.02</w:t>
                  </w:r>
                </w:p>
              </w:tc>
              <w:tc>
                <w:tcPr>
                  <w:tcW w:w="132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0.1</w:t>
                  </w:r>
                </w:p>
              </w:tc>
              <w:tc>
                <w:tcPr>
                  <w:tcW w:w="956"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387"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119" w:type="dxa"/>
                  <w:tcBorders>
                    <w:top w:val="single" w:color="000000" w:sz="2" w:space="0"/>
                    <w:left w:val="single" w:color="000000" w:sz="2" w:space="0"/>
                    <w:bottom w:val="single" w:color="000000" w:sz="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1732" w:type="dxa"/>
                  <w:tcBorders>
                    <w:top w:val="single" w:color="000000" w:sz="2" w:space="0"/>
                    <w:left w:val="single" w:color="000000" w:sz="12" w:space="0"/>
                    <w:bottom w:val="single" w:color="000000" w:sz="1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石油类</w:t>
                  </w:r>
                </w:p>
              </w:tc>
              <w:tc>
                <w:tcPr>
                  <w:tcW w:w="1428" w:type="dxa"/>
                  <w:tcBorders>
                    <w:top w:val="single" w:color="000000" w:sz="2" w:space="0"/>
                    <w:left w:val="single" w:color="000000" w:sz="2" w:space="0"/>
                    <w:bottom w:val="single" w:color="000000" w:sz="1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0.005</w:t>
                  </w:r>
                </w:p>
              </w:tc>
              <w:tc>
                <w:tcPr>
                  <w:tcW w:w="1322" w:type="dxa"/>
                  <w:tcBorders>
                    <w:top w:val="single" w:color="000000" w:sz="2" w:space="0"/>
                    <w:left w:val="single" w:color="000000" w:sz="2" w:space="0"/>
                    <w:bottom w:val="single" w:color="000000" w:sz="1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0.01</w:t>
                  </w:r>
                </w:p>
              </w:tc>
              <w:tc>
                <w:tcPr>
                  <w:tcW w:w="956" w:type="dxa"/>
                  <w:tcBorders>
                    <w:top w:val="single" w:color="000000" w:sz="2" w:space="0"/>
                    <w:left w:val="single" w:color="000000" w:sz="2" w:space="0"/>
                    <w:bottom w:val="single" w:color="000000" w:sz="1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387" w:type="dxa"/>
                  <w:tcBorders>
                    <w:top w:val="single" w:color="000000" w:sz="2" w:space="0"/>
                    <w:left w:val="single" w:color="000000" w:sz="2" w:space="0"/>
                    <w:bottom w:val="single" w:color="000000" w:sz="1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w:t>
                  </w:r>
                </w:p>
              </w:tc>
              <w:tc>
                <w:tcPr>
                  <w:tcW w:w="1119" w:type="dxa"/>
                  <w:tcBorders>
                    <w:top w:val="single" w:color="000000" w:sz="2" w:space="0"/>
                    <w:left w:val="single" w:color="000000" w:sz="2" w:space="0"/>
                    <w:bottom w:val="single" w:color="000000" w:sz="1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≤0.05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u w:val="single"/>
                <w14:textFill>
                  <w14:solidFill>
                    <w14:schemeClr w14:val="tx1"/>
                  </w14:solidFill>
                </w14:textFill>
              </w:rPr>
              <w:t>监测结果表明，华容河六门闸断面COD出现超标情况，出现水期为枯水期，最大超标倍数为1.01，其他水质各项监测指标均能达到《地表水环境质量标准》(GB3838-2002)中Ⅲ类标准。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32"/>
                <w14:textFill>
                  <w14:solidFill>
                    <w14:schemeClr w14:val="tx1"/>
                  </w14:solidFill>
                </w14:textFill>
              </w:rPr>
              <w:t>声环境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32"/>
                <w:lang w:eastAsia="zh-CN"/>
                <w14:textFill>
                  <w14:solidFill>
                    <w14:schemeClr w14:val="tx1"/>
                  </w14:solidFill>
                </w14:textFill>
              </w:rPr>
              <w:t>为了解项目区域声环境质量现状，我公司对声环境采用现场实测，根据项目厂界进行布点，监测布点见附图。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begin"/>
            </w:r>
            <w:r>
              <w:rPr>
                <w:rFonts w:hint="default" w:ascii="Times New Roman" w:hAnsi="Times New Roman" w:eastAsia="宋体" w:cs="Times New Roman"/>
                <w:color w:val="000000" w:themeColor="text1"/>
                <w:sz w:val="24"/>
                <w:szCs w:val="32"/>
                <w:lang w:eastAsia="zh-CN"/>
                <w14:textFill>
                  <w14:solidFill>
                    <w14:schemeClr w14:val="tx1"/>
                  </w14:solidFill>
                </w14:textFill>
              </w:rPr>
              <w:instrText xml:space="preserve"> = 1 \* GB2 </w:instrTex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32"/>
                <w:lang w:eastAsia="zh-CN"/>
                <w14:textFill>
                  <w14:solidFill>
                    <w14:schemeClr w14:val="tx1"/>
                  </w14:solidFill>
                </w14:textFill>
              </w:rPr>
              <w:t>⑴</w: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end"/>
            </w:r>
            <w:r>
              <w:rPr>
                <w:rFonts w:hint="default" w:ascii="Times New Roman" w:hAnsi="Times New Roman" w:eastAsia="宋体" w:cs="Times New Roman"/>
                <w:color w:val="000000" w:themeColor="text1"/>
                <w:sz w:val="24"/>
                <w:szCs w:val="32"/>
                <w:lang w:eastAsia="zh-CN"/>
                <w14:textFill>
                  <w14:solidFill>
                    <w14:schemeClr w14:val="tx1"/>
                  </w14:solidFill>
                </w14:textFill>
              </w:rPr>
              <w:t>测点布置：</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32"/>
                <w:lang w:eastAsia="zh-CN"/>
                <w14:textFill>
                  <w14:solidFill>
                    <w14:schemeClr w14:val="tx1"/>
                  </w14:solidFill>
                </w14:textFill>
              </w:rPr>
              <w:t>个，按噪声测试技术规范要求进行监测。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begin"/>
            </w:r>
            <w:r>
              <w:rPr>
                <w:rFonts w:hint="default" w:ascii="Times New Roman" w:hAnsi="Times New Roman" w:eastAsia="宋体" w:cs="Times New Roman"/>
                <w:color w:val="000000" w:themeColor="text1"/>
                <w:sz w:val="24"/>
                <w:szCs w:val="32"/>
                <w:lang w:eastAsia="zh-CN"/>
                <w14:textFill>
                  <w14:solidFill>
                    <w14:schemeClr w14:val="tx1"/>
                  </w14:solidFill>
                </w14:textFill>
              </w:rPr>
              <w:instrText xml:space="preserve"> = 2 \* GB2 </w:instrTex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32"/>
                <w:lang w:eastAsia="zh-CN"/>
                <w14:textFill>
                  <w14:solidFill>
                    <w14:schemeClr w14:val="tx1"/>
                  </w14:solidFill>
                </w14:textFill>
              </w:rPr>
              <w:t>⑵</w: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end"/>
            </w:r>
            <w:r>
              <w:rPr>
                <w:rFonts w:hint="default" w:ascii="Times New Roman" w:hAnsi="Times New Roman" w:eastAsia="宋体" w:cs="Times New Roman"/>
                <w:color w:val="000000" w:themeColor="text1"/>
                <w:sz w:val="24"/>
                <w:szCs w:val="32"/>
                <w:lang w:eastAsia="zh-CN"/>
                <w14:textFill>
                  <w14:solidFill>
                    <w14:schemeClr w14:val="tx1"/>
                  </w14:solidFill>
                </w14:textFill>
              </w:rPr>
              <w:t>监测频次、方法：监测</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32"/>
                <w:lang w:eastAsia="zh-CN"/>
                <w14:textFill>
                  <w14:solidFill>
                    <w14:schemeClr w14:val="tx1"/>
                  </w14:solidFill>
                </w14:textFill>
              </w:rPr>
              <w:t>天的昼间等效声级和夜间等效声级。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begin"/>
            </w:r>
            <w:r>
              <w:rPr>
                <w:rFonts w:hint="default" w:ascii="Times New Roman" w:hAnsi="Times New Roman" w:eastAsia="宋体" w:cs="Times New Roman"/>
                <w:color w:val="000000" w:themeColor="text1"/>
                <w:sz w:val="24"/>
                <w:szCs w:val="32"/>
                <w:lang w:eastAsia="zh-CN"/>
                <w14:textFill>
                  <w14:solidFill>
                    <w14:schemeClr w14:val="tx1"/>
                  </w14:solidFill>
                </w14:textFill>
              </w:rPr>
              <w:instrText xml:space="preserve"> = 3 \* GB2 </w:instrTex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32"/>
                <w:lang w:eastAsia="zh-CN"/>
                <w14:textFill>
                  <w14:solidFill>
                    <w14:schemeClr w14:val="tx1"/>
                  </w14:solidFill>
                </w14:textFill>
              </w:rPr>
              <w:t>⑶</w: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end"/>
            </w:r>
            <w:r>
              <w:rPr>
                <w:rFonts w:hint="default" w:ascii="Times New Roman" w:hAnsi="Times New Roman" w:eastAsia="宋体" w:cs="Times New Roman"/>
                <w:color w:val="000000" w:themeColor="text1"/>
                <w:sz w:val="24"/>
                <w:szCs w:val="32"/>
                <w:lang w:eastAsia="zh-CN"/>
                <w14:textFill>
                  <w14:solidFill>
                    <w14:schemeClr w14:val="tx1"/>
                  </w14:solidFill>
                </w14:textFill>
              </w:rPr>
              <w:t>监测时间：20</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21</w:t>
            </w:r>
            <w:r>
              <w:rPr>
                <w:rFonts w:hint="default" w:ascii="Times New Roman" w:hAnsi="Times New Roman" w:eastAsia="宋体" w:cs="Times New Roman"/>
                <w:color w:val="000000" w:themeColor="text1"/>
                <w:sz w:val="24"/>
                <w:szCs w:val="32"/>
                <w:lang w:eastAsia="zh-CN"/>
                <w14:textFill>
                  <w14:solidFill>
                    <w14:schemeClr w14:val="tx1"/>
                  </w14:solidFill>
                </w14:textFill>
              </w:rPr>
              <w:t>年</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32"/>
                <w:lang w:eastAsia="zh-CN"/>
                <w14:textFill>
                  <w14:solidFill>
                    <w14:schemeClr w14:val="tx1"/>
                  </w14:solidFill>
                </w14:textFill>
              </w:rPr>
              <w:t>月</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26日</w:t>
            </w:r>
            <w:r>
              <w:rPr>
                <w:rFonts w:hint="default" w:ascii="Times New Roman" w:hAnsi="Times New Roman" w:eastAsia="宋体" w:cs="Times New Roman"/>
                <w:color w:val="000000" w:themeColor="text1"/>
                <w:sz w:val="24"/>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begin"/>
            </w:r>
            <w:r>
              <w:rPr>
                <w:rFonts w:hint="default" w:ascii="Times New Roman" w:hAnsi="Times New Roman" w:eastAsia="宋体" w:cs="Times New Roman"/>
                <w:color w:val="000000" w:themeColor="text1"/>
                <w:sz w:val="24"/>
                <w:szCs w:val="32"/>
                <w:lang w:eastAsia="zh-CN"/>
                <w14:textFill>
                  <w14:solidFill>
                    <w14:schemeClr w14:val="tx1"/>
                  </w14:solidFill>
                </w14:textFill>
              </w:rPr>
              <w:instrText xml:space="preserve"> = 4 \* GB2 </w:instrTex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32"/>
                <w:lang w:eastAsia="zh-CN"/>
                <w14:textFill>
                  <w14:solidFill>
                    <w14:schemeClr w14:val="tx1"/>
                  </w14:solidFill>
                </w14:textFill>
              </w:rPr>
              <w:t>⑷</w:t>
            </w:r>
            <w:r>
              <w:rPr>
                <w:rFonts w:hint="default" w:ascii="Times New Roman" w:hAnsi="Times New Roman" w:eastAsia="宋体" w:cs="Times New Roman"/>
                <w:color w:val="000000" w:themeColor="text1"/>
                <w:sz w:val="24"/>
                <w:szCs w:val="32"/>
                <w:lang w:eastAsia="zh-CN"/>
                <w14:textFill>
                  <w14:solidFill>
                    <w14:schemeClr w14:val="tx1"/>
                  </w14:solidFill>
                </w14:textFill>
              </w:rPr>
              <w:fldChar w:fldCharType="end"/>
            </w:r>
            <w:r>
              <w:rPr>
                <w:rFonts w:hint="default" w:ascii="Times New Roman" w:hAnsi="Times New Roman" w:eastAsia="宋体" w:cs="Times New Roman"/>
                <w:color w:val="000000" w:themeColor="text1"/>
                <w:sz w:val="24"/>
                <w:szCs w:val="32"/>
                <w:lang w:eastAsia="zh-CN"/>
                <w14:textFill>
                  <w14:solidFill>
                    <w14:schemeClr w14:val="tx1"/>
                  </w14:solidFill>
                </w14:textFill>
              </w:rPr>
              <w:t>环境噪声监测结果：环境噪声监测结果统计和分析见下表。</w:t>
            </w:r>
          </w:p>
          <w:p>
            <w:pPr>
              <w:pStyle w:val="2"/>
              <w:jc w:val="center"/>
              <w:rPr>
                <w:rFonts w:hint="default" w:ascii="Times New Roman" w:hAnsi="Times New Roman" w:eastAsia="宋体" w:cs="Times New Roman"/>
                <w:b/>
                <w:bCs/>
                <w:color w:val="000000" w:themeColor="text1"/>
                <w:lang w:eastAsia="zh-CN"/>
                <w14:textFill>
                  <w14:solidFill>
                    <w14:schemeClr w14:val="tx1"/>
                  </w14:solidFill>
                </w14:textFill>
              </w:rPr>
            </w:pPr>
            <w:r>
              <w:rPr>
                <w:rFonts w:hint="default" w:ascii="Times New Roman" w:hAnsi="Times New Roman" w:eastAsia="宋体" w:cs="Times New Roman"/>
                <w:b/>
                <w:bCs/>
                <w:color w:val="000000" w:themeColor="text1"/>
                <w:lang w:eastAsia="zh-CN"/>
                <w14:textFill>
                  <w14:solidFill>
                    <w14:schemeClr w14:val="tx1"/>
                  </w14:solidFill>
                </w14:textFill>
              </w:rPr>
              <w:t>表3</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-4  </w:t>
            </w:r>
            <w:r>
              <w:rPr>
                <w:rFonts w:hint="default" w:ascii="Times New Roman" w:hAnsi="Times New Roman" w:eastAsia="宋体" w:cs="Times New Roman"/>
                <w:b/>
                <w:bCs/>
                <w:color w:val="000000" w:themeColor="text1"/>
                <w:lang w:eastAsia="zh-CN"/>
                <w14:textFill>
                  <w14:solidFill>
                    <w14:schemeClr w14:val="tx1"/>
                  </w14:solidFill>
                </w14:textFill>
              </w:rPr>
              <w:t>声环境质量监测结果</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43"/>
              <w:gridCol w:w="1387"/>
              <w:gridCol w:w="1391"/>
              <w:gridCol w:w="2434"/>
              <w:gridCol w:w="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12" w:hRule="atLeast"/>
                <w:jc w:val="center"/>
              </w:trPr>
              <w:tc>
                <w:tcPr>
                  <w:tcW w:w="1722" w:type="pct"/>
                  <w:vMerge w:val="restart"/>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监测点位</w:t>
                  </w:r>
                </w:p>
              </w:tc>
              <w:tc>
                <w:tcPr>
                  <w:tcW w:w="1744" w:type="pct"/>
                  <w:gridSpan w:val="2"/>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监测结果dB(A)</w:t>
                  </w:r>
                </w:p>
              </w:tc>
              <w:tc>
                <w:tcPr>
                  <w:tcW w:w="1528" w:type="pct"/>
                  <w:vMerge w:val="restart"/>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jc w:val="center"/>
              </w:trPr>
              <w:tc>
                <w:tcPr>
                  <w:tcW w:w="1722" w:type="pct"/>
                  <w:vMerge w:val="continue"/>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c>
                <w:tcPr>
                  <w:tcW w:w="871" w:type="pct"/>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昼间</w:t>
                  </w:r>
                </w:p>
              </w:tc>
              <w:tc>
                <w:tcPr>
                  <w:tcW w:w="873" w:type="pct"/>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夜间</w:t>
                  </w:r>
                </w:p>
              </w:tc>
              <w:tc>
                <w:tcPr>
                  <w:tcW w:w="1532" w:type="pct"/>
                  <w:gridSpan w:val="2"/>
                  <w:vMerge w:val="continue"/>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22"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N1</w:t>
                  </w:r>
                  <w:r>
                    <w:rPr>
                      <w:rFonts w:hint="default" w:ascii="Times New Roman" w:hAnsi="Times New Roman" w:eastAsia="宋体" w:cs="Times New Roman"/>
                      <w:color w:val="000000" w:themeColor="text1"/>
                      <w14:textFill>
                        <w14:solidFill>
                          <w14:schemeClr w14:val="tx1"/>
                        </w14:solidFill>
                      </w14:textFill>
                    </w:rPr>
                    <w:t>厂界</w:t>
                  </w:r>
                  <w:r>
                    <w:rPr>
                      <w:rFonts w:hint="default" w:ascii="Times New Roman" w:hAnsi="Times New Roman" w:eastAsia="宋体" w:cs="Times New Roman"/>
                      <w:color w:val="000000" w:themeColor="text1"/>
                      <w:lang w:val="en-US" w:eastAsia="zh-CN"/>
                      <w14:textFill>
                        <w14:solidFill>
                          <w14:schemeClr w14:val="tx1"/>
                        </w14:solidFill>
                      </w14:textFill>
                    </w:rPr>
                    <w:t>北</w:t>
                  </w:r>
                  <w:r>
                    <w:rPr>
                      <w:rFonts w:hint="default" w:ascii="Times New Roman" w:hAnsi="Times New Roman" w:eastAsia="宋体" w:cs="Times New Roman"/>
                      <w:color w:val="000000" w:themeColor="text1"/>
                      <w14:textFill>
                        <w14:solidFill>
                          <w14:schemeClr w14:val="tx1"/>
                        </w14:solidFill>
                      </w14:textFill>
                    </w:rPr>
                    <w:t>侧外1m处</w:t>
                  </w:r>
                </w:p>
              </w:tc>
              <w:tc>
                <w:tcPr>
                  <w:tcW w:w="8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59</w:t>
                  </w:r>
                </w:p>
              </w:tc>
              <w:tc>
                <w:tcPr>
                  <w:tcW w:w="87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44</w:t>
                  </w:r>
                </w:p>
              </w:tc>
              <w:tc>
                <w:tcPr>
                  <w:tcW w:w="1532" w:type="pct"/>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《声环境质量标准》(GB3096-2008)中3类标准。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2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N2</w:t>
                  </w:r>
                  <w:r>
                    <w:rPr>
                      <w:rFonts w:hint="default" w:ascii="Times New Roman" w:hAnsi="Times New Roman" w:eastAsia="宋体" w:cs="Times New Roman"/>
                      <w:color w:val="000000" w:themeColor="text1"/>
                      <w14:textFill>
                        <w14:solidFill>
                          <w14:schemeClr w14:val="tx1"/>
                        </w14:solidFill>
                      </w14:textFill>
                    </w:rPr>
                    <w:t>厂界</w:t>
                  </w:r>
                  <w:r>
                    <w:rPr>
                      <w:rFonts w:hint="default" w:ascii="Times New Roman" w:hAnsi="Times New Roman" w:eastAsia="宋体" w:cs="Times New Roman"/>
                      <w:color w:val="000000" w:themeColor="text1"/>
                      <w:lang w:val="en-US" w:eastAsia="zh-CN"/>
                      <w14:textFill>
                        <w14:solidFill>
                          <w14:schemeClr w14:val="tx1"/>
                        </w14:solidFill>
                      </w14:textFill>
                    </w:rPr>
                    <w:t>西</w:t>
                  </w:r>
                  <w:r>
                    <w:rPr>
                      <w:rFonts w:hint="default" w:ascii="Times New Roman" w:hAnsi="Times New Roman" w:eastAsia="宋体" w:cs="Times New Roman"/>
                      <w:color w:val="000000" w:themeColor="text1"/>
                      <w14:textFill>
                        <w14:solidFill>
                          <w14:schemeClr w14:val="tx1"/>
                        </w14:solidFill>
                      </w14:textFill>
                    </w:rPr>
                    <w:t>侧外1m处</w:t>
                  </w:r>
                </w:p>
              </w:tc>
              <w:tc>
                <w:tcPr>
                  <w:tcW w:w="8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57</w:t>
                  </w:r>
                </w:p>
              </w:tc>
              <w:tc>
                <w:tcPr>
                  <w:tcW w:w="873" w:type="pct"/>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45</w:t>
                  </w:r>
                </w:p>
              </w:tc>
              <w:tc>
                <w:tcPr>
                  <w:tcW w:w="1532" w:type="pct"/>
                  <w:gridSpan w:val="2"/>
                  <w:vMerge w:val="continue"/>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2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N3</w:t>
                  </w:r>
                  <w:r>
                    <w:rPr>
                      <w:rFonts w:hint="default" w:ascii="Times New Roman" w:hAnsi="Times New Roman" w:eastAsia="宋体" w:cs="Times New Roman"/>
                      <w:color w:val="000000" w:themeColor="text1"/>
                      <w14:textFill>
                        <w14:solidFill>
                          <w14:schemeClr w14:val="tx1"/>
                        </w14:solidFill>
                      </w14:textFill>
                    </w:rPr>
                    <w:t>厂界</w:t>
                  </w:r>
                  <w:r>
                    <w:rPr>
                      <w:rFonts w:hint="default" w:ascii="Times New Roman" w:hAnsi="Times New Roman" w:eastAsia="宋体" w:cs="Times New Roman"/>
                      <w:color w:val="000000" w:themeColor="text1"/>
                      <w:lang w:val="en-US" w:eastAsia="zh-CN"/>
                      <w14:textFill>
                        <w14:solidFill>
                          <w14:schemeClr w14:val="tx1"/>
                        </w14:solidFill>
                      </w14:textFill>
                    </w:rPr>
                    <w:t>南</w:t>
                  </w:r>
                  <w:r>
                    <w:rPr>
                      <w:rFonts w:hint="default" w:ascii="Times New Roman" w:hAnsi="Times New Roman" w:eastAsia="宋体" w:cs="Times New Roman"/>
                      <w:color w:val="000000" w:themeColor="text1"/>
                      <w14:textFill>
                        <w14:solidFill>
                          <w14:schemeClr w14:val="tx1"/>
                        </w14:solidFill>
                      </w14:textFill>
                    </w:rPr>
                    <w:t>侧外1m处</w:t>
                  </w:r>
                </w:p>
              </w:tc>
              <w:tc>
                <w:tcPr>
                  <w:tcW w:w="8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c>
                <w:tcPr>
                  <w:tcW w:w="873" w:type="pct"/>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47</w:t>
                  </w:r>
                </w:p>
              </w:tc>
              <w:tc>
                <w:tcPr>
                  <w:tcW w:w="1532" w:type="pct"/>
                  <w:gridSpan w:val="2"/>
                  <w:vMerge w:val="continue"/>
                  <w:tcBorders>
                    <w:tl2br w:val="nil"/>
                    <w:tr2bl w:val="nil"/>
                  </w:tcBorders>
                  <w:noWrap w:val="0"/>
                  <w:vAlign w:val="center"/>
                </w:tcPr>
                <w:p>
                  <w:pPr>
                    <w:keepNext w:val="0"/>
                    <w:keepLines w:val="0"/>
                    <w:widowControl w:val="0"/>
                    <w:suppressLineNumbers w:val="0"/>
                    <w:overflowPunct/>
                    <w:autoSpaceDE/>
                    <w:autoSpaceDN/>
                    <w:adjustRightIn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2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N4</w:t>
                  </w:r>
                  <w:r>
                    <w:rPr>
                      <w:rFonts w:hint="default" w:ascii="Times New Roman" w:hAnsi="Times New Roman" w:eastAsia="宋体" w:cs="Times New Roman"/>
                      <w:color w:val="000000" w:themeColor="text1"/>
                      <w14:textFill>
                        <w14:solidFill>
                          <w14:schemeClr w14:val="tx1"/>
                        </w14:solidFill>
                      </w14:textFill>
                    </w:rPr>
                    <w:t>厂界</w:t>
                  </w:r>
                  <w:r>
                    <w:rPr>
                      <w:rFonts w:hint="default" w:ascii="Times New Roman" w:hAnsi="Times New Roman" w:eastAsia="宋体" w:cs="Times New Roman"/>
                      <w:color w:val="000000" w:themeColor="text1"/>
                      <w:lang w:val="en-US" w:eastAsia="zh-CN"/>
                      <w14:textFill>
                        <w14:solidFill>
                          <w14:schemeClr w14:val="tx1"/>
                        </w14:solidFill>
                      </w14:textFill>
                    </w:rPr>
                    <w:t>东</w:t>
                  </w:r>
                  <w:r>
                    <w:rPr>
                      <w:rFonts w:hint="default" w:ascii="Times New Roman" w:hAnsi="Times New Roman" w:eastAsia="宋体" w:cs="Times New Roman"/>
                      <w:color w:val="000000" w:themeColor="text1"/>
                      <w14:textFill>
                        <w14:solidFill>
                          <w14:schemeClr w14:val="tx1"/>
                        </w14:solidFill>
                      </w14:textFill>
                    </w:rPr>
                    <w:t>侧外1m处</w:t>
                  </w:r>
                </w:p>
              </w:tc>
              <w:tc>
                <w:tcPr>
                  <w:tcW w:w="8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58</w:t>
                  </w:r>
                </w:p>
              </w:tc>
              <w:tc>
                <w:tcPr>
                  <w:tcW w:w="87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46</w:t>
                  </w:r>
                </w:p>
              </w:tc>
              <w:tc>
                <w:tcPr>
                  <w:tcW w:w="1532" w:type="pct"/>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22" w:type="pct"/>
                  <w:tcBorders>
                    <w:tl2br w:val="nil"/>
                    <w:tr2bl w:val="nil"/>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N5厂房北侧</w:t>
                  </w:r>
                  <w:r>
                    <w:rPr>
                      <w:rFonts w:hint="eastAsia" w:cs="Times New Roman"/>
                      <w:color w:val="000000" w:themeColor="text1"/>
                      <w:lang w:val="en-US" w:eastAsia="zh-CN"/>
                      <w14:textFill>
                        <w14:solidFill>
                          <w14:schemeClr w14:val="tx1"/>
                        </w14:solidFill>
                      </w14:textFill>
                    </w:rPr>
                    <w:t>40m处</w:t>
                  </w:r>
                  <w:r>
                    <w:rPr>
                      <w:rFonts w:hint="default" w:ascii="Times New Roman" w:hAnsi="Times New Roman" w:eastAsia="宋体" w:cs="Times New Roman"/>
                      <w:color w:val="000000" w:themeColor="text1"/>
                      <w:lang w:val="en-US" w:eastAsia="zh-CN"/>
                      <w14:textFill>
                        <w14:solidFill>
                          <w14:schemeClr w14:val="tx1"/>
                        </w14:solidFill>
                      </w14:textFill>
                    </w:rPr>
                    <w:t>居民点</w:t>
                  </w:r>
                </w:p>
              </w:tc>
              <w:tc>
                <w:tcPr>
                  <w:tcW w:w="871"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52</w:t>
                  </w:r>
                </w:p>
              </w:tc>
              <w:tc>
                <w:tcPr>
                  <w:tcW w:w="873" w:type="pct"/>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45</w:t>
                  </w:r>
                </w:p>
              </w:tc>
              <w:tc>
                <w:tcPr>
                  <w:tcW w:w="1532" w:type="pct"/>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《声环境质量标准》(GB3096-2008)中</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类标准。</w:t>
                  </w:r>
                </w:p>
              </w:tc>
            </w:tr>
          </w:tbl>
          <w:p>
            <w:pPr>
              <w:pStyle w:val="7"/>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default"/>
                <w:lang w:val="en-US" w:eastAsia="zh-CN"/>
              </w:rPr>
            </w:pPr>
            <w:r>
              <w:rPr>
                <w:rFonts w:hint="default" w:ascii="Times New Roman" w:hAnsi="Times New Roman" w:eastAsia="宋体" w:cs="Times New Roman"/>
                <w:color w:val="000000" w:themeColor="text1"/>
                <w:sz w:val="24"/>
                <w:szCs w:val="28"/>
                <w:lang w:eastAsia="zh-CN"/>
                <w14:textFill>
                  <w14:solidFill>
                    <w14:schemeClr w14:val="tx1"/>
                  </w14:solidFill>
                </w14:textFill>
              </w:rPr>
              <w:t>由上表可知，项目厂界噪声满足《声环境质量标准》(GB3096-2008)中3类标准；敏感点噪声满足《声环境质量标准》(GB3096-2008)中</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8"/>
                <w:lang w:eastAsia="zh-CN"/>
                <w14:textFill>
                  <w14:solidFill>
                    <w14:schemeClr w14:val="tx1"/>
                  </w14:solidFill>
                </w14:textFill>
              </w:rPr>
              <w:t>类标准。</w:t>
            </w:r>
          </w:p>
          <w:p>
            <w:pPr>
              <w:pStyle w:val="7"/>
              <w:ind w:left="0" w:leftChars="0" w:firstLine="0" w:firstLineChars="0"/>
              <w:rPr>
                <w:rFonts w:hint="default"/>
              </w:rPr>
            </w:pPr>
          </w:p>
          <w:p>
            <w:pPr>
              <w:pStyle w:val="7"/>
              <w:ind w:left="0" w:leftChars="0" w:firstLine="0" w:firstLineChars="0"/>
              <w:rPr>
                <w:rFonts w:hint="default"/>
              </w:rPr>
            </w:pPr>
          </w:p>
          <w:p>
            <w:pPr>
              <w:pStyle w:val="7"/>
              <w:ind w:left="0" w:leftChars="0" w:firstLine="0" w:firstLineChars="0"/>
              <w:rPr>
                <w:rFonts w:hint="default"/>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2" w:hRule="atLeast"/>
          <w:jc w:val="center"/>
        </w:trPr>
        <w:tc>
          <w:tcPr>
            <w:tcW w:w="800"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环境</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保护</w:t>
            </w:r>
          </w:p>
          <w:p>
            <w:pPr>
              <w:adjustRightInd w:val="0"/>
              <w:snapToGrid w:val="0"/>
              <w:jc w:val="center"/>
              <w:rPr>
                <w:rFonts w:hint="eastAsia" w:ascii="宋体" w:hAnsi="宋体" w:cs="宋体"/>
                <w:kern w:val="0"/>
                <w:szCs w:val="21"/>
              </w:rPr>
            </w:pPr>
            <w:r>
              <w:rPr>
                <w:rFonts w:hint="eastAsia" w:ascii="宋体" w:hAnsi="宋体" w:cs="宋体"/>
                <w:kern w:val="0"/>
                <w:sz w:val="24"/>
                <w:szCs w:val="24"/>
              </w:rPr>
              <w:t>目标</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sz w:val="24"/>
                <w:szCs w:val="32"/>
                <w14:textFill>
                  <w14:solidFill>
                    <w14:schemeClr w14:val="tx1"/>
                  </w14:solidFill>
                </w14:textFill>
              </w:rPr>
            </w:pPr>
            <w:r>
              <w:rPr>
                <w:rFonts w:hint="default"/>
                <w:color w:val="000000" w:themeColor="text1"/>
                <w:sz w:val="24"/>
                <w:szCs w:val="32"/>
                <w14:textFill>
                  <w14:solidFill>
                    <w14:schemeClr w14:val="tx1"/>
                  </w14:solidFill>
                </w14:textFill>
              </w:rPr>
              <w:t>经现场踏勘，项目主要环境保护目标见下表。</w:t>
            </w:r>
          </w:p>
          <w:p>
            <w:pPr>
              <w:snapToGrid w:val="0"/>
              <w:jc w:val="center"/>
              <w:rPr>
                <w:rFonts w:hint="default"/>
                <w:b/>
                <w:bCs/>
                <w:color w:val="000000" w:themeColor="text1"/>
                <w:u w:val="single"/>
                <w:lang w:val="en-US" w:eastAsia="zh-CN"/>
                <w14:textFill>
                  <w14:solidFill>
                    <w14:schemeClr w14:val="tx1"/>
                  </w14:solidFill>
                </w14:textFill>
              </w:rPr>
            </w:pPr>
            <w:r>
              <w:rPr>
                <w:rFonts w:hint="default"/>
                <w:b/>
                <w:bCs/>
                <w:color w:val="000000" w:themeColor="text1"/>
                <w:u w:val="single"/>
                <w:lang w:eastAsia="zh-CN"/>
                <w14:textFill>
                  <w14:solidFill>
                    <w14:schemeClr w14:val="tx1"/>
                  </w14:solidFill>
                </w14:textFill>
              </w:rPr>
              <w:t>表</w:t>
            </w:r>
            <w:r>
              <w:rPr>
                <w:rFonts w:hint="default"/>
                <w:b/>
                <w:bCs/>
                <w:color w:val="000000" w:themeColor="text1"/>
                <w:u w:val="single"/>
                <w:lang w:val="en-US" w:eastAsia="zh-CN"/>
                <w14:textFill>
                  <w14:solidFill>
                    <w14:schemeClr w14:val="tx1"/>
                  </w14:solidFill>
                </w14:textFill>
              </w:rPr>
              <w:t>3-</w:t>
            </w:r>
            <w:r>
              <w:rPr>
                <w:rFonts w:hint="eastAsia"/>
                <w:b/>
                <w:bCs/>
                <w:color w:val="000000" w:themeColor="text1"/>
                <w:u w:val="single"/>
                <w:lang w:val="en-US" w:eastAsia="zh-CN"/>
                <w14:textFill>
                  <w14:solidFill>
                    <w14:schemeClr w14:val="tx1"/>
                  </w14:solidFill>
                </w14:textFill>
              </w:rPr>
              <w:t>5</w:t>
            </w:r>
            <w:r>
              <w:rPr>
                <w:rFonts w:hint="default"/>
                <w:b/>
                <w:bCs/>
                <w:color w:val="000000" w:themeColor="text1"/>
                <w:u w:val="single"/>
                <w:lang w:val="en-US" w:eastAsia="zh-CN"/>
                <w14:textFill>
                  <w14:solidFill>
                    <w14:schemeClr w14:val="tx1"/>
                  </w14:solidFill>
                </w14:textFill>
              </w:rPr>
              <w:t xml:space="preserve">  环境空气环境保护目标</w:t>
            </w:r>
          </w:p>
          <w:tbl>
            <w:tblPr>
              <w:tblStyle w:val="27"/>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885"/>
              <w:gridCol w:w="825"/>
              <w:gridCol w:w="983"/>
              <w:gridCol w:w="1008"/>
              <w:gridCol w:w="1018"/>
              <w:gridCol w:w="1051"/>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5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名称</w:t>
                  </w:r>
                </w:p>
              </w:tc>
              <w:tc>
                <w:tcPr>
                  <w:tcW w:w="107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坐标</w:t>
                  </w:r>
                </w:p>
              </w:tc>
              <w:tc>
                <w:tcPr>
                  <w:tcW w:w="6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保护</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对象</w:t>
                  </w:r>
                </w:p>
              </w:tc>
              <w:tc>
                <w:tcPr>
                  <w:tcW w:w="63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规模</w:t>
                  </w:r>
                </w:p>
              </w:tc>
              <w:tc>
                <w:tcPr>
                  <w:tcW w:w="6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相对场址方位</w:t>
                  </w:r>
                </w:p>
              </w:tc>
              <w:tc>
                <w:tcPr>
                  <w:tcW w:w="66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相对厂界距离/m</w:t>
                  </w:r>
                </w:p>
              </w:tc>
              <w:tc>
                <w:tcPr>
                  <w:tcW w:w="61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57"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55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X</w:t>
                  </w:r>
                </w:p>
              </w:tc>
              <w:tc>
                <w:tcPr>
                  <w:tcW w:w="51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Y</w:t>
                  </w:r>
                </w:p>
              </w:tc>
              <w:tc>
                <w:tcPr>
                  <w:tcW w:w="617"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633"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639"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660"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617"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红石学校</w:t>
                  </w:r>
                </w:p>
              </w:tc>
              <w:tc>
                <w:tcPr>
                  <w:tcW w:w="55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90</w:t>
                  </w:r>
                </w:p>
              </w:tc>
              <w:tc>
                <w:tcPr>
                  <w:tcW w:w="51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-300</w:t>
                  </w:r>
                </w:p>
              </w:tc>
              <w:tc>
                <w:tcPr>
                  <w:tcW w:w="61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学生</w:t>
                  </w:r>
                </w:p>
              </w:tc>
              <w:tc>
                <w:tcPr>
                  <w:tcW w:w="633"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600人</w:t>
                  </w:r>
                </w:p>
              </w:tc>
              <w:tc>
                <w:tcPr>
                  <w:tcW w:w="63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ES</w:t>
                  </w:r>
                </w:p>
              </w:tc>
              <w:tc>
                <w:tcPr>
                  <w:tcW w:w="660"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220m</w:t>
                  </w:r>
                </w:p>
              </w:tc>
              <w:tc>
                <w:tcPr>
                  <w:tcW w:w="617" w:type="pct"/>
                  <w:vMerge w:val="restar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燕家屋场</w:t>
                  </w:r>
                </w:p>
              </w:tc>
              <w:tc>
                <w:tcPr>
                  <w:tcW w:w="55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256</w:t>
                  </w:r>
                </w:p>
              </w:tc>
              <w:tc>
                <w:tcPr>
                  <w:tcW w:w="51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-266</w:t>
                  </w:r>
                </w:p>
              </w:tc>
              <w:tc>
                <w:tcPr>
                  <w:tcW w:w="61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村民</w:t>
                  </w:r>
                </w:p>
              </w:tc>
              <w:tc>
                <w:tcPr>
                  <w:tcW w:w="633"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30户</w:t>
                  </w:r>
                </w:p>
              </w:tc>
              <w:tc>
                <w:tcPr>
                  <w:tcW w:w="63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ES</w:t>
                  </w:r>
                </w:p>
              </w:tc>
              <w:tc>
                <w:tcPr>
                  <w:tcW w:w="660"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350m</w:t>
                  </w:r>
                </w:p>
              </w:tc>
              <w:tc>
                <w:tcPr>
                  <w:tcW w:w="617"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石伏村居民点1</w:t>
                  </w:r>
                </w:p>
              </w:tc>
              <w:tc>
                <w:tcPr>
                  <w:tcW w:w="55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40</w:t>
                  </w:r>
                </w:p>
              </w:tc>
              <w:tc>
                <w:tcPr>
                  <w:tcW w:w="51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-326</w:t>
                  </w:r>
                </w:p>
              </w:tc>
              <w:tc>
                <w:tcPr>
                  <w:tcW w:w="61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村民</w:t>
                  </w:r>
                </w:p>
              </w:tc>
              <w:tc>
                <w:tcPr>
                  <w:tcW w:w="633"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50户</w:t>
                  </w:r>
                </w:p>
              </w:tc>
              <w:tc>
                <w:tcPr>
                  <w:tcW w:w="63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S</w:t>
                  </w:r>
                </w:p>
              </w:tc>
              <w:tc>
                <w:tcPr>
                  <w:tcW w:w="660"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340m</w:t>
                  </w:r>
                </w:p>
              </w:tc>
              <w:tc>
                <w:tcPr>
                  <w:tcW w:w="617"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石伏村居民点2</w:t>
                  </w:r>
                </w:p>
              </w:tc>
              <w:tc>
                <w:tcPr>
                  <w:tcW w:w="55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-190</w:t>
                  </w:r>
                </w:p>
              </w:tc>
              <w:tc>
                <w:tcPr>
                  <w:tcW w:w="51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221</w:t>
                  </w:r>
                </w:p>
              </w:tc>
              <w:tc>
                <w:tcPr>
                  <w:tcW w:w="61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村民</w:t>
                  </w:r>
                </w:p>
              </w:tc>
              <w:tc>
                <w:tcPr>
                  <w:tcW w:w="633"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20户</w:t>
                  </w:r>
                </w:p>
              </w:tc>
              <w:tc>
                <w:tcPr>
                  <w:tcW w:w="63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WN</w:t>
                  </w:r>
                </w:p>
              </w:tc>
              <w:tc>
                <w:tcPr>
                  <w:tcW w:w="660"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370m</w:t>
                  </w:r>
                </w:p>
              </w:tc>
              <w:tc>
                <w:tcPr>
                  <w:tcW w:w="617"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7"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石伏村居民点3</w:t>
                  </w:r>
                </w:p>
              </w:tc>
              <w:tc>
                <w:tcPr>
                  <w:tcW w:w="556"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0</w:t>
                  </w:r>
                </w:p>
              </w:tc>
              <w:tc>
                <w:tcPr>
                  <w:tcW w:w="51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40</w:t>
                  </w:r>
                </w:p>
              </w:tc>
              <w:tc>
                <w:tcPr>
                  <w:tcW w:w="61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村民</w:t>
                  </w:r>
                </w:p>
              </w:tc>
              <w:tc>
                <w:tcPr>
                  <w:tcW w:w="633"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户</w:t>
                  </w:r>
                </w:p>
              </w:tc>
              <w:tc>
                <w:tcPr>
                  <w:tcW w:w="639"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N</w:t>
                  </w:r>
                </w:p>
              </w:tc>
              <w:tc>
                <w:tcPr>
                  <w:tcW w:w="660"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eastAsia="宋体" w:cs="Times New Roman"/>
                      <w:color w:val="000000" w:themeColor="text1"/>
                      <w:sz w:val="21"/>
                      <w:szCs w:val="21"/>
                      <w:u w:val="single"/>
                      <w:lang w:val="en-US" w:eastAsia="zh-CN"/>
                      <w14:textFill>
                        <w14:solidFill>
                          <w14:schemeClr w14:val="tx1"/>
                        </w14:solidFill>
                      </w14:textFill>
                    </w:rPr>
                    <w:t>40</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m</w:t>
                  </w:r>
                </w:p>
              </w:tc>
              <w:tc>
                <w:tcPr>
                  <w:tcW w:w="617"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r>
          </w:tbl>
          <w:p>
            <w:pPr>
              <w:pStyle w:val="2"/>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备注：坐标以本项目厂区中心点位原点（经纬度坐标：经度：E112°35′45.26″，纬度：N29°32′23.39″），东西方向为X轴，南北方向为Y轴。</w:t>
            </w:r>
          </w:p>
          <w:p>
            <w:pPr>
              <w:snapToGrid w:val="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表</w:t>
            </w:r>
            <w:r>
              <w:rPr>
                <w:rFonts w:hint="default"/>
                <w:b/>
                <w:bCs/>
                <w:color w:val="000000" w:themeColor="text1"/>
                <w:lang w:val="en-US" w:eastAsia="zh-CN"/>
                <w14:textFill>
                  <w14:solidFill>
                    <w14:schemeClr w14:val="tx1"/>
                  </w14:solidFill>
                </w14:textFill>
              </w:rPr>
              <w:t>3-</w:t>
            </w:r>
            <w:r>
              <w:rPr>
                <w:rFonts w:hint="eastAsia"/>
                <w:b/>
                <w:bCs/>
                <w:color w:val="000000" w:themeColor="text1"/>
                <w:lang w:val="en-US" w:eastAsia="zh-CN"/>
                <w14:textFill>
                  <w14:solidFill>
                    <w14:schemeClr w14:val="tx1"/>
                  </w14:solidFill>
                </w14:textFill>
              </w:rPr>
              <w:t>6</w:t>
            </w:r>
            <w:r>
              <w:rPr>
                <w:rFonts w:hint="default"/>
                <w:b/>
                <w:bCs/>
                <w:color w:val="000000" w:themeColor="text1"/>
                <w:lang w:val="en-US" w:eastAsia="zh-CN"/>
                <w14:textFill>
                  <w14:solidFill>
                    <w14:schemeClr w14:val="tx1"/>
                  </w14:solidFill>
                </w14:textFill>
              </w:rPr>
              <w:t xml:space="preserve">  </w:t>
            </w:r>
            <w:r>
              <w:rPr>
                <w:rFonts w:hint="eastAsia"/>
                <w:b/>
                <w:bCs/>
                <w:color w:val="000000" w:themeColor="text1"/>
                <w:lang w:eastAsia="zh-CN"/>
                <w14:textFill>
                  <w14:solidFill>
                    <w14:schemeClr w14:val="tx1"/>
                  </w14:solidFill>
                </w14:textFill>
              </w:rPr>
              <w:t>声</w:t>
            </w:r>
            <w:r>
              <w:rPr>
                <w:rFonts w:hint="default"/>
                <w:b/>
                <w:bCs/>
                <w:color w:val="000000" w:themeColor="text1"/>
                <w14:textFill>
                  <w14:solidFill>
                    <w14:schemeClr w14:val="tx1"/>
                  </w14:solidFill>
                </w14:textFill>
              </w:rPr>
              <w:t>环境保护目标一览表</w:t>
            </w:r>
          </w:p>
          <w:tbl>
            <w:tblPr>
              <w:tblStyle w:val="2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287"/>
              <w:gridCol w:w="969"/>
              <w:gridCol w:w="2248"/>
              <w:gridCol w:w="2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60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名称</w:t>
                  </w:r>
                </w:p>
              </w:tc>
              <w:tc>
                <w:tcPr>
                  <w:tcW w:w="80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功能区</w:t>
                  </w:r>
                </w:p>
              </w:tc>
              <w:tc>
                <w:tcPr>
                  <w:tcW w:w="60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规模</w:t>
                  </w:r>
                </w:p>
              </w:tc>
              <w:tc>
                <w:tcPr>
                  <w:tcW w:w="141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相对场址方位</w:t>
                  </w:r>
                </w:p>
              </w:tc>
              <w:tc>
                <w:tcPr>
                  <w:tcW w:w="156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08"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cs="Times New Roman"/>
                      <w:color w:val="000000" w:themeColor="text1"/>
                      <w:lang w:val="en-US" w:eastAsia="zh-CN"/>
                      <w14:textFill>
                        <w14:solidFill>
                          <w14:schemeClr w14:val="tx1"/>
                        </w14:solidFill>
                      </w14:textFill>
                    </w:rPr>
                  </w:pPr>
                </w:p>
              </w:tc>
              <w:tc>
                <w:tcPr>
                  <w:tcW w:w="808"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cs="Times New Roman"/>
                      <w:color w:val="000000" w:themeColor="text1"/>
                      <w:lang w:val="en-US" w:eastAsia="zh-CN"/>
                      <w14:textFill>
                        <w14:solidFill>
                          <w14:schemeClr w14:val="tx1"/>
                        </w14:solidFill>
                      </w14:textFill>
                    </w:rPr>
                  </w:pPr>
                </w:p>
              </w:tc>
              <w:tc>
                <w:tcPr>
                  <w:tcW w:w="608"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cs="Times New Roman"/>
                      <w:color w:val="000000" w:themeColor="text1"/>
                      <w:lang w:val="en-US" w:eastAsia="zh-CN"/>
                      <w14:textFill>
                        <w14:solidFill>
                          <w14:schemeClr w14:val="tx1"/>
                        </w14:solidFill>
                      </w14:textFill>
                    </w:rPr>
                  </w:pPr>
                </w:p>
              </w:tc>
              <w:tc>
                <w:tcPr>
                  <w:tcW w:w="1411"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cs="Times New Roman"/>
                      <w:color w:val="000000" w:themeColor="text1"/>
                      <w:lang w:val="en-US" w:eastAsia="zh-CN"/>
                      <w14:textFill>
                        <w14:solidFill>
                          <w14:schemeClr w14:val="tx1"/>
                        </w14:solidFill>
                      </w14:textFill>
                    </w:rPr>
                  </w:pPr>
                </w:p>
              </w:tc>
              <w:tc>
                <w:tcPr>
                  <w:tcW w:w="1562" w:type="pct"/>
                  <w:vMerge w:val="continue"/>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0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村民</w:t>
                  </w:r>
                </w:p>
              </w:tc>
              <w:tc>
                <w:tcPr>
                  <w:tcW w:w="80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居住区</w:t>
                  </w:r>
                </w:p>
              </w:tc>
              <w:tc>
                <w:tcPr>
                  <w:tcW w:w="608"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户</w:t>
                  </w:r>
                </w:p>
              </w:tc>
              <w:tc>
                <w:tcPr>
                  <w:tcW w:w="1411"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w:t>
                  </w:r>
                </w:p>
              </w:tc>
              <w:tc>
                <w:tcPr>
                  <w:tcW w:w="1562" w:type="pct"/>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before="0" w:beforeLines="0" w:after="0" w:afterLine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距约40m</w:t>
                  </w:r>
                </w:p>
              </w:tc>
            </w:tr>
          </w:tbl>
          <w:p>
            <w:pPr>
              <w:pStyle w:val="7"/>
              <w:ind w:left="0" w:leftChars="0" w:firstLine="0" w:firstLineChars="0"/>
              <w:rPr>
                <w:rFonts w:hint="default" w:ascii="宋体" w:hAnsi="宋体" w:eastAsia="宋体" w:cs="宋体"/>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污染</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物排</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放控</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制标</w:t>
            </w:r>
          </w:p>
          <w:p>
            <w:pPr>
              <w:adjustRightInd w:val="0"/>
              <w:snapToGrid w:val="0"/>
              <w:jc w:val="center"/>
              <w:rPr>
                <w:rFonts w:ascii="宋体" w:hAnsi="宋体" w:cs="宋体"/>
                <w:kern w:val="0"/>
                <w:szCs w:val="21"/>
              </w:rPr>
            </w:pPr>
            <w:r>
              <w:rPr>
                <w:rFonts w:hint="eastAsia" w:ascii="宋体" w:hAnsi="宋体" w:cs="宋体"/>
                <w:kern w:val="0"/>
                <w:sz w:val="24"/>
                <w:szCs w:val="24"/>
              </w:rPr>
              <w:t>准</w:t>
            </w:r>
          </w:p>
        </w:tc>
        <w:tc>
          <w:tcPr>
            <w:tcW w:w="819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32"/>
                <w:u w:val="singl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32"/>
                <w:u w:val="single"/>
                <w14:textFill>
                  <w14:solidFill>
                    <w14:schemeClr w14:val="tx1"/>
                  </w14:solidFill>
                </w14:textFill>
              </w:rPr>
              <w:t>废气：本项目生产过程产生的废气主要为</w:t>
            </w: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颗粒物、氯化氢、氨气</w:t>
            </w:r>
            <w:r>
              <w:rPr>
                <w:rFonts w:hint="default" w:ascii="Times New Roman" w:hAnsi="Times New Roman" w:eastAsia="宋体" w:cs="Times New Roman"/>
                <w:color w:val="000000" w:themeColor="text1"/>
                <w:sz w:val="24"/>
                <w:szCs w:val="32"/>
                <w:u w:val="single"/>
                <w14:textFill>
                  <w14:solidFill>
                    <w14:schemeClr w14:val="tx1"/>
                  </w14:solidFill>
                </w14:textFill>
              </w:rPr>
              <w:t>，</w:t>
            </w: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颗粒物、氯化氢</w:t>
            </w:r>
            <w:r>
              <w:rPr>
                <w:rFonts w:hint="default" w:ascii="Times New Roman" w:hAnsi="Times New Roman" w:eastAsia="宋体" w:cs="Times New Roman"/>
                <w:color w:val="000000" w:themeColor="text1"/>
                <w:sz w:val="24"/>
                <w:szCs w:val="32"/>
                <w:u w:val="single"/>
                <w14:textFill>
                  <w14:solidFill>
                    <w14:schemeClr w14:val="tx1"/>
                  </w14:solidFill>
                </w14:textFill>
              </w:rPr>
              <w:t>排放</w:t>
            </w: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限值</w:t>
            </w:r>
            <w:r>
              <w:rPr>
                <w:rFonts w:hint="default" w:ascii="Times New Roman" w:hAnsi="Times New Roman" w:eastAsia="宋体" w:cs="Times New Roman"/>
                <w:color w:val="000000" w:themeColor="text1"/>
                <w:sz w:val="24"/>
                <w:szCs w:val="32"/>
                <w:u w:val="single"/>
                <w14:textFill>
                  <w14:solidFill>
                    <w14:schemeClr w14:val="tx1"/>
                  </w14:solidFill>
                </w14:textFill>
              </w:rPr>
              <w:t>参照</w:t>
            </w:r>
            <w:r>
              <w:rPr>
                <w:rFonts w:hint="default" w:ascii="Times New Roman" w:hAnsi="Times New Roman" w:eastAsia="宋体" w:cs="Times New Roman"/>
                <w:color w:val="000000" w:themeColor="text1"/>
                <w:sz w:val="24"/>
                <w:szCs w:val="32"/>
                <w:u w:val="single"/>
                <w:lang w:val="en-US" w:eastAsia="zh-CN"/>
                <w14:textFill>
                  <w14:solidFill>
                    <w14:schemeClr w14:val="tx1"/>
                  </w14:solidFill>
                </w14:textFill>
              </w:rPr>
              <w:t>《大气污染物综合排放标准》(GB16297-1996)二级标准；氨气参照《恶臭污染物排放标准》（GB14554-93）2级标准。</w:t>
            </w:r>
          </w:p>
          <w:p>
            <w:pPr>
              <w:pStyle w:val="51"/>
              <w:numPr>
                <w:ilvl w:val="0"/>
                <w:numId w:val="0"/>
              </w:numPr>
              <w:tabs>
                <w:tab w:val="left" w:pos="718"/>
              </w:tabs>
              <w:spacing w:before="81" w:after="0" w:line="240" w:lineRule="auto"/>
              <w:ind w:right="77" w:rightChars="0"/>
              <w:jc w:val="center"/>
              <w:rPr>
                <w:rFonts w:hint="default" w:ascii="Times New Roman" w:hAnsi="Times New Roman" w:eastAsia="宋体" w:cs="Times New Roman"/>
                <w:b/>
                <w:bCs/>
                <w:color w:val="000000" w:themeColor="text1"/>
                <w:sz w:val="21"/>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4"/>
                <w:u w:val="single"/>
                <w:lang w:val="en-US" w:eastAsia="zh-CN"/>
                <w14:textFill>
                  <w14:solidFill>
                    <w14:schemeClr w14:val="tx1"/>
                  </w14:solidFill>
                </w14:textFill>
              </w:rPr>
              <w:t>表3-7  污染物排放标准</w:t>
            </w:r>
          </w:p>
          <w:tbl>
            <w:tblPr>
              <w:tblStyle w:val="2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214"/>
              <w:gridCol w:w="2217"/>
              <w:gridCol w:w="2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4" w:hRule="atLeast"/>
              </w:trPr>
              <w:tc>
                <w:tcPr>
                  <w:tcW w:w="8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项目</w:t>
                  </w:r>
                </w:p>
              </w:tc>
              <w:tc>
                <w:tcPr>
                  <w:tcW w:w="2782"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标准值</w:t>
                  </w:r>
                </w:p>
              </w:tc>
              <w:tc>
                <w:tcPr>
                  <w:tcW w:w="139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执行标准及级别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颗粒物</w:t>
                  </w:r>
                </w:p>
              </w:tc>
              <w:tc>
                <w:tcPr>
                  <w:tcW w:w="139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有组织排放浓度限值120mg/m</w:t>
                  </w:r>
                  <w:r>
                    <w:rPr>
                      <w:rFonts w:hint="default" w:ascii="Times New Roman" w:hAnsi="Times New Roman" w:eastAsia="宋体"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u w:val="single"/>
                      <w:lang w:val="en-US" w:eastAsia="zh-CN"/>
                      <w14:textFill>
                        <w14:solidFill>
                          <w14:schemeClr w14:val="tx1"/>
                        </w14:solidFill>
                      </w14:textFill>
                    </w:rPr>
                    <w:t>（15m高排气筒）</w:t>
                  </w:r>
                </w:p>
              </w:tc>
              <w:tc>
                <w:tcPr>
                  <w:tcW w:w="139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无组织排放浓度限值1.0mg/m</w:t>
                  </w:r>
                  <w:r>
                    <w:rPr>
                      <w:rFonts w:hint="default" w:ascii="Times New Roman" w:hAnsi="Times New Roman" w:eastAsia="宋体" w:cs="Times New Roman"/>
                      <w:color w:val="000000" w:themeColor="text1"/>
                      <w:u w:val="single"/>
                      <w:vertAlign w:val="superscript"/>
                      <w:lang w:val="en-US" w:eastAsia="zh-CN"/>
                      <w14:textFill>
                        <w14:solidFill>
                          <w14:schemeClr w14:val="tx1"/>
                        </w14:solidFill>
                      </w14:textFill>
                    </w:rPr>
                    <w:t>3</w:t>
                  </w:r>
                </w:p>
              </w:tc>
              <w:tc>
                <w:tcPr>
                  <w:tcW w:w="1390"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《大气污染物综合排放标准》(GB16297-1996)二级标准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氯化氢</w:t>
                  </w:r>
                </w:p>
              </w:tc>
              <w:tc>
                <w:tcPr>
                  <w:tcW w:w="139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有组织排放浓度限值100mg/m</w:t>
                  </w:r>
                  <w:r>
                    <w:rPr>
                      <w:rFonts w:hint="default" w:ascii="Times New Roman" w:hAnsi="Times New Roman" w:eastAsia="宋体" w:cs="Times New Roman"/>
                      <w:color w:val="000000" w:themeColor="text1"/>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u w:val="single"/>
                      <w:lang w:val="en-US" w:eastAsia="zh-CN"/>
                      <w14:textFill>
                        <w14:solidFill>
                          <w14:schemeClr w14:val="tx1"/>
                        </w14:solidFill>
                      </w14:textFill>
                    </w:rPr>
                    <w:t>（15m高排气筒）</w:t>
                  </w:r>
                </w:p>
              </w:tc>
              <w:tc>
                <w:tcPr>
                  <w:tcW w:w="139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无组织排放浓度限值0.2mg/m</w:t>
                  </w:r>
                  <w:r>
                    <w:rPr>
                      <w:rFonts w:hint="default" w:ascii="Times New Roman" w:hAnsi="Times New Roman" w:eastAsia="宋体" w:cs="Times New Roman"/>
                      <w:color w:val="000000" w:themeColor="text1"/>
                      <w:u w:val="single"/>
                      <w:vertAlign w:val="superscript"/>
                      <w:lang w:val="en-US" w:eastAsia="zh-CN"/>
                      <w14:textFill>
                        <w14:solidFill>
                          <w14:schemeClr w14:val="tx1"/>
                        </w14:solidFill>
                      </w14:textFill>
                    </w:rPr>
                    <w:t>3</w:t>
                  </w:r>
                </w:p>
              </w:tc>
              <w:tc>
                <w:tcPr>
                  <w:tcW w:w="139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氨气</w:t>
                  </w:r>
                </w:p>
              </w:tc>
              <w:tc>
                <w:tcPr>
                  <w:tcW w:w="139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有组织排放限值4.9kg/h（15m高排气筒）</w:t>
                  </w:r>
                </w:p>
              </w:tc>
              <w:tc>
                <w:tcPr>
                  <w:tcW w:w="139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无组织排放浓度限值1.5mg/m</w:t>
                  </w:r>
                  <w:r>
                    <w:rPr>
                      <w:rFonts w:hint="default" w:ascii="Times New Roman" w:hAnsi="Times New Roman" w:eastAsia="宋体" w:cs="Times New Roman"/>
                      <w:color w:val="000000" w:themeColor="text1"/>
                      <w:u w:val="single"/>
                      <w:vertAlign w:val="superscript"/>
                      <w:lang w:val="en-US" w:eastAsia="zh-CN"/>
                      <w14:textFill>
                        <w14:solidFill>
                          <w14:schemeClr w14:val="tx1"/>
                        </w14:solidFill>
                      </w14:textFill>
                    </w:rPr>
                    <w:t>3</w:t>
                  </w:r>
                </w:p>
              </w:tc>
              <w:tc>
                <w:tcPr>
                  <w:tcW w:w="139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《恶臭污染物排放标准》（GB14554-93）</w:t>
                  </w:r>
                </w:p>
              </w:tc>
            </w:tr>
          </w:tbl>
          <w:p>
            <w:pPr>
              <w:pStyle w:val="51"/>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废水：项目生活废水执行《污水综合排放标准》（GB8978-1996）三级标准，其中氨氮参考《污水排入城镇下水道水质标准》（GB/T31962-2015）表1标准</w:t>
            </w:r>
            <w:r>
              <w:rPr>
                <w:rFonts w:hint="default" w:ascii="Times New Roman" w:hAnsi="Times New Roman" w:eastAsia="宋体" w:cs="Times New Roman"/>
                <w:color w:val="000000" w:themeColor="text1"/>
                <w:sz w:val="24"/>
                <w:szCs w:val="24"/>
                <w:lang w:eastAsia="zh-CN"/>
                <w14:textFill>
                  <w14:solidFill>
                    <w14:schemeClr w14:val="tx1"/>
                  </w14:solidFill>
                </w14:textFill>
              </w:rPr>
              <w:t>后</w:t>
            </w:r>
            <w:r>
              <w:rPr>
                <w:rFonts w:hint="default" w:ascii="Times New Roman" w:hAnsi="Times New Roman" w:eastAsia="宋体" w:cs="Times New Roman"/>
                <w:color w:val="000000" w:themeColor="text1"/>
                <w:sz w:val="24"/>
                <w:szCs w:val="24"/>
                <w14:textFill>
                  <w14:solidFill>
                    <w14:schemeClr w14:val="tx1"/>
                  </w14:solidFill>
                </w14:textFill>
              </w:rPr>
              <w:t>排入</w:t>
            </w:r>
            <w:r>
              <w:rPr>
                <w:rFonts w:hint="default" w:ascii="Times New Roman" w:hAnsi="Times New Roman" w:eastAsia="宋体" w:cs="Times New Roman"/>
                <w:color w:val="000000" w:themeColor="text1"/>
                <w:sz w:val="24"/>
                <w:szCs w:val="24"/>
                <w:lang w:eastAsia="zh-CN"/>
                <w14:textFill>
                  <w14:solidFill>
                    <w14:schemeClr w14:val="tx1"/>
                  </w14:solidFill>
                </w14:textFill>
              </w:rPr>
              <w:t>厂</w:t>
            </w:r>
            <w:r>
              <w:rPr>
                <w:rFonts w:hint="default" w:ascii="Times New Roman" w:hAnsi="Times New Roman" w:eastAsia="宋体" w:cs="Times New Roman"/>
                <w:color w:val="000000" w:themeColor="text1"/>
                <w:sz w:val="24"/>
                <w:szCs w:val="24"/>
                <w14:textFill>
                  <w14:solidFill>
                    <w14:schemeClr w14:val="tx1"/>
                  </w14:solidFill>
                </w14:textFill>
              </w:rPr>
              <w:t>区管网送至</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华容县桥东污水处理厂</w:t>
            </w:r>
            <w:r>
              <w:rPr>
                <w:rFonts w:hint="default" w:ascii="Times New Roman" w:hAnsi="Times New Roman" w:eastAsia="宋体" w:cs="Times New Roman"/>
                <w:color w:val="000000" w:themeColor="text1"/>
                <w:sz w:val="24"/>
                <w:szCs w:val="24"/>
                <w14:textFill>
                  <w14:solidFill>
                    <w14:schemeClr w14:val="tx1"/>
                  </w14:solidFill>
                </w14:textFill>
              </w:rPr>
              <w:t>处理达标排放至</w:t>
            </w:r>
            <w:r>
              <w:rPr>
                <w:rFonts w:hint="default" w:ascii="Times New Roman" w:hAnsi="Times New Roman" w:eastAsia="宋体" w:cs="Times New Roman"/>
                <w:color w:val="000000" w:themeColor="text1"/>
                <w:sz w:val="24"/>
                <w:szCs w:val="24"/>
                <w:lang w:eastAsia="zh-CN"/>
                <w14:textFill>
                  <w14:solidFill>
                    <w14:schemeClr w14:val="tx1"/>
                  </w14:solidFill>
                </w14:textFill>
              </w:rPr>
              <w:t>华容河</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51"/>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eastAsia="zh-CN"/>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3-8  </w:t>
            </w:r>
            <w:r>
              <w:rPr>
                <w:rFonts w:hint="default" w:ascii="Times New Roman" w:hAnsi="Times New Roman" w:eastAsia="宋体" w:cs="Times New Roman"/>
                <w:b/>
                <w:bCs/>
                <w:color w:val="000000" w:themeColor="text1"/>
                <w14:textFill>
                  <w14:solidFill>
                    <w14:schemeClr w14:val="tx1"/>
                  </w14:solidFill>
                </w14:textFill>
              </w:rPr>
              <w:t>污水综合排放三级</w:t>
            </w:r>
            <w:r>
              <w:rPr>
                <w:rFonts w:hint="default" w:ascii="Times New Roman" w:hAnsi="Times New Roman" w:eastAsia="宋体" w:cs="Times New Roman"/>
                <w:b/>
                <w:bCs/>
                <w:color w:val="000000" w:themeColor="text1"/>
                <w:lang w:eastAsia="zh-CN"/>
                <w14:textFill>
                  <w14:solidFill>
                    <w14:schemeClr w14:val="tx1"/>
                  </w14:solidFill>
                </w14:textFill>
              </w:rPr>
              <w:t>标准</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单位mg/L</w:t>
            </w:r>
          </w:p>
          <w:tbl>
            <w:tblPr>
              <w:tblStyle w:val="27"/>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3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72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项目类别</w:t>
                  </w:r>
                </w:p>
              </w:tc>
              <w:tc>
                <w:tcPr>
                  <w:tcW w:w="2270"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2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pH（无量纲）</w:t>
                  </w:r>
                </w:p>
              </w:tc>
              <w:tc>
                <w:tcPr>
                  <w:tcW w:w="2270"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2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COD</w:t>
                  </w:r>
                </w:p>
              </w:tc>
              <w:tc>
                <w:tcPr>
                  <w:tcW w:w="2270"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72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BOD</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5</w:t>
                  </w:r>
                </w:p>
              </w:tc>
              <w:tc>
                <w:tcPr>
                  <w:tcW w:w="2270"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72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SS</w:t>
                  </w:r>
                </w:p>
              </w:tc>
              <w:tc>
                <w:tcPr>
                  <w:tcW w:w="2270"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72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氨氮</w:t>
                  </w:r>
                </w:p>
              </w:tc>
              <w:tc>
                <w:tcPr>
                  <w:tcW w:w="2270"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45</w:t>
                  </w:r>
                </w:p>
              </w:tc>
            </w:tr>
          </w:tbl>
          <w:p>
            <w:pPr>
              <w:pStyle w:val="51"/>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）噪声：</w:t>
            </w:r>
            <w:r>
              <w:rPr>
                <w:rFonts w:hint="default" w:ascii="Times New Roman" w:hAnsi="Times New Roman" w:eastAsia="宋体" w:cs="Times New Roman"/>
                <w:color w:val="000000" w:themeColor="text1"/>
                <w:sz w:val="24"/>
                <w:szCs w:val="24"/>
                <w14:textFill>
                  <w14:solidFill>
                    <w14:schemeClr w14:val="tx1"/>
                  </w14:solidFill>
                </w14:textFill>
              </w:rPr>
              <w:t>营运期执行《工业企业厂界噪声排放标准》（GB12348-2008）3类标准。</w:t>
            </w:r>
          </w:p>
          <w:p>
            <w:pPr>
              <w:pStyle w:val="51"/>
              <w:numPr>
                <w:ilvl w:val="0"/>
                <w:numId w:val="0"/>
              </w:numPr>
              <w:tabs>
                <w:tab w:val="left" w:pos="718"/>
              </w:tabs>
              <w:spacing w:before="2" w:after="0" w:line="240" w:lineRule="auto"/>
              <w:ind w:left="116" w:leftChars="0" w:right="-58" w:rightChars="0"/>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表3-9  环境噪声排放标准  单位dB(A)</w:t>
            </w:r>
          </w:p>
          <w:tbl>
            <w:tblPr>
              <w:tblStyle w:val="27"/>
              <w:tblW w:w="4999"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591"/>
              <w:gridCol w:w="1593"/>
              <w:gridCol w:w="3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99" w:type="pct"/>
                  <w:vMerge w:val="restar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功能类别</w:t>
                  </w:r>
                </w:p>
              </w:tc>
              <w:tc>
                <w:tcPr>
                  <w:tcW w:w="1999" w:type="pct"/>
                  <w:gridSpan w:val="2"/>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标准值</w:t>
                  </w:r>
                </w:p>
              </w:tc>
              <w:tc>
                <w:tcPr>
                  <w:tcW w:w="2000" w:type="pct"/>
                  <w:vMerge w:val="restar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p>
              </w:tc>
              <w:tc>
                <w:tcPr>
                  <w:tcW w:w="99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昼间</w:t>
                  </w:r>
                </w:p>
              </w:tc>
              <w:tc>
                <w:tcPr>
                  <w:tcW w:w="99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夜间</w:t>
                  </w:r>
                </w:p>
              </w:tc>
              <w:tc>
                <w:tcPr>
                  <w:tcW w:w="2000" w:type="pct"/>
                  <w:vMerge w:val="continue"/>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3类</w:t>
                  </w:r>
                </w:p>
              </w:tc>
              <w:tc>
                <w:tcPr>
                  <w:tcW w:w="99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65</w:t>
                  </w:r>
                </w:p>
              </w:tc>
              <w:tc>
                <w:tcPr>
                  <w:tcW w:w="999"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55</w:t>
                  </w:r>
                </w:p>
              </w:tc>
              <w:tc>
                <w:tcPr>
                  <w:tcW w:w="2000" w:type="pct"/>
                  <w:tcBorders>
                    <w:tl2br w:val="nil"/>
                    <w:tr2bl w:val="nil"/>
                  </w:tcBorders>
                  <w:vAlign w:val="center"/>
                </w:tcPr>
                <w:p>
                  <w:pPr>
                    <w:bidi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《工业企业边界噪声排放标准》（GB12348-2008）</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rPr>
            </w:pP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32"/>
                <w:u w:val="singl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32"/>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32"/>
                <w:u w:val="single"/>
                <w14:textFill>
                  <w14:solidFill>
                    <w14:schemeClr w14:val="tx1"/>
                  </w14:solidFill>
                </w14:textFill>
              </w:rPr>
              <w:t>固体废物：一般固体废物执行《一般工业固体废物贮存和填埋污染控制标准》(GB 18599-2020)</w:t>
            </w:r>
            <w:r>
              <w:rPr>
                <w:rFonts w:hint="default"/>
                <w:sz w:val="24"/>
                <w:szCs w:val="32"/>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总量</w:t>
            </w:r>
          </w:p>
          <w:p>
            <w:pPr>
              <w:adjustRightInd w:val="0"/>
              <w:snapToGrid w:val="0"/>
              <w:jc w:val="center"/>
              <w:rPr>
                <w:rFonts w:hint="eastAsia" w:ascii="宋体" w:hAnsi="宋体" w:cs="宋体"/>
                <w:kern w:val="0"/>
                <w:sz w:val="24"/>
                <w:szCs w:val="24"/>
              </w:rPr>
            </w:pPr>
            <w:r>
              <w:rPr>
                <w:rFonts w:hint="eastAsia" w:ascii="宋体" w:hAnsi="宋体" w:cs="宋体"/>
                <w:kern w:val="0"/>
                <w:sz w:val="24"/>
                <w:szCs w:val="24"/>
              </w:rPr>
              <w:t>控制</w:t>
            </w:r>
          </w:p>
          <w:p>
            <w:pPr>
              <w:adjustRightInd w:val="0"/>
              <w:snapToGrid w:val="0"/>
              <w:jc w:val="center"/>
              <w:rPr>
                <w:rFonts w:ascii="宋体" w:hAnsi="宋体" w:cs="宋体"/>
                <w:kern w:val="0"/>
                <w:szCs w:val="21"/>
              </w:rPr>
            </w:pPr>
            <w:r>
              <w:rPr>
                <w:rFonts w:hint="eastAsia" w:ascii="宋体" w:hAnsi="宋体" w:cs="宋体"/>
                <w:kern w:val="0"/>
                <w:sz w:val="24"/>
                <w:szCs w:val="24"/>
              </w:rPr>
              <w:t>指标</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32"/>
                <w:lang w:val="en-US" w:eastAsia="zh-CN"/>
                <w14:textFill>
                  <w14:solidFill>
                    <w14:schemeClr w14:val="tx1"/>
                  </w14:solidFill>
                </w14:textFill>
              </w:rPr>
              <w:t>现行污染物总量控制指标为COD、氨氮，依据本项目产排污情况，本项目总量控制指标为COD0.0344t/a，氨氮0.0039t/a。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sz w:val="24"/>
                <w:szCs w:val="24"/>
                <w:lang w:eastAsia="zh-CN"/>
              </w:rPr>
            </w:pPr>
            <w:r>
              <w:rPr>
                <w:rFonts w:hint="default" w:ascii="Times New Roman" w:hAnsi="Times New Roman" w:eastAsia="宋体" w:cs="Times New Roman"/>
                <w:color w:val="000000" w:themeColor="text1"/>
                <w:sz w:val="24"/>
                <w:szCs w:val="24"/>
                <w14:textFill>
                  <w14:solidFill>
                    <w14:schemeClr w14:val="tx1"/>
                  </w14:solidFill>
                </w14:textFill>
              </w:rPr>
              <w:t>项目废水经预处理后达标排入</w:t>
            </w:r>
            <w:r>
              <w:rPr>
                <w:rFonts w:hint="default" w:ascii="Times New Roman" w:hAnsi="Times New Roman" w:eastAsia="宋体" w:cs="Times New Roman"/>
                <w:color w:val="000000" w:themeColor="text1"/>
                <w:sz w:val="24"/>
                <w:szCs w:val="24"/>
                <w:lang w:eastAsia="zh-CN"/>
                <w14:textFill>
                  <w14:solidFill>
                    <w14:schemeClr w14:val="tx1"/>
                  </w14:solidFill>
                </w14:textFill>
              </w:rPr>
              <w:t>华容县桥东</w:t>
            </w:r>
            <w:r>
              <w:rPr>
                <w:rFonts w:hint="default" w:ascii="Times New Roman" w:hAnsi="Times New Roman" w:eastAsia="宋体" w:cs="Times New Roman"/>
                <w:color w:val="000000" w:themeColor="text1"/>
                <w:sz w:val="24"/>
                <w:szCs w:val="24"/>
                <w14:textFill>
                  <w14:solidFill>
                    <w14:schemeClr w14:val="tx1"/>
                  </w14:solidFill>
                </w14:textFill>
              </w:rPr>
              <w:t>污水处理厂进行处理，废水污染物排放总量纳入污水处理厂总量指标内，本项目不再单独申请。</w:t>
            </w:r>
          </w:p>
          <w:p>
            <w:pPr>
              <w:pStyle w:val="2"/>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rPr>
                <w:rFonts w:hint="default"/>
              </w:rPr>
            </w:pPr>
          </w:p>
          <w:p>
            <w:pPr>
              <w:pStyle w:val="7"/>
              <w:ind w:left="0" w:leftChars="0" w:firstLine="0" w:firstLineChars="0"/>
              <w:rPr>
                <w:rFonts w:hint="default" w:ascii="Times New Roman" w:hAnsi="Times New Roman" w:eastAsia="宋体" w:cs="Times New Roman"/>
                <w:i w:val="0"/>
                <w:iCs w:val="0"/>
                <w:caps w:val="0"/>
                <w:color w:val="000000"/>
                <w:spacing w:val="0"/>
                <w:sz w:val="24"/>
                <w:szCs w:val="24"/>
                <w:shd w:val="clear" w:fill="FFFFFF"/>
              </w:rPr>
            </w:pPr>
          </w:p>
        </w:tc>
      </w:tr>
    </w:tbl>
    <w:p>
      <w:pPr>
        <w:pStyle w:val="22"/>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6"/>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tcMar>
              <w:left w:w="28" w:type="dxa"/>
              <w:right w:w="28" w:type="dxa"/>
            </w:tcMar>
            <w:vAlign w:val="center"/>
          </w:tcPr>
          <w:p>
            <w:pPr>
              <w:pStyle w:val="2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施工</w:t>
            </w:r>
          </w:p>
          <w:p>
            <w:pPr>
              <w:pStyle w:val="2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期环</w:t>
            </w:r>
          </w:p>
          <w:p>
            <w:pPr>
              <w:pStyle w:val="2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境保</w:t>
            </w:r>
          </w:p>
          <w:p>
            <w:pPr>
              <w:pStyle w:val="22"/>
              <w:adjustRightInd w:val="0"/>
              <w:snapToGrid w:val="0"/>
              <w:spacing w:before="0" w:beforeAutospacing="0" w:after="0" w:afterAutospacing="0"/>
              <w:jc w:val="center"/>
              <w:rPr>
                <w:rFonts w:hint="eastAsia" w:cs="宋体"/>
                <w:kern w:val="2"/>
                <w:sz w:val="24"/>
                <w:szCs w:val="24"/>
              </w:rPr>
            </w:pPr>
            <w:r>
              <w:rPr>
                <w:rFonts w:hint="eastAsia" w:cs="宋体"/>
                <w:kern w:val="2"/>
                <w:sz w:val="24"/>
                <w:szCs w:val="24"/>
              </w:rPr>
              <w:t>护措</w:t>
            </w:r>
          </w:p>
          <w:p>
            <w:pPr>
              <w:pStyle w:val="22"/>
              <w:adjustRightInd w:val="0"/>
              <w:snapToGrid w:val="0"/>
              <w:spacing w:before="0" w:beforeAutospacing="0" w:after="0" w:afterAutospacing="0"/>
              <w:jc w:val="center"/>
              <w:rPr>
                <w:rFonts w:hint="eastAsia" w:cs="宋体"/>
                <w:bCs/>
                <w:kern w:val="2"/>
                <w:sz w:val="21"/>
                <w:szCs w:val="21"/>
              </w:rPr>
            </w:pPr>
            <w:r>
              <w:rPr>
                <w:rFonts w:hint="eastAsia" w:cs="宋体"/>
                <w:kern w:val="2"/>
                <w:sz w:val="24"/>
                <w:szCs w:val="24"/>
              </w:rPr>
              <w:t>施</w:t>
            </w:r>
          </w:p>
        </w:tc>
        <w:tc>
          <w:tcPr>
            <w:tcW w:w="81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本项目租用闲置厂房进行生产，施工期间</w:t>
            </w:r>
            <w:r>
              <w:rPr>
                <w:rFonts w:hint="default" w:ascii="Times New Roman" w:hAnsi="Times New Roman" w:cs="Times New Roman"/>
                <w:color w:val="auto"/>
                <w:sz w:val="24"/>
                <w:szCs w:val="24"/>
                <w:lang w:val="en-US" w:eastAsia="zh-CN"/>
              </w:rPr>
              <w:t>主要进行</w:t>
            </w:r>
            <w:r>
              <w:rPr>
                <w:rFonts w:hint="default" w:ascii="Times New Roman" w:hAnsi="Times New Roman" w:cs="Times New Roman"/>
                <w:color w:val="auto"/>
                <w:sz w:val="24"/>
                <w:szCs w:val="24"/>
              </w:rPr>
              <w:t>设备安装。施工内容较少，主要污染因素为设备</w:t>
            </w:r>
            <w:r>
              <w:rPr>
                <w:rFonts w:hint="default" w:ascii="Times New Roman" w:hAnsi="Times New Roman" w:cs="Times New Roman"/>
                <w:color w:val="auto"/>
                <w:sz w:val="24"/>
                <w:szCs w:val="24"/>
                <w:lang w:val="en-US" w:eastAsia="zh-CN"/>
              </w:rPr>
              <w:t>安装时产生的</w:t>
            </w:r>
            <w:r>
              <w:rPr>
                <w:rFonts w:hint="default" w:ascii="Times New Roman" w:hAnsi="Times New Roman" w:cs="Times New Roman"/>
                <w:color w:val="auto"/>
                <w:sz w:val="24"/>
                <w:szCs w:val="24"/>
              </w:rPr>
              <w:t>噪声</w:t>
            </w:r>
            <w:r>
              <w:rPr>
                <w:rFonts w:hint="default" w:ascii="Times New Roman" w:hAnsi="Times New Roman" w:cs="Times New Roman"/>
                <w:color w:val="auto"/>
                <w:sz w:val="24"/>
                <w:szCs w:val="24"/>
                <w:lang w:val="en-US" w:eastAsia="zh-CN"/>
              </w:rPr>
              <w:t>，本项目在施工期产生的污染随着施工期的结束而消失，对周围环境的影响是暂时的。本次评价不对施工期产生的污染物进行详细分析。</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82" w:firstLineChars="200"/>
              <w:jc w:val="both"/>
              <w:textAlignment w:val="auto"/>
              <w:rPr>
                <w:rFonts w:hint="default" w:ascii="Times New Roman" w:hAnsi="Times New Roman" w:cs="Times New Roman"/>
                <w:b/>
                <w:bCs/>
                <w:sz w:val="24"/>
                <w:szCs w:val="24"/>
                <w:lang w:val="en-US" w:eastAsia="zh-CN"/>
              </w:rPr>
            </w:pPr>
            <w:r>
              <w:rPr>
                <w:rFonts w:hint="eastAsia" w:cs="Times New Roman"/>
                <w:b/>
                <w:bCs/>
                <w:sz w:val="24"/>
                <w:szCs w:val="24"/>
                <w:lang w:val="en-US" w:eastAsia="zh-CN"/>
              </w:rPr>
              <w:t>施工期大气环境保护措施</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80" w:firstLineChars="200"/>
              <w:jc w:val="both"/>
              <w:textAlignment w:val="auto"/>
              <w:rPr>
                <w:rFonts w:hint="eastAsia" w:cs="Times New Roman"/>
                <w:sz w:val="24"/>
                <w:szCs w:val="24"/>
                <w:lang w:val="en-US" w:eastAsia="zh-CN"/>
              </w:rPr>
            </w:pPr>
            <w:r>
              <w:rPr>
                <w:rFonts w:hint="eastAsia" w:cs="Times New Roman"/>
                <w:sz w:val="24"/>
                <w:szCs w:val="24"/>
                <w:lang w:val="en-US" w:eastAsia="zh-CN"/>
              </w:rPr>
              <w:t>为了减少</w:t>
            </w:r>
            <w:r>
              <w:rPr>
                <w:rFonts w:hint="default" w:ascii="Times New Roman" w:hAnsi="Times New Roman" w:cs="Times New Roman"/>
                <w:sz w:val="24"/>
                <w:szCs w:val="24"/>
                <w:lang w:val="en-US" w:eastAsia="zh-CN"/>
              </w:rPr>
              <w:t>装修过程中装修过程中油漆、木板、办公用品等挥发的挥发性有机物，</w:t>
            </w:r>
            <w:r>
              <w:rPr>
                <w:rFonts w:hint="eastAsia" w:cs="Times New Roman"/>
                <w:sz w:val="24"/>
                <w:szCs w:val="24"/>
                <w:lang w:val="en-US" w:eastAsia="zh-CN"/>
              </w:rPr>
              <w:t>建设单位应该采取如下措施最大限度的控制废气对周边环境的影响。</w:t>
            </w:r>
          </w:p>
          <w:p>
            <w:pPr>
              <w:pStyle w:val="2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default" w:ascii="Times New Roman" w:hAnsi="Times New Roman" w:cs="Times New Roman"/>
                <w:sz w:val="24"/>
                <w:szCs w:val="24"/>
                <w:lang w:val="en-US" w:eastAsia="zh-CN"/>
              </w:rPr>
            </w:pPr>
            <w:r>
              <w:rPr>
                <w:rFonts w:hint="eastAsia" w:cs="Times New Roman"/>
                <w:sz w:val="24"/>
                <w:szCs w:val="24"/>
                <w:lang w:val="en-US" w:eastAsia="zh-CN"/>
              </w:rPr>
              <w:t>①挥发性有机物</w:t>
            </w:r>
            <w:r>
              <w:rPr>
                <w:rFonts w:hint="default" w:ascii="Times New Roman" w:hAnsi="Times New Roman" w:cs="Times New Roman"/>
                <w:sz w:val="24"/>
                <w:szCs w:val="24"/>
                <w:lang w:val="en-US" w:eastAsia="zh-CN"/>
              </w:rPr>
              <w:t>产生量由装修材料的性质决定，</w:t>
            </w:r>
            <w:r>
              <w:rPr>
                <w:rFonts w:hint="eastAsia" w:cs="Times New Roman"/>
                <w:sz w:val="24"/>
                <w:szCs w:val="24"/>
                <w:lang w:val="en-US" w:eastAsia="zh-CN"/>
              </w:rPr>
              <w:t>建设单位应</w:t>
            </w:r>
            <w:r>
              <w:rPr>
                <w:rFonts w:hint="default" w:ascii="Times New Roman" w:hAnsi="Times New Roman" w:cs="Times New Roman"/>
                <w:sz w:val="24"/>
                <w:szCs w:val="24"/>
                <w:lang w:val="en-US" w:eastAsia="zh-CN"/>
              </w:rPr>
              <w:t>使用水性涂料和环保型建材，</w:t>
            </w:r>
            <w:r>
              <w:rPr>
                <w:rFonts w:hint="eastAsia" w:cs="Times New Roman"/>
                <w:sz w:val="24"/>
                <w:szCs w:val="24"/>
                <w:lang w:val="en-US" w:eastAsia="zh-CN"/>
              </w:rPr>
              <w:t>减少有机物的挥发</w:t>
            </w:r>
            <w:r>
              <w:rPr>
                <w:rFonts w:hint="default" w:ascii="Times New Roman" w:hAnsi="Times New Roman" w:cs="Times New Roman"/>
                <w:sz w:val="24"/>
                <w:szCs w:val="24"/>
                <w:lang w:val="en-US" w:eastAsia="zh-CN"/>
              </w:rPr>
              <w:t>。</w:t>
            </w:r>
          </w:p>
          <w:p>
            <w:pPr>
              <w:keepNext w:val="0"/>
              <w:keepLines w:val="0"/>
              <w:pageBreakBefore w:val="0"/>
              <w:kinsoku/>
              <w:wordWrap/>
              <w:overflowPunct/>
              <w:topLinePunct w:val="0"/>
              <w:bidi w:val="0"/>
              <w:adjustRightInd/>
              <w:snapToGrid/>
              <w:spacing w:line="360" w:lineRule="auto"/>
              <w:ind w:left="0" w:firstLine="480" w:firstLineChars="200"/>
              <w:textAlignment w:val="auto"/>
              <w:rPr>
                <w:rFonts w:hint="default"/>
                <w:lang w:val="en-US" w:eastAsia="zh-CN"/>
              </w:rPr>
            </w:pPr>
            <w:r>
              <w:rPr>
                <w:rFonts w:hint="eastAsia" w:cs="Times New Roman"/>
                <w:sz w:val="24"/>
                <w:szCs w:val="24"/>
                <w:lang w:val="en-US" w:eastAsia="zh-CN"/>
              </w:rPr>
              <w:t>②在施工过程中，施工人员应佩戴口罩，减少污染物对人体的危害。</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82" w:firstLineChars="200"/>
              <w:jc w:val="both"/>
              <w:textAlignment w:val="auto"/>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施工期水环境保护措施</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lang w:val="en-US" w:eastAsia="zh-CN"/>
              </w:rPr>
              <w:t>项目施工期主要为安装调试工作，施工人员少、工作量少，无需施工营地，仅有少量方便废水，依托厂区化粪池与处理后排入污水处理厂</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82" w:firstLineChars="20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施工期噪声环境保护措施</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firstLine="480" w:firstLineChars="200"/>
              <w:jc w:val="both"/>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为了优化项目</w:t>
            </w:r>
            <w:r>
              <w:rPr>
                <w:rFonts w:hint="eastAsia" w:ascii="Times New Roman" w:hAnsi="Times New Roman" w:cs="Times New Roman"/>
                <w:color w:val="000000"/>
                <w:kern w:val="0"/>
                <w:sz w:val="24"/>
                <w:szCs w:val="24"/>
                <w:lang w:val="en-US" w:eastAsia="zh-CN" w:bidi="ar"/>
              </w:rPr>
              <w:t>设备安装时</w:t>
            </w:r>
            <w:r>
              <w:rPr>
                <w:rFonts w:hint="default" w:ascii="Times New Roman" w:hAnsi="Times New Roman" w:eastAsia="宋体" w:cs="Times New Roman"/>
                <w:color w:val="000000"/>
                <w:kern w:val="0"/>
                <w:sz w:val="24"/>
                <w:szCs w:val="24"/>
                <w:lang w:val="en-US" w:eastAsia="zh-CN" w:bidi="ar"/>
              </w:rPr>
              <w:t>的声环境质量，杜绝施工噪声扰民现象的发生，建设单位应该采取如下措施最大限度地控制噪声对周边环境的影响。</w:t>
            </w:r>
          </w:p>
          <w:p>
            <w:pPr>
              <w:keepNext w:val="0"/>
              <w:keepLines w:val="0"/>
              <w:pageBreakBefore w:val="0"/>
              <w:kinsoku/>
              <w:wordWrap/>
              <w:overflowPunct/>
              <w:topLinePunct w:val="0"/>
              <w:autoSpaceDE w:val="0"/>
              <w:autoSpaceDN w:val="0"/>
              <w:bidi w:val="0"/>
              <w:adjustRightInd/>
              <w:snapToGrid/>
              <w:spacing w:line="360" w:lineRule="auto"/>
              <w:ind w:lef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①建议项目控制施工时间，合理安排</w:t>
            </w:r>
            <w:r>
              <w:rPr>
                <w:rFonts w:hint="eastAsia" w:ascii="Times New Roman" w:hAnsi="Times New Roman" w:cs="Times New Roman"/>
                <w:sz w:val="24"/>
                <w:szCs w:val="24"/>
                <w:lang w:val="en-US" w:eastAsia="zh-CN"/>
              </w:rPr>
              <w:t>机器设备安装时间</w:t>
            </w:r>
            <w:r>
              <w:rPr>
                <w:rFonts w:hint="default" w:ascii="Times New Roman" w:hAnsi="Times New Roman" w:cs="Times New Roman"/>
                <w:sz w:val="24"/>
                <w:szCs w:val="24"/>
                <w:lang w:val="en-US" w:eastAsia="zh-CN"/>
              </w:rPr>
              <w:t>，避免在晚22时～次日6时期间进行</w:t>
            </w:r>
            <w:r>
              <w:rPr>
                <w:rFonts w:hint="eastAsia" w:ascii="Times New Roman" w:hAnsi="Times New Roman" w:cs="Times New Roman"/>
                <w:sz w:val="24"/>
                <w:szCs w:val="24"/>
                <w:lang w:val="en-US" w:eastAsia="zh-CN"/>
              </w:rPr>
              <w:t>安装打孔</w:t>
            </w:r>
            <w:r>
              <w:rPr>
                <w:rFonts w:hint="default" w:ascii="Times New Roman" w:hAnsi="Times New Roman" w:cs="Times New Roman"/>
                <w:sz w:val="24"/>
                <w:szCs w:val="24"/>
                <w:lang w:val="en-US" w:eastAsia="zh-CN"/>
              </w:rPr>
              <w:t>等施工工序；对施工材料和垃圾等的运输尽量</w:t>
            </w:r>
            <w:r>
              <w:rPr>
                <w:rFonts w:hint="eastAsia"/>
                <w:sz w:val="24"/>
                <w:szCs w:val="32"/>
                <w:lang w:eastAsia="zh-CN"/>
              </w:rPr>
              <w:t>避开周边居民休息时间</w:t>
            </w:r>
            <w:r>
              <w:rPr>
                <w:rFonts w:hint="default" w:ascii="Times New Roman" w:hAnsi="Times New Roman" w:cs="Times New Roman"/>
                <w:sz w:val="24"/>
                <w:szCs w:val="24"/>
                <w:lang w:val="en-US" w:eastAsia="zh-CN"/>
              </w:rPr>
              <w:t>，以减小载重车辆噪声对环境的影响。</w:t>
            </w:r>
          </w:p>
          <w:p>
            <w:pPr>
              <w:keepNext w:val="0"/>
              <w:keepLines w:val="0"/>
              <w:pageBreakBefore w:val="0"/>
              <w:kinsoku/>
              <w:wordWrap/>
              <w:overflowPunct/>
              <w:topLinePunct w:val="0"/>
              <w:autoSpaceDE w:val="0"/>
              <w:autoSpaceDN w:val="0"/>
              <w:bidi w:val="0"/>
              <w:adjustRightInd/>
              <w:snapToGrid/>
              <w:spacing w:line="360" w:lineRule="auto"/>
              <w:ind w:lef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②施工设备选型应采用低噪声设备。</w:t>
            </w:r>
          </w:p>
          <w:p>
            <w:pPr>
              <w:keepNext w:val="0"/>
              <w:keepLines w:val="0"/>
              <w:pageBreakBefore w:val="0"/>
              <w:kinsoku/>
              <w:wordWrap/>
              <w:overflowPunct/>
              <w:topLinePunct w:val="0"/>
              <w:autoSpaceDE w:val="0"/>
              <w:autoSpaceDN w:val="0"/>
              <w:bidi w:val="0"/>
              <w:adjustRightInd/>
              <w:snapToGrid/>
              <w:spacing w:line="360" w:lineRule="auto"/>
              <w:ind w:left="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③</w:t>
            </w:r>
            <w:r>
              <w:rPr>
                <w:rFonts w:hint="eastAsia" w:ascii="Times New Roman" w:hAnsi="Times New Roman" w:cs="Times New Roman"/>
                <w:sz w:val="24"/>
                <w:szCs w:val="24"/>
                <w:lang w:val="en-US" w:eastAsia="zh-CN"/>
              </w:rPr>
              <w:t>设备</w:t>
            </w:r>
            <w:r>
              <w:rPr>
                <w:rFonts w:hint="default" w:ascii="Times New Roman" w:hAnsi="Times New Roman" w:cs="Times New Roman"/>
                <w:sz w:val="24"/>
                <w:szCs w:val="24"/>
                <w:lang w:val="en-US" w:eastAsia="zh-CN"/>
              </w:rPr>
              <w:t>运输车辆在进入</w:t>
            </w:r>
            <w:r>
              <w:rPr>
                <w:rFonts w:hint="eastAsia" w:ascii="Times New Roman" w:hAnsi="Times New Roman" w:cs="Times New Roman"/>
                <w:sz w:val="24"/>
                <w:szCs w:val="24"/>
                <w:lang w:val="en-US" w:eastAsia="zh-CN"/>
              </w:rPr>
              <w:t>厂</w:t>
            </w:r>
            <w:r>
              <w:rPr>
                <w:rFonts w:hint="default" w:ascii="Times New Roman" w:hAnsi="Times New Roman" w:cs="Times New Roman"/>
                <w:sz w:val="24"/>
                <w:szCs w:val="24"/>
                <w:lang w:val="en-US" w:eastAsia="zh-CN"/>
              </w:rPr>
              <w:t>区附近区域后，要适当降低车速，避免或杜绝鸣笛</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建设单位在施工期应严格控制噪声源，不得超过《建筑施工场界环境噪声排放标准》（GB12523-2011）所列标准值，以减少对周围居民的影响。</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imes New Roman" w:hAnsi="Times New Roman" w:eastAsia="宋体"/>
                <w:color w:val="000000"/>
                <w:sz w:val="24"/>
                <w:szCs w:val="32"/>
                <w:lang w:eastAsia="zh-CN"/>
              </w:rPr>
            </w:pPr>
            <w:r>
              <w:rPr>
                <w:rFonts w:hint="eastAsia" w:ascii="Times New Roman" w:hAnsi="Times New Roman"/>
                <w:b/>
                <w:bCs/>
                <w:color w:val="000000"/>
                <w:sz w:val="24"/>
                <w:szCs w:val="32"/>
                <w:lang w:eastAsia="zh-CN"/>
              </w:rPr>
              <w:t>施工期固体废物环境保护措施</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olor w:val="000000"/>
                <w:sz w:val="24"/>
                <w:szCs w:val="32"/>
              </w:rPr>
            </w:pPr>
            <w:r>
              <w:rPr>
                <w:rFonts w:ascii="Times New Roman" w:hAnsi="Times New Roman"/>
                <w:color w:val="000000"/>
                <w:sz w:val="24"/>
                <w:szCs w:val="32"/>
              </w:rPr>
              <w:t>施工期所产生的固体废弃物主要为施工过程中的</w:t>
            </w:r>
            <w:r>
              <w:rPr>
                <w:rFonts w:hint="eastAsia" w:ascii="Times New Roman" w:hAnsi="Times New Roman"/>
                <w:color w:val="000000"/>
                <w:sz w:val="24"/>
                <w:szCs w:val="32"/>
                <w:lang w:eastAsia="zh-CN"/>
              </w:rPr>
              <w:t>装修</w:t>
            </w:r>
            <w:r>
              <w:rPr>
                <w:rFonts w:ascii="Times New Roman" w:hAnsi="Times New Roman"/>
                <w:color w:val="000000"/>
                <w:sz w:val="24"/>
                <w:szCs w:val="32"/>
              </w:rPr>
              <w:t>垃圾以及少量生活垃圾。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bCs/>
                <w:spacing w:val="-10"/>
                <w:szCs w:val="21"/>
              </w:rPr>
            </w:pPr>
            <w:r>
              <w:rPr>
                <w:rFonts w:ascii="Times New Roman" w:hAnsi="Times New Roman"/>
                <w:color w:val="000000"/>
                <w:sz w:val="24"/>
                <w:szCs w:val="32"/>
              </w:rPr>
              <w:t>项目</w:t>
            </w:r>
            <w:r>
              <w:rPr>
                <w:rFonts w:hint="eastAsia" w:ascii="Times New Roman" w:hAnsi="Times New Roman"/>
                <w:color w:val="000000"/>
                <w:sz w:val="24"/>
                <w:szCs w:val="32"/>
                <w:lang w:eastAsia="zh-CN"/>
              </w:rPr>
              <w:t>租用闲置厂房</w:t>
            </w:r>
            <w:r>
              <w:rPr>
                <w:rFonts w:ascii="Times New Roman" w:hAnsi="Times New Roman"/>
                <w:color w:val="000000"/>
                <w:sz w:val="24"/>
                <w:szCs w:val="32"/>
              </w:rPr>
              <w:t>，施工期所产生的</w:t>
            </w:r>
            <w:r>
              <w:rPr>
                <w:rFonts w:hint="eastAsia" w:ascii="Times New Roman" w:hAnsi="Times New Roman"/>
                <w:color w:val="000000"/>
                <w:sz w:val="24"/>
                <w:szCs w:val="32"/>
                <w:lang w:eastAsia="zh-CN"/>
              </w:rPr>
              <w:t>装修</w:t>
            </w:r>
            <w:r>
              <w:rPr>
                <w:rFonts w:ascii="Times New Roman" w:hAnsi="Times New Roman"/>
                <w:color w:val="000000"/>
                <w:sz w:val="24"/>
                <w:szCs w:val="32"/>
              </w:rPr>
              <w:t>垃圾产生较小，外运到有关部门指定的场地，对环境不会造成影响；生活垃圾由环卫部门统一清运至，不会对环境造成大的影响。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tcMar>
              <w:left w:w="28" w:type="dxa"/>
              <w:right w:w="28" w:type="dxa"/>
            </w:tcMar>
            <w:vAlign w:val="center"/>
          </w:tcPr>
          <w:p>
            <w:pPr>
              <w:adjustRightInd w:val="0"/>
              <w:snapToGrid w:val="0"/>
              <w:jc w:val="center"/>
              <w:rPr>
                <w:rFonts w:hint="eastAsia" w:ascii="宋体" w:hAnsi="宋体" w:cs="宋体"/>
                <w:bCs/>
                <w:sz w:val="24"/>
                <w:szCs w:val="24"/>
              </w:rPr>
            </w:pPr>
            <w:r>
              <w:rPr>
                <w:rFonts w:hint="eastAsia" w:ascii="宋体" w:hAnsi="宋体" w:cs="宋体"/>
                <w:bCs/>
                <w:sz w:val="24"/>
                <w:szCs w:val="24"/>
              </w:rPr>
              <w:t>运营</w:t>
            </w:r>
          </w:p>
          <w:p>
            <w:pPr>
              <w:adjustRightInd w:val="0"/>
              <w:snapToGrid w:val="0"/>
              <w:jc w:val="center"/>
              <w:rPr>
                <w:rFonts w:hint="eastAsia" w:ascii="宋体" w:hAnsi="宋体" w:cs="宋体"/>
                <w:bCs/>
                <w:sz w:val="24"/>
                <w:szCs w:val="24"/>
              </w:rPr>
            </w:pPr>
            <w:r>
              <w:rPr>
                <w:rFonts w:hint="eastAsia" w:ascii="宋体" w:hAnsi="宋体" w:cs="宋体"/>
                <w:bCs/>
                <w:sz w:val="24"/>
                <w:szCs w:val="24"/>
              </w:rPr>
              <w:t>期环</w:t>
            </w:r>
          </w:p>
          <w:p>
            <w:pPr>
              <w:adjustRightInd w:val="0"/>
              <w:snapToGrid w:val="0"/>
              <w:jc w:val="center"/>
              <w:rPr>
                <w:rFonts w:hint="eastAsia" w:ascii="宋体" w:hAnsi="宋体" w:cs="宋体"/>
                <w:bCs/>
                <w:sz w:val="24"/>
                <w:szCs w:val="24"/>
              </w:rPr>
            </w:pPr>
            <w:r>
              <w:rPr>
                <w:rFonts w:hint="eastAsia" w:ascii="宋体" w:hAnsi="宋体" w:cs="宋体"/>
                <w:bCs/>
                <w:sz w:val="24"/>
                <w:szCs w:val="24"/>
              </w:rPr>
              <w:t>境影</w:t>
            </w:r>
          </w:p>
          <w:p>
            <w:pPr>
              <w:adjustRightInd w:val="0"/>
              <w:snapToGrid w:val="0"/>
              <w:jc w:val="center"/>
              <w:rPr>
                <w:rFonts w:hint="eastAsia" w:ascii="宋体" w:hAnsi="宋体" w:cs="宋体"/>
                <w:bCs/>
                <w:sz w:val="24"/>
                <w:szCs w:val="24"/>
              </w:rPr>
            </w:pPr>
            <w:r>
              <w:rPr>
                <w:rFonts w:hint="eastAsia" w:ascii="宋体" w:hAnsi="宋体" w:cs="宋体"/>
                <w:bCs/>
                <w:sz w:val="24"/>
                <w:szCs w:val="24"/>
              </w:rPr>
              <w:t>响和</w:t>
            </w:r>
          </w:p>
          <w:p>
            <w:pPr>
              <w:adjustRightInd w:val="0"/>
              <w:snapToGrid w:val="0"/>
              <w:jc w:val="center"/>
              <w:rPr>
                <w:rFonts w:hint="eastAsia" w:ascii="宋体" w:hAnsi="宋体" w:cs="宋体"/>
                <w:bCs/>
                <w:sz w:val="24"/>
                <w:szCs w:val="24"/>
              </w:rPr>
            </w:pPr>
            <w:r>
              <w:rPr>
                <w:rFonts w:hint="eastAsia" w:ascii="宋体" w:hAnsi="宋体" w:cs="宋体"/>
                <w:bCs/>
                <w:sz w:val="24"/>
                <w:szCs w:val="24"/>
              </w:rPr>
              <w:t>保护</w:t>
            </w:r>
          </w:p>
          <w:p>
            <w:pPr>
              <w:adjustRightInd w:val="0"/>
              <w:snapToGrid w:val="0"/>
              <w:jc w:val="center"/>
              <w:rPr>
                <w:rFonts w:ascii="宋体" w:hAnsi="宋体" w:cs="宋体"/>
                <w:bCs/>
                <w:szCs w:val="21"/>
              </w:rPr>
            </w:pPr>
            <w:r>
              <w:rPr>
                <w:rFonts w:hint="eastAsia" w:ascii="宋体" w:hAnsi="宋体" w:cs="宋体"/>
                <w:bCs/>
                <w:sz w:val="24"/>
                <w:szCs w:val="24"/>
              </w:rPr>
              <w:t>措施</w:t>
            </w:r>
          </w:p>
        </w:tc>
        <w:tc>
          <w:tcPr>
            <w:tcW w:w="816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default" w:ascii="Times New Roman" w:hAnsi="Times New Roman" w:eastAsia="宋体" w:cs="Times New Roman"/>
                <w:sz w:val="24"/>
                <w:szCs w:val="32"/>
              </w:rPr>
            </w:pPr>
            <w:r>
              <w:rPr>
                <w:rFonts w:hint="default" w:ascii="Times New Roman" w:hAnsi="Times New Roman" w:eastAsia="宋体" w:cs="Times New Roman"/>
                <w:sz w:val="24"/>
                <w:szCs w:val="32"/>
              </w:rPr>
              <w:t>由生产工艺流程分析可知，本项目在生产过程中产生的污染因素主要为</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废气、噪声、固体废物</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员工产生的生活污水。</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default" w:ascii="Times New Roman" w:hAnsi="Times New Roman" w:eastAsia="宋体" w:cs="Times New Roman"/>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(一)废气</w:t>
            </w:r>
          </w:p>
          <w:p>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default" w:ascii="Times New Roman" w:hAnsi="Times New Roman" w:eastAsia="宋体" w:cs="Times New Roman"/>
                <w:b w:val="0"/>
                <w:bCs w:val="0"/>
                <w:i w:val="0"/>
                <w:iCs w:val="0"/>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lang w:val="en-US" w:eastAsia="zh-CN"/>
                <w14:textFill>
                  <w14:solidFill>
                    <w14:schemeClr w14:val="tx1"/>
                  </w14:solidFill>
                </w14:textFill>
              </w:rPr>
              <w:t>本项目生产工序为搅拌、挤压、筛分、破碎、包装，</w:t>
            </w:r>
            <w:r>
              <w:rPr>
                <w:rFonts w:hint="default" w:ascii="Times New Roman" w:hAnsi="Times New Roman" w:eastAsia="宋体" w:cs="Times New Roman"/>
                <w:b w:val="0"/>
                <w:bCs w:val="0"/>
                <w:i w:val="0"/>
                <w:iCs w:val="0"/>
                <w:color w:val="000000" w:themeColor="text1"/>
                <w:sz w:val="24"/>
                <w:szCs w:val="32"/>
                <w:lang w:val="en-US" w:eastAsia="zh-CN"/>
                <w14:textFill>
                  <w14:solidFill>
                    <w14:schemeClr w14:val="tx1"/>
                  </w14:solidFill>
                </w14:textFill>
              </w:rPr>
              <w:t>项目运营期污染物排放清单一览表详见下表。</w:t>
            </w:r>
          </w:p>
          <w:p>
            <w:pPr>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eastAsia="zh-CN"/>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4.1  运营期污染物排放清单一览表</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6"/>
              <w:gridCol w:w="492"/>
              <w:gridCol w:w="2"/>
              <w:gridCol w:w="490"/>
              <w:gridCol w:w="144"/>
              <w:gridCol w:w="349"/>
              <w:gridCol w:w="347"/>
              <w:gridCol w:w="458"/>
              <w:gridCol w:w="591"/>
              <w:gridCol w:w="875"/>
              <w:gridCol w:w="500"/>
              <w:gridCol w:w="62"/>
              <w:gridCol w:w="452"/>
              <w:gridCol w:w="639"/>
              <w:gridCol w:w="690"/>
              <w:gridCol w:w="564"/>
              <w:gridCol w:w="9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污染源</w:t>
                  </w:r>
                </w:p>
              </w:tc>
              <w:tc>
                <w:tcPr>
                  <w:tcW w:w="712" w:type="pct"/>
                  <w:gridSpan w:val="4"/>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产排污环节</w:t>
                  </w:r>
                </w:p>
              </w:tc>
              <w:tc>
                <w:tcPr>
                  <w:tcW w:w="220" w:type="pct"/>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工况</w:t>
                  </w:r>
                </w:p>
              </w:tc>
              <w:tc>
                <w:tcPr>
                  <w:tcW w:w="219" w:type="pct"/>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污染物种类</w:t>
                  </w:r>
                </w:p>
              </w:tc>
              <w:tc>
                <w:tcPr>
                  <w:tcW w:w="662" w:type="pct"/>
                  <w:gridSpan w:val="2"/>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污染物产生</w:t>
                  </w:r>
                </w:p>
              </w:tc>
              <w:tc>
                <w:tcPr>
                  <w:tcW w:w="1193" w:type="pct"/>
                  <w:gridSpan w:val="4"/>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治理设施</w:t>
                  </w:r>
                </w:p>
              </w:tc>
              <w:tc>
                <w:tcPr>
                  <w:tcW w:w="839" w:type="pct"/>
                  <w:gridSpan w:val="2"/>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污染物排放</w:t>
                  </w:r>
                </w:p>
              </w:tc>
              <w:tc>
                <w:tcPr>
                  <w:tcW w:w="356" w:type="pct"/>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排放时间</w:t>
                  </w:r>
                </w:p>
              </w:tc>
              <w:tc>
                <w:tcPr>
                  <w:tcW w:w="577" w:type="pct"/>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排放</w:t>
                  </w:r>
                </w:p>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712" w:type="pct"/>
                  <w:gridSpan w:val="4"/>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220"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p>
              </w:tc>
              <w:tc>
                <w:tcPr>
                  <w:tcW w:w="219"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产生量</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t/a</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产生浓度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mg/m</w:t>
                  </w:r>
                  <w:r>
                    <w:rPr>
                      <w:rFonts w:hint="default" w:ascii="Times New Roman" w:hAnsi="Times New Roman" w:eastAsia="宋体" w:cs="Times New Roman"/>
                      <w:color w:val="000000" w:themeColor="text1"/>
                      <w:sz w:val="18"/>
                      <w:szCs w:val="18"/>
                      <w:vertAlign w:val="superscript"/>
                      <w:lang w:val="en-US" w:eastAsia="zh-CN"/>
                      <w14:textFill>
                        <w14:solidFill>
                          <w14:schemeClr w14:val="tx1"/>
                        </w14:solidFill>
                      </w14:textFill>
                    </w:rPr>
                    <w:t>3</w:t>
                  </w:r>
                </w:p>
              </w:tc>
              <w:tc>
                <w:tcPr>
                  <w:tcW w:w="552"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运行</w:t>
                  </w:r>
                </w:p>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参数</w:t>
                  </w:r>
                </w:p>
              </w:tc>
              <w:tc>
                <w:tcPr>
                  <w:tcW w:w="31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收集效率</w:t>
                  </w:r>
                </w:p>
              </w:tc>
              <w:tc>
                <w:tcPr>
                  <w:tcW w:w="324" w:type="pct"/>
                  <w:gridSpan w:val="2"/>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治理工艺去除率</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排放量</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t/a</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排放浓度</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mg/m³</w:t>
                  </w:r>
                </w:p>
              </w:tc>
              <w:tc>
                <w:tcPr>
                  <w:tcW w:w="356"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生产区</w:t>
                  </w:r>
                </w:p>
              </w:tc>
              <w:tc>
                <w:tcPr>
                  <w:tcW w:w="312" w:type="pct"/>
                  <w:gridSpan w:val="2"/>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eastAsia" w:cs="Times New Roman"/>
                      <w:color w:val="000000" w:themeColor="text1"/>
                      <w:sz w:val="18"/>
                      <w:szCs w:val="18"/>
                      <w:vertAlign w:val="baseline"/>
                      <w:lang w:val="en-US" w:eastAsia="zh-CN"/>
                      <w14:textFill>
                        <w14:solidFill>
                          <w14:schemeClr w14:val="tx1"/>
                        </w14:solidFill>
                      </w14:textFill>
                    </w:rPr>
                    <w:t>掺混</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r>
                    <w:rPr>
                      <w:rFonts w:hint="eastAsia" w:cs="Times New Roman"/>
                      <w:color w:val="000000" w:themeColor="text1"/>
                      <w:sz w:val="18"/>
                      <w:szCs w:val="18"/>
                      <w:vertAlign w:val="baseline"/>
                      <w:lang w:val="en-US" w:eastAsia="zh-CN"/>
                      <w14:textFill>
                        <w14:solidFill>
                          <w14:schemeClr w14:val="tx1"/>
                        </w14:solidFill>
                      </w14:textFill>
                    </w:rPr>
                    <w:t>造粒</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、筛分、破碎、包装</w:t>
                  </w:r>
                </w:p>
              </w:tc>
              <w:tc>
                <w:tcPr>
                  <w:tcW w:w="400" w:type="pct"/>
                  <w:gridSpan w:val="2"/>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DA001</w:t>
                  </w:r>
                </w:p>
              </w:tc>
              <w:tc>
                <w:tcPr>
                  <w:tcW w:w="220"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正常工况</w:t>
                  </w: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颗粒物</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0.66</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91.67</w:t>
                  </w:r>
                </w:p>
              </w:tc>
              <w:tc>
                <w:tcPr>
                  <w:tcW w:w="552"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风量</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5000</w:t>
                  </w:r>
                  <w:r>
                    <w:rPr>
                      <w:rFonts w:hint="default" w:ascii="Times New Roman" w:hAnsi="Times New Roman" w:eastAsia="宋体" w:cs="Times New Roman"/>
                      <w:color w:val="000000" w:themeColor="text1"/>
                      <w:sz w:val="18"/>
                      <w:szCs w:val="18"/>
                      <w14:textFill>
                        <w14:solidFill>
                          <w14:schemeClr w14:val="tx1"/>
                        </w14:solidFill>
                      </w14:textFill>
                    </w:rPr>
                    <w:t>m</w:t>
                  </w:r>
                  <w:r>
                    <w:rPr>
                      <w:rFonts w:hint="default" w:ascii="Times New Roman" w:hAnsi="Times New Roman" w:eastAsia="宋体" w:cs="Times New Roman"/>
                      <w:color w:val="000000" w:themeColor="text1"/>
                      <w:sz w:val="18"/>
                      <w:szCs w:val="18"/>
                      <w:vertAlign w:val="superscript"/>
                      <w14:textFill>
                        <w14:solidFill>
                          <w14:schemeClr w14:val="tx1"/>
                        </w14:solidFill>
                      </w14:textFill>
                    </w:rPr>
                    <w:t>3</w:t>
                  </w:r>
                  <w:r>
                    <w:rPr>
                      <w:rFonts w:hint="default" w:ascii="Times New Roman" w:hAnsi="Times New Roman" w:eastAsia="宋体" w:cs="Times New Roman"/>
                      <w:color w:val="000000" w:themeColor="text1"/>
                      <w:sz w:val="18"/>
                      <w:szCs w:val="18"/>
                      <w14:textFill>
                        <w14:solidFill>
                          <w14:schemeClr w14:val="tx1"/>
                        </w14:solidFill>
                      </w14:textFill>
                    </w:rPr>
                    <w:t>/h</w:t>
                  </w:r>
                </w:p>
              </w:tc>
              <w:tc>
                <w:tcPr>
                  <w:tcW w:w="31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90</w:t>
                  </w:r>
                </w:p>
              </w:tc>
              <w:tc>
                <w:tcPr>
                  <w:tcW w:w="324" w:type="pct"/>
                  <w:gridSpan w:val="2"/>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90</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0.066</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9.08</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8h/d</w:t>
                  </w:r>
                </w:p>
              </w:tc>
              <w:tc>
                <w:tcPr>
                  <w:tcW w:w="577" w:type="pct"/>
                  <w:vMerge w:val="restar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颗粒物、氯化氢</w:t>
                  </w:r>
                  <w:r>
                    <w:rPr>
                      <w:rFonts w:hint="default" w:ascii="Times New Roman" w:hAnsi="Times New Roman" w:eastAsia="宋体" w:cs="Times New Roman"/>
                      <w:color w:val="000000" w:themeColor="text1"/>
                      <w:sz w:val="18"/>
                      <w:szCs w:val="18"/>
                      <w:vertAlign w:val="baseline"/>
                      <w14:textFill>
                        <w14:solidFill>
                          <w14:schemeClr w14:val="tx1"/>
                        </w14:solidFill>
                      </w14:textFill>
                    </w:rPr>
                    <w:t>排放</w:t>
                  </w: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限值</w:t>
                  </w:r>
                  <w:r>
                    <w:rPr>
                      <w:rFonts w:hint="default" w:ascii="Times New Roman" w:hAnsi="Times New Roman" w:eastAsia="宋体" w:cs="Times New Roman"/>
                      <w:color w:val="000000" w:themeColor="text1"/>
                      <w:sz w:val="18"/>
                      <w:szCs w:val="18"/>
                      <w:vertAlign w:val="baseline"/>
                      <w14:textFill>
                        <w14:solidFill>
                          <w14:schemeClr w14:val="tx1"/>
                        </w14:solidFill>
                      </w14:textFill>
                    </w:rPr>
                    <w:t>参照</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《大气污染物综合排放标准》(GB16297-1996)二级标准；氨气参照《恶臭污染物排放标准》（GB14554-93）2级标准。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932" w:type="pct"/>
                  <w:gridSpan w:val="5"/>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厂界</w:t>
                  </w: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颗粒物</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0.0066</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1193" w:type="pct"/>
                  <w:gridSpan w:val="4"/>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绿化、加强厂区通风</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0.0066</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8h/d</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310"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eastAsia" w:cs="Times New Roman"/>
                      <w:color w:val="000000" w:themeColor="text1"/>
                      <w:sz w:val="18"/>
                      <w:szCs w:val="18"/>
                      <w:vertAlign w:val="baseline"/>
                      <w:lang w:val="en-US" w:eastAsia="zh-CN"/>
                      <w14:textFill>
                        <w14:solidFill>
                          <w14:schemeClr w14:val="tx1"/>
                        </w14:solidFill>
                      </w14:textFill>
                    </w:rPr>
                    <w:t>掺混</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r>
                    <w:rPr>
                      <w:rFonts w:hint="eastAsia" w:cs="Times New Roman"/>
                      <w:color w:val="000000" w:themeColor="text1"/>
                      <w:sz w:val="18"/>
                      <w:szCs w:val="18"/>
                      <w:vertAlign w:val="baseline"/>
                      <w:lang w:val="en-US" w:eastAsia="zh-CN"/>
                      <w14:textFill>
                        <w14:solidFill>
                          <w14:schemeClr w14:val="tx1"/>
                        </w14:solidFill>
                      </w14:textFill>
                    </w:rPr>
                    <w:t>造粒</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、筛分、破碎、包装</w:t>
                  </w:r>
                </w:p>
              </w:tc>
              <w:tc>
                <w:tcPr>
                  <w:tcW w:w="310" w:type="pct"/>
                  <w:gridSpan w:val="2"/>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DA001</w:t>
                  </w:r>
                </w:p>
              </w:tc>
              <w:tc>
                <w:tcPr>
                  <w:tcW w:w="311" w:type="pct"/>
                  <w:gridSpan w:val="2"/>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正常工况</w:t>
                  </w: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氨气</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0.032</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4.44</w:t>
                  </w:r>
                </w:p>
              </w:tc>
              <w:tc>
                <w:tcPr>
                  <w:tcW w:w="552"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风量</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5000</w:t>
                  </w:r>
                  <w:r>
                    <w:rPr>
                      <w:rFonts w:hint="default" w:ascii="Times New Roman" w:hAnsi="Times New Roman" w:eastAsia="宋体" w:cs="Times New Roman"/>
                      <w:color w:val="000000" w:themeColor="text1"/>
                      <w:sz w:val="18"/>
                      <w:szCs w:val="18"/>
                      <w14:textFill>
                        <w14:solidFill>
                          <w14:schemeClr w14:val="tx1"/>
                        </w14:solidFill>
                      </w14:textFill>
                    </w:rPr>
                    <w:t>m</w:t>
                  </w:r>
                  <w:r>
                    <w:rPr>
                      <w:rFonts w:hint="default" w:ascii="Times New Roman" w:hAnsi="Times New Roman" w:eastAsia="宋体" w:cs="Times New Roman"/>
                      <w:color w:val="000000" w:themeColor="text1"/>
                      <w:sz w:val="18"/>
                      <w:szCs w:val="18"/>
                      <w:vertAlign w:val="superscript"/>
                      <w14:textFill>
                        <w14:solidFill>
                          <w14:schemeClr w14:val="tx1"/>
                        </w14:solidFill>
                      </w14:textFill>
                    </w:rPr>
                    <w:t>3</w:t>
                  </w:r>
                  <w:r>
                    <w:rPr>
                      <w:rFonts w:hint="default" w:ascii="Times New Roman" w:hAnsi="Times New Roman" w:eastAsia="宋体" w:cs="Times New Roman"/>
                      <w:color w:val="000000" w:themeColor="text1"/>
                      <w:sz w:val="18"/>
                      <w:szCs w:val="18"/>
                      <w14:textFill>
                        <w14:solidFill>
                          <w14:schemeClr w14:val="tx1"/>
                        </w14:solidFill>
                      </w14:textFill>
                    </w:rPr>
                    <w:t>/h</w:t>
                  </w:r>
                </w:p>
              </w:tc>
              <w:tc>
                <w:tcPr>
                  <w:tcW w:w="315"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90</w:t>
                  </w:r>
                </w:p>
              </w:tc>
              <w:tc>
                <w:tcPr>
                  <w:tcW w:w="324" w:type="pct"/>
                  <w:gridSpan w:val="2"/>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90</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0.003</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0.44</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8h/d</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932" w:type="pct"/>
                  <w:gridSpan w:val="5"/>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厂界</w:t>
                  </w: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氨气</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0.0003</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1193" w:type="pct"/>
                  <w:gridSpan w:val="4"/>
                  <w:tcBorders>
                    <w:tl2br w:val="nil"/>
                    <w:tr2bl w:val="nil"/>
                  </w:tcBorders>
                  <w:vAlign w:val="center"/>
                </w:tcPr>
                <w:p>
                  <w:pPr>
                    <w:jc w:val="both"/>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绿化、加强厂区通风</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0.0003</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8h/d</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310"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eastAsia" w:cs="Times New Roman"/>
                      <w:color w:val="000000" w:themeColor="text1"/>
                      <w:sz w:val="18"/>
                      <w:szCs w:val="18"/>
                      <w:vertAlign w:val="baseline"/>
                      <w:lang w:val="en-US" w:eastAsia="zh-CN"/>
                      <w14:textFill>
                        <w14:solidFill>
                          <w14:schemeClr w14:val="tx1"/>
                        </w14:solidFill>
                      </w14:textFill>
                    </w:rPr>
                    <w:t>掺混</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r>
                    <w:rPr>
                      <w:rFonts w:hint="eastAsia" w:cs="Times New Roman"/>
                      <w:color w:val="000000" w:themeColor="text1"/>
                      <w:sz w:val="18"/>
                      <w:szCs w:val="18"/>
                      <w:vertAlign w:val="baseline"/>
                      <w:lang w:val="en-US" w:eastAsia="zh-CN"/>
                      <w14:textFill>
                        <w14:solidFill>
                          <w14:schemeClr w14:val="tx1"/>
                        </w14:solidFill>
                      </w14:textFill>
                    </w:rPr>
                    <w:t>造粒</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、筛分、破碎、包装</w:t>
                  </w:r>
                </w:p>
              </w:tc>
              <w:tc>
                <w:tcPr>
                  <w:tcW w:w="310" w:type="pct"/>
                  <w:gridSpan w:val="2"/>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DA001</w:t>
                  </w:r>
                </w:p>
              </w:tc>
              <w:tc>
                <w:tcPr>
                  <w:tcW w:w="311" w:type="pct"/>
                  <w:gridSpan w:val="2"/>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正常工况</w:t>
                  </w: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氯化氢</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0.068</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9.44</w:t>
                  </w:r>
                </w:p>
              </w:tc>
              <w:tc>
                <w:tcPr>
                  <w:tcW w:w="552"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风量</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5000</w:t>
                  </w:r>
                  <w:r>
                    <w:rPr>
                      <w:rFonts w:hint="default" w:ascii="Times New Roman" w:hAnsi="Times New Roman" w:eastAsia="宋体" w:cs="Times New Roman"/>
                      <w:color w:val="000000" w:themeColor="text1"/>
                      <w:sz w:val="18"/>
                      <w:szCs w:val="18"/>
                      <w14:textFill>
                        <w14:solidFill>
                          <w14:schemeClr w14:val="tx1"/>
                        </w14:solidFill>
                      </w14:textFill>
                    </w:rPr>
                    <w:t>m</w:t>
                  </w:r>
                  <w:r>
                    <w:rPr>
                      <w:rFonts w:hint="default" w:ascii="Times New Roman" w:hAnsi="Times New Roman" w:eastAsia="宋体" w:cs="Times New Roman"/>
                      <w:color w:val="000000" w:themeColor="text1"/>
                      <w:sz w:val="18"/>
                      <w:szCs w:val="18"/>
                      <w:vertAlign w:val="superscript"/>
                      <w14:textFill>
                        <w14:solidFill>
                          <w14:schemeClr w14:val="tx1"/>
                        </w14:solidFill>
                      </w14:textFill>
                    </w:rPr>
                    <w:t>3</w:t>
                  </w:r>
                  <w:r>
                    <w:rPr>
                      <w:rFonts w:hint="default" w:ascii="Times New Roman" w:hAnsi="Times New Roman" w:eastAsia="宋体" w:cs="Times New Roman"/>
                      <w:color w:val="000000" w:themeColor="text1"/>
                      <w:sz w:val="18"/>
                      <w:szCs w:val="18"/>
                      <w14:textFill>
                        <w14:solidFill>
                          <w14:schemeClr w14:val="tx1"/>
                        </w14:solidFill>
                      </w14:textFill>
                    </w:rPr>
                    <w:t>/h</w:t>
                  </w:r>
                </w:p>
              </w:tc>
              <w:tc>
                <w:tcPr>
                  <w:tcW w:w="354" w:type="pct"/>
                  <w:gridSpan w:val="2"/>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90</w:t>
                  </w:r>
                </w:p>
              </w:tc>
              <w:tc>
                <w:tcPr>
                  <w:tcW w:w="285"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90</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0.007</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0.94</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8h/d</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932" w:type="pct"/>
                  <w:gridSpan w:val="5"/>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厂界</w:t>
                  </w: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氯化氢</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0.0007</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1193" w:type="pct"/>
                  <w:gridSpan w:val="4"/>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绿化、加强厂区通风</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0.0007</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8h/d</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312" w:type="pct"/>
                  <w:gridSpan w:val="2"/>
                  <w:vMerge w:val="restar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eastAsia" w:cs="Times New Roman"/>
                      <w:color w:val="000000" w:themeColor="text1"/>
                      <w:sz w:val="18"/>
                      <w:szCs w:val="18"/>
                      <w:vertAlign w:val="baseline"/>
                      <w:lang w:val="en-US" w:eastAsia="zh-CN"/>
                      <w14:textFill>
                        <w14:solidFill>
                          <w14:schemeClr w14:val="tx1"/>
                        </w14:solidFill>
                      </w14:textFill>
                    </w:rPr>
                    <w:t>掺混</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r>
                    <w:rPr>
                      <w:rFonts w:hint="eastAsia" w:cs="Times New Roman"/>
                      <w:color w:val="000000" w:themeColor="text1"/>
                      <w:sz w:val="18"/>
                      <w:szCs w:val="18"/>
                      <w:vertAlign w:val="baseline"/>
                      <w:lang w:val="en-US" w:eastAsia="zh-CN"/>
                      <w14:textFill>
                        <w14:solidFill>
                          <w14:schemeClr w14:val="tx1"/>
                        </w14:solidFill>
                      </w14:textFill>
                    </w:rPr>
                    <w:t>造粒</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、筛分、破碎、包装</w:t>
                  </w:r>
                </w:p>
              </w:tc>
              <w:tc>
                <w:tcPr>
                  <w:tcW w:w="400" w:type="pct"/>
                  <w:gridSpan w:val="2"/>
                  <w:vMerge w:val="restar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DA001</w:t>
                  </w:r>
                </w:p>
              </w:tc>
              <w:tc>
                <w:tcPr>
                  <w:tcW w:w="220" w:type="pct"/>
                  <w:vMerge w:val="restar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非正常工况</w:t>
                  </w: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(机器故障）</w:t>
                  </w: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颗粒物</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0.0022t/d</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91.67</w:t>
                  </w:r>
                </w:p>
              </w:tc>
              <w:tc>
                <w:tcPr>
                  <w:tcW w:w="552"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640" w:type="pct"/>
                  <w:gridSpan w:val="3"/>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发现后立即停止生产</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0.0022t/d</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91.67</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发现后立即停止</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312" w:type="pct"/>
                  <w:gridSpan w:val="2"/>
                  <w:vMerge w:val="continue"/>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p>
              </w:tc>
              <w:tc>
                <w:tcPr>
                  <w:tcW w:w="400" w:type="pct"/>
                  <w:gridSpan w:val="2"/>
                  <w:vMerge w:val="continue"/>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p>
              </w:tc>
              <w:tc>
                <w:tcPr>
                  <w:tcW w:w="220" w:type="pct"/>
                  <w:vMerge w:val="continue"/>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氨气</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0.0001t/d</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4.44</w:t>
                  </w:r>
                </w:p>
              </w:tc>
              <w:tc>
                <w:tcPr>
                  <w:tcW w:w="552"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640" w:type="pct"/>
                  <w:gridSpan w:val="3"/>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发现后立即停止生产</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0.0001t/d</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4.44</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发现后立即停止</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8"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c>
                <w:tcPr>
                  <w:tcW w:w="312" w:type="pct"/>
                  <w:gridSpan w:val="2"/>
                  <w:vMerge w:val="continue"/>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p>
              </w:tc>
              <w:tc>
                <w:tcPr>
                  <w:tcW w:w="400" w:type="pct"/>
                  <w:gridSpan w:val="2"/>
                  <w:vMerge w:val="continue"/>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p>
              </w:tc>
              <w:tc>
                <w:tcPr>
                  <w:tcW w:w="220" w:type="pct"/>
                  <w:vMerge w:val="continue"/>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p>
              </w:tc>
              <w:tc>
                <w:tcPr>
                  <w:tcW w:w="219" w:type="pct"/>
                  <w:tcBorders>
                    <w:tl2br w:val="nil"/>
                    <w:tr2bl w:val="nil"/>
                  </w:tcBorders>
                  <w:vAlign w:val="center"/>
                </w:tcPr>
                <w:p>
                  <w:pPr>
                    <w:pStyle w:val="12"/>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氯化氢</w:t>
                  </w:r>
                </w:p>
              </w:tc>
              <w:tc>
                <w:tcPr>
                  <w:tcW w:w="289"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0.0002t/d</w:t>
                  </w:r>
                </w:p>
              </w:tc>
              <w:tc>
                <w:tcPr>
                  <w:tcW w:w="373"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9.44</w:t>
                  </w:r>
                </w:p>
              </w:tc>
              <w:tc>
                <w:tcPr>
                  <w:tcW w:w="552"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w:t>
                  </w:r>
                </w:p>
              </w:tc>
              <w:tc>
                <w:tcPr>
                  <w:tcW w:w="640" w:type="pct"/>
                  <w:gridSpan w:val="3"/>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发现后立即停止生产</w:t>
                  </w:r>
                </w:p>
              </w:tc>
              <w:tc>
                <w:tcPr>
                  <w:tcW w:w="403"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0.0002t/d</w:t>
                  </w:r>
                </w:p>
              </w:tc>
              <w:tc>
                <w:tcPr>
                  <w:tcW w:w="435" w:type="pct"/>
                  <w:tcBorders>
                    <w:tl2br w:val="nil"/>
                    <w:tr2bl w:val="nil"/>
                  </w:tcBorders>
                  <w:vAlign w:val="center"/>
                </w:tcPr>
                <w:p>
                  <w:pPr>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val="en-US" w:eastAsia="zh-CN"/>
                      <w14:textFill>
                        <w14:solidFill>
                          <w14:schemeClr w14:val="tx1"/>
                        </w14:solidFill>
                      </w14:textFill>
                    </w:rPr>
                    <w:t>9.44</w:t>
                  </w:r>
                </w:p>
              </w:tc>
              <w:tc>
                <w:tcPr>
                  <w:tcW w:w="356" w:type="pct"/>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pPr>
                  <w:r>
                    <w:rPr>
                      <w:rFonts w:hint="default" w:ascii="Times New Roman" w:hAnsi="Times New Roman" w:eastAsia="宋体" w:cs="Times New Roman"/>
                      <w:color w:val="000000" w:themeColor="text1"/>
                      <w:sz w:val="18"/>
                      <w:szCs w:val="18"/>
                      <w:vertAlign w:val="baseline"/>
                      <w:lang w:eastAsia="zh-CN"/>
                      <w14:textFill>
                        <w14:solidFill>
                          <w14:schemeClr w14:val="tx1"/>
                        </w14:solidFill>
                      </w14:textFill>
                    </w:rPr>
                    <w:t>发现后立即停止</w:t>
                  </w:r>
                </w:p>
              </w:tc>
              <w:tc>
                <w:tcPr>
                  <w:tcW w:w="577" w:type="pct"/>
                  <w:vMerge w:val="continue"/>
                  <w:tcBorders>
                    <w:tl2br w:val="nil"/>
                    <w:tr2bl w:val="nil"/>
                  </w:tcBorders>
                  <w:vAlign w:val="center"/>
                </w:tcPr>
                <w:p>
                  <w:pPr>
                    <w:jc w:val="center"/>
                    <w:rPr>
                      <w:rFonts w:hint="default" w:ascii="Times New Roman" w:hAnsi="Times New Roman" w:eastAsia="宋体" w:cs="Times New Roman"/>
                      <w:color w:val="000000" w:themeColor="text1"/>
                      <w:sz w:val="18"/>
                      <w:szCs w:val="18"/>
                      <w:vertAlign w:val="baseli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32"/>
                <w:lang w:eastAsia="zh-CN"/>
                <w14:textFill>
                  <w14:solidFill>
                    <w14:schemeClr w14:val="tx1"/>
                  </w14:solidFill>
                </w14:textFill>
              </w:rPr>
            </w:pPr>
            <w:r>
              <w:rPr>
                <w:rFonts w:hint="default" w:ascii="Times New Roman" w:hAnsi="Times New Roman" w:eastAsia="宋体" w:cs="Times New Roman"/>
                <w:color w:val="000000" w:themeColor="text1"/>
                <w:sz w:val="24"/>
                <w:szCs w:val="32"/>
                <w:lang w:eastAsia="zh-CN"/>
                <w14:textFill>
                  <w14:solidFill>
                    <w14:schemeClr w14:val="tx1"/>
                  </w14:solidFill>
                </w14:textFill>
              </w:rPr>
              <w:t>源强核算简单阐述：</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(1)粉尘</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本项目使用的原料为氯化铵晶体，在搅拌和破碎</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工</w:t>
            </w:r>
            <w:r>
              <w:rPr>
                <w:rFonts w:hint="default" w:ascii="Times New Roman" w:hAnsi="Times New Roman" w:eastAsia="宋体" w:cs="Times New Roman"/>
                <w:color w:val="000000" w:themeColor="text1"/>
                <w:sz w:val="24"/>
                <w:szCs w:val="24"/>
                <w:u w:val="single"/>
                <w14:textFill>
                  <w14:solidFill>
                    <w14:schemeClr w14:val="tx1"/>
                  </w14:solidFill>
                </w14:textFill>
              </w:rPr>
              <w:t>序会产生少量的氯化铵</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晶</w:t>
            </w:r>
            <w:r>
              <w:rPr>
                <w:rFonts w:hint="default" w:ascii="Times New Roman" w:hAnsi="Times New Roman" w:eastAsia="宋体" w:cs="Times New Roman"/>
                <w:color w:val="000000" w:themeColor="text1"/>
                <w:sz w:val="24"/>
                <w:szCs w:val="24"/>
                <w:u w:val="single"/>
                <w14:textFill>
                  <w14:solidFill>
                    <w14:schemeClr w14:val="tx1"/>
                  </w14:solidFill>
                </w14:textFill>
              </w:rPr>
              <w:t>体粉尘，</w:t>
            </w:r>
            <w:r>
              <w:rPr>
                <w:rFonts w:hint="default" w:ascii="Times New Roman" w:hAnsi="Times New Roman" w:eastAsia="宋体" w:cs="Times New Roman"/>
                <w:sz w:val="24"/>
                <w:szCs w:val="24"/>
                <w:u w:val="single"/>
              </w:rPr>
              <w:t>经查阅相关资料，</w:t>
            </w:r>
            <w:r>
              <w:rPr>
                <w:rFonts w:hint="eastAsia" w:ascii="Times New Roman" w:hAnsi="Times New Roman" w:cs="Times New Roman"/>
                <w:sz w:val="24"/>
                <w:szCs w:val="24"/>
                <w:u w:val="single"/>
                <w:lang w:eastAsia="zh-CN"/>
              </w:rPr>
              <w:t>类比《</w:t>
            </w:r>
            <w:r>
              <w:rPr>
                <w:rFonts w:ascii="宋体" w:hAnsi="宋体" w:eastAsia="宋体" w:cs="宋体"/>
                <w:sz w:val="24"/>
                <w:szCs w:val="24"/>
                <w:u w:val="single"/>
              </w:rPr>
              <w:t>河南省佳施美农业科技有限公司年产10000吨的氯化铵挤压颗粒项目</w:t>
            </w:r>
            <w:r>
              <w:rPr>
                <w:rFonts w:hint="eastAsia" w:ascii="Times New Roman" w:hAnsi="Times New Roman" w:cs="Times New Roman"/>
                <w:sz w:val="24"/>
                <w:szCs w:val="24"/>
                <w:u w:val="single"/>
                <w:lang w:eastAsia="zh-CN"/>
              </w:rPr>
              <w:t>》环境影响评价报告表</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粉尘产生系数为0.</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u w:val="single"/>
                <w14:textFill>
                  <w14:solidFill>
                    <w14:schemeClr w14:val="tx1"/>
                  </w14:solidFill>
                </w14:textFill>
              </w:rPr>
              <w:t>66kg/吨-产品</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本项目</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产品</w:t>
            </w:r>
            <w:r>
              <w:rPr>
                <w:rFonts w:hint="default" w:ascii="Times New Roman" w:hAnsi="Times New Roman" w:eastAsia="宋体" w:cs="Times New Roman"/>
                <w:color w:val="000000" w:themeColor="text1"/>
                <w:sz w:val="24"/>
                <w:szCs w:val="24"/>
                <w:u w:val="single"/>
                <w14:textFill>
                  <w14:solidFill>
                    <w14:schemeClr w14:val="tx1"/>
                  </w14:solidFill>
                </w14:textFill>
              </w:rPr>
              <w:t>为年产10000吨氯化铵颗粒，则产生的工业粉尘量为0.66t/a。</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(2)氨气</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项目生产过程中氯化铵晶体在常温条件下形状稳定，正常可以观测到氯化铵分解的温度为100</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,本项目使用产品量较大，酌情考虑氯化铵分解产生氨气和氯化氢气体，项目生产过程中氯化铵品体为袋装密闭堆放，在进入设备前拆封，造粒完成后及时装入密封</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包装</w:t>
            </w:r>
            <w:r>
              <w:rPr>
                <w:rFonts w:hint="default" w:ascii="Times New Roman" w:hAnsi="Times New Roman" w:eastAsia="宋体" w:cs="Times New Roman"/>
                <w:color w:val="000000" w:themeColor="text1"/>
                <w:sz w:val="24"/>
                <w:szCs w:val="24"/>
                <w:u w:val="single"/>
                <w14:textFill>
                  <w14:solidFill>
                    <w14:schemeClr w14:val="tx1"/>
                  </w14:solidFill>
                </w14:textFill>
              </w:rPr>
              <w:t>袋，单位质量的氯化铵晶体在空气中暴露时间较短，</w:t>
            </w:r>
            <w:r>
              <w:rPr>
                <w:rFonts w:hint="default" w:ascii="Times New Roman" w:hAnsi="Times New Roman" w:eastAsia="宋体" w:cs="Times New Roman"/>
                <w:sz w:val="24"/>
                <w:szCs w:val="24"/>
                <w:u w:val="single"/>
              </w:rPr>
              <w:t>经查阅相关资料，</w:t>
            </w:r>
            <w:r>
              <w:rPr>
                <w:rFonts w:hint="eastAsia" w:ascii="Times New Roman" w:hAnsi="Times New Roman" w:cs="Times New Roman"/>
                <w:sz w:val="24"/>
                <w:szCs w:val="24"/>
                <w:u w:val="single"/>
                <w:lang w:eastAsia="zh-CN"/>
              </w:rPr>
              <w:t>类比《</w:t>
            </w:r>
            <w:r>
              <w:rPr>
                <w:rFonts w:ascii="宋体" w:hAnsi="宋体" w:eastAsia="宋体" w:cs="宋体"/>
                <w:sz w:val="24"/>
                <w:szCs w:val="24"/>
                <w:u w:val="single"/>
              </w:rPr>
              <w:t>河南省佳施美农业科技有限公司年产10000吨的氯化铵挤压颗粒项目</w:t>
            </w:r>
            <w:r>
              <w:rPr>
                <w:rFonts w:hint="eastAsia" w:ascii="Times New Roman" w:hAnsi="Times New Roman" w:cs="Times New Roman"/>
                <w:sz w:val="24"/>
                <w:szCs w:val="24"/>
                <w:u w:val="single"/>
                <w:lang w:eastAsia="zh-CN"/>
              </w:rPr>
              <w:t>》环境影响评价报告表</w:t>
            </w:r>
            <w:r>
              <w:rPr>
                <w:rFonts w:hint="default" w:ascii="Times New Roman" w:hAnsi="Times New Roman" w:eastAsia="宋体" w:cs="Times New Roman"/>
                <w:color w:val="000000" w:themeColor="text1"/>
                <w:sz w:val="24"/>
                <w:szCs w:val="24"/>
                <w:u w:val="single"/>
                <w14:textFill>
                  <w14:solidFill>
                    <w14:schemeClr w14:val="tx1"/>
                  </w14:solidFill>
                </w14:textFill>
              </w:rPr>
              <w:t>，本项目氯化铵常温分解量按0.001%计，根据分子量占比分析，则项目氨气的产生量约为0.032t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a。</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(3)氯化氢气体</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氯化氢气体分解产生量参照上述分析，约为0.068t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a。</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在项目废气的产生节点处如搅拌机进出料口、挤压造粒机上方、筛分机进出料口、破碎机进出料口共设置</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u w:val="single"/>
                <w14:textFill>
                  <w14:solidFill>
                    <w14:schemeClr w14:val="tx1"/>
                  </w14:solidFill>
                </w14:textFill>
              </w:rPr>
              <w:t>个集气罩，密闭收集产生的粉尘、氨气和氯化氢气体，经管道连接至液封水吸收装置的除尘管道进行处理</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，风机的风量为</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5000m</w:t>
            </w:r>
            <w:r>
              <w:rPr>
                <w:rFonts w:hint="default" w:ascii="Times New Roman" w:hAnsi="Times New Roman" w:eastAsia="宋体" w:cs="Times New Roman"/>
                <w:color w:val="000000" w:themeColor="text1"/>
                <w:sz w:val="24"/>
                <w:szCs w:val="24"/>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/h。</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①项目废气分析：据上述分析，项目粉尘产生量为0.66t/a，则粉尘的产生浓度为91.67mg/m</w:t>
            </w:r>
            <w:r>
              <w:rPr>
                <w:rFonts w:hint="default" w:ascii="Times New Roman" w:hAnsi="Times New Roman" w:eastAsia="宋体" w:cs="Times New Roman"/>
                <w:color w:val="000000" w:themeColor="text1"/>
                <w:sz w:val="24"/>
                <w:szCs w:val="28"/>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，产生速率为0.458kg/h，经液封水吸收装置处理后粉尘的排放量为0.066t/a，排放浓度为9.08mg/m</w:t>
            </w:r>
            <w:r>
              <w:rPr>
                <w:rFonts w:hint="default" w:ascii="Times New Roman" w:hAnsi="Times New Roman" w:eastAsia="宋体" w:cs="Times New Roman"/>
                <w:color w:val="000000" w:themeColor="text1"/>
                <w:sz w:val="24"/>
                <w:szCs w:val="28"/>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，排放速率为0.045kg/h；</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项目氨气产生量为0.032t/a，产生浓度为4.44mg/m</w:t>
            </w:r>
            <w:r>
              <w:rPr>
                <w:rFonts w:hint="default" w:ascii="Times New Roman" w:hAnsi="Times New Roman" w:eastAsia="宋体" w:cs="Times New Roman"/>
                <w:color w:val="000000" w:themeColor="text1"/>
                <w:sz w:val="24"/>
                <w:szCs w:val="28"/>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8"/>
                <w:u w:val="singl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产生速率为0.022kg/h，经液封水吸收装置处理后氨气的排放量为0.003t/a，排放浓度为0.44mg/m</w:t>
            </w:r>
            <w:r>
              <w:rPr>
                <w:rFonts w:hint="default" w:ascii="Times New Roman" w:hAnsi="Times New Roman" w:eastAsia="宋体" w:cs="Times New Roman"/>
                <w:color w:val="000000" w:themeColor="text1"/>
                <w:sz w:val="24"/>
                <w:szCs w:val="28"/>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8"/>
                <w:u w:val="singl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排放速率为0.0022kg/h；</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项目氯化氢气体产生量为0.068t/a，产生浓度为9.44mg/m</w:t>
            </w:r>
            <w:r>
              <w:rPr>
                <w:rFonts w:hint="default" w:ascii="Times New Roman" w:hAnsi="Times New Roman" w:eastAsia="宋体" w:cs="Times New Roman"/>
                <w:color w:val="000000" w:themeColor="text1"/>
                <w:sz w:val="24"/>
                <w:szCs w:val="28"/>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，产生速率为0.047kg/h，经液封水吸收装置处理后氯化氢气体的排放量为0.007t/a，排放浓度为0.94mg/m</w:t>
            </w:r>
            <w:r>
              <w:rPr>
                <w:rFonts w:hint="default" w:ascii="Times New Roman" w:hAnsi="Times New Roman" w:eastAsia="宋体" w:cs="Times New Roman"/>
                <w:color w:val="000000" w:themeColor="text1"/>
                <w:sz w:val="24"/>
                <w:szCs w:val="28"/>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，排放速率为0.0047kg/h。</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未被集气罩收集的废气以无组织的形式排放，排放量为粉尘0.0066t/a,氨气0.0003t/a，氯化氢气体0.0007t/a。</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可行性分析</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本项目使用的液封水吸收装置主要是利用了氨气、氯化氢气体溶于水的能力来进行吸收项目产生的废气，主要涉及废气处理能力的是装置内水箱的容量和水箱内吸收水的浓度，本项目处理废水的产生量根据氨气产生量计算，</w:t>
            </w:r>
            <w:r>
              <w:rPr>
                <w:rFonts w:hint="default" w:ascii="Times New Roman" w:hAnsi="Times New Roman" w:eastAsia="宋体" w:cs="Times New Roman"/>
                <w:sz w:val="24"/>
                <w:szCs w:val="24"/>
                <w:u w:val="single"/>
              </w:rPr>
              <w:t>经查阅相关资料，</w:t>
            </w:r>
            <w:r>
              <w:rPr>
                <w:rFonts w:hint="eastAsia" w:ascii="Times New Roman" w:hAnsi="Times New Roman" w:cs="Times New Roman"/>
                <w:sz w:val="24"/>
                <w:szCs w:val="24"/>
                <w:u w:val="single"/>
                <w:lang w:eastAsia="zh-CN"/>
              </w:rPr>
              <w:t>类比《</w:t>
            </w:r>
            <w:r>
              <w:rPr>
                <w:rFonts w:ascii="宋体" w:hAnsi="宋体" w:eastAsia="宋体" w:cs="宋体"/>
                <w:sz w:val="24"/>
                <w:szCs w:val="24"/>
                <w:u w:val="single"/>
              </w:rPr>
              <w:t>河南省佳施美农业科技有限公司年产10000吨的氯化铵挤压颗粒项目</w:t>
            </w:r>
            <w:r>
              <w:rPr>
                <w:rFonts w:hint="eastAsia" w:ascii="Times New Roman" w:hAnsi="Times New Roman" w:cs="Times New Roman"/>
                <w:sz w:val="24"/>
                <w:szCs w:val="24"/>
                <w:u w:val="single"/>
                <w:lang w:eastAsia="zh-CN"/>
              </w:rPr>
              <w:t>》环境影响评价报告表</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氨气溶于水的吸收体积比为700:1，即</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一</w:t>
            </w:r>
            <w:r>
              <w:rPr>
                <w:rFonts w:hint="default" w:ascii="Times New Roman" w:hAnsi="Times New Roman" w:eastAsia="宋体" w:cs="Times New Roman"/>
                <w:color w:val="000000" w:themeColor="text1"/>
                <w:sz w:val="24"/>
                <w:szCs w:val="24"/>
                <w:u w:val="single"/>
                <w14:textFill>
                  <w14:solidFill>
                    <w14:schemeClr w14:val="tx1"/>
                  </w14:solidFill>
                </w14:textFill>
              </w:rPr>
              <w:t>体积的水溶解700体积的氨气，根据单位体积质量换算，每1t水吸收0.00054</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t</w:t>
            </w:r>
            <w:r>
              <w:rPr>
                <w:rFonts w:hint="default" w:ascii="Times New Roman" w:hAnsi="Times New Roman" w:eastAsia="宋体" w:cs="Times New Roman"/>
                <w:color w:val="000000" w:themeColor="text1"/>
                <w:sz w:val="24"/>
                <w:szCs w:val="24"/>
                <w:u w:val="single"/>
                <w14:textFill>
                  <w14:solidFill>
                    <w14:schemeClr w14:val="tx1"/>
                  </w14:solidFill>
                </w14:textFill>
              </w:rPr>
              <w:t>氨气。考虑到本项产生的氯化铵粉尘溶于水会降低水对氨气的吸收效率，本项目水吸收的系数取值相应削减为满吸收效率的70%，项目全厂产生的氨气量为0.0</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32</w:t>
            </w:r>
            <w:r>
              <w:rPr>
                <w:rFonts w:hint="default" w:ascii="Times New Roman" w:hAnsi="Times New Roman" w:eastAsia="宋体" w:cs="Times New Roman"/>
                <w:color w:val="000000" w:themeColor="text1"/>
                <w:sz w:val="24"/>
                <w:szCs w:val="24"/>
                <w:u w:val="single"/>
                <w14:textFill>
                  <w14:solidFill>
                    <w14:schemeClr w14:val="tx1"/>
                  </w14:solidFill>
                </w14:textFill>
              </w:rPr>
              <w:t>t/a，水吸收装置产生的废水量为</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8.464t</w:t>
            </w:r>
            <w:r>
              <w:rPr>
                <w:rFonts w:hint="default" w:ascii="Times New Roman" w:hAnsi="Times New Roman" w:eastAsia="宋体" w:cs="Times New Roman"/>
                <w:color w:val="000000" w:themeColor="text1"/>
                <w:sz w:val="24"/>
                <w:szCs w:val="24"/>
                <w:u w:val="single"/>
                <w14:textFill>
                  <w14:solidFill>
                    <w14:schemeClr w14:val="tx1"/>
                  </w14:solidFill>
                </w14:textFill>
              </w:rPr>
              <w:t>/a，项目废气治理装置内水箱容积为4m</w:t>
            </w:r>
            <w:r>
              <w:rPr>
                <w:rFonts w:hint="default" w:ascii="Times New Roman" w:hAnsi="Times New Roman" w:eastAsia="宋体" w:cs="Times New Roman"/>
                <w:color w:val="000000" w:themeColor="text1"/>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u w:val="single"/>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换水周期为3月/次，可以满足项目的处理需求。</w:t>
            </w:r>
          </w:p>
          <w:p>
            <w:pPr>
              <w:pStyle w:val="7"/>
              <w:keepNext w:val="0"/>
              <w:keepLines w:val="0"/>
              <w:pageBreakBefore w:val="0"/>
              <w:widowControl/>
              <w:kinsoku/>
              <w:wordWrap/>
              <w:overflowPunct/>
              <w:topLinePunct w:val="0"/>
              <w:autoSpaceDE w:val="0"/>
              <w:autoSpaceDN w:val="0"/>
              <w:bidi w:val="0"/>
              <w:adjustRightInd/>
              <w:snapToGrid/>
              <w:spacing w:line="360" w:lineRule="auto"/>
              <w:textAlignment w:val="auto"/>
              <w:rPr>
                <w:rFonts w:hint="default" w:ascii="Times New Roman" w:hAnsi="Times New Roman" w:cs="Times New Roman"/>
                <w:sz w:val="24"/>
                <w:szCs w:val="28"/>
                <w:u w:val="single"/>
                <w:lang w:val="en-US" w:eastAsia="zh-CN"/>
              </w:rPr>
            </w:pPr>
            <w:r>
              <w:rPr>
                <w:rFonts w:hint="default" w:ascii="Times New Roman" w:hAnsi="Times New Roman" w:eastAsia="宋体" w:cs="Times New Roman"/>
                <w:color w:val="000000" w:themeColor="text1"/>
                <w:sz w:val="24"/>
                <w:szCs w:val="28"/>
                <w:u w:val="single"/>
                <w:lang w:val="en-US" w:eastAsia="zh-CN"/>
                <w14:textFill>
                  <w14:solidFill>
                    <w14:schemeClr w14:val="tx1"/>
                  </w14:solidFill>
                </w14:textFill>
              </w:rPr>
              <w:t>本项目生产设备每天运行8h，每半天都会对仪器设备的运行情况进行检查和记录，有效的将生产设施非正常运行的频次控制在1年/次，在发生非正常运行情况时，应及时停止生产，对设备进行检查和维修。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u w:val="single"/>
                <w:lang w:val="en-US" w:eastAsia="zh-CN"/>
              </w:rPr>
            </w:pPr>
            <w:r>
              <w:rPr>
                <w:rFonts w:hint="default"/>
                <w:sz w:val="24"/>
                <w:szCs w:val="32"/>
                <w:u w:val="single"/>
                <w:lang w:val="en-US" w:eastAsia="zh-CN"/>
              </w:rPr>
              <w:t>根据《大气污染物综合排放标准》GB16297-1996，排气筒高度除须遵守表列排放速率标准值外，还应高出周围200米半径范围的建筑5米以上。根据现场勘探项目周围200米半径内无高于10m的建筑，所以设排气筒高度为15m。</w:t>
            </w:r>
          </w:p>
          <w:p>
            <w:pPr>
              <w:bidi w:val="0"/>
              <w:jc w:val="center"/>
              <w:rPr>
                <w:rFonts w:hint="eastAsia" w:eastAsia="宋体"/>
                <w:u w:val="single"/>
                <w:lang w:val="en-US" w:eastAsia="zh-CN"/>
              </w:rPr>
            </w:pPr>
            <w:r>
              <w:rPr>
                <w:rFonts w:hint="eastAsia"/>
                <w:b/>
                <w:bCs/>
                <w:u w:val="single"/>
                <w:lang w:val="en-US" w:eastAsia="zh-CN"/>
              </w:rPr>
              <w:t xml:space="preserve">表4-3  </w:t>
            </w:r>
            <w:r>
              <w:rPr>
                <w:rFonts w:hint="eastAsia"/>
                <w:b/>
                <w:bCs/>
                <w:u w:val="single"/>
                <w:lang w:eastAsia="zh-CN"/>
              </w:rPr>
              <w:t>排放口基本情况</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652"/>
              <w:gridCol w:w="1573"/>
              <w:gridCol w:w="523"/>
              <w:gridCol w:w="963"/>
              <w:gridCol w:w="1210"/>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24"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编号</w:t>
                  </w:r>
                </w:p>
              </w:tc>
              <w:tc>
                <w:tcPr>
                  <w:tcW w:w="2037" w:type="pct"/>
                  <w:gridSpan w:val="2"/>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经纬度</w:t>
                  </w:r>
                </w:p>
              </w:tc>
              <w:tc>
                <w:tcPr>
                  <w:tcW w:w="330"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温度</w:t>
                  </w:r>
                </w:p>
              </w:tc>
              <w:tc>
                <w:tcPr>
                  <w:tcW w:w="608"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排气筒高度/m</w:t>
                  </w:r>
                </w:p>
              </w:tc>
              <w:tc>
                <w:tcPr>
                  <w:tcW w:w="764"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排气筒出口内径/m</w:t>
                  </w:r>
                </w:p>
              </w:tc>
              <w:tc>
                <w:tcPr>
                  <w:tcW w:w="734"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eastAsia"/>
                      <w:u w:val="single"/>
                      <w:lang w:val="en-US" w:eastAsia="zh-CN"/>
                    </w:rPr>
                  </w:pPr>
                  <w:r>
                    <w:rPr>
                      <w:rFonts w:hint="eastAsia"/>
                      <w:u w:val="single"/>
                      <w:lang w:val="en-US" w:eastAsia="zh-CN"/>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24"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DA001</w:t>
                  </w:r>
                </w:p>
              </w:tc>
              <w:tc>
                <w:tcPr>
                  <w:tcW w:w="1043"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E112.596136288</w:t>
                  </w:r>
                </w:p>
              </w:tc>
              <w:tc>
                <w:tcPr>
                  <w:tcW w:w="993"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N29.540238225</w:t>
                  </w:r>
                </w:p>
              </w:tc>
              <w:tc>
                <w:tcPr>
                  <w:tcW w:w="330"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20</w:t>
                  </w:r>
                </w:p>
              </w:tc>
              <w:tc>
                <w:tcPr>
                  <w:tcW w:w="608"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15</w:t>
                  </w:r>
                </w:p>
              </w:tc>
              <w:tc>
                <w:tcPr>
                  <w:tcW w:w="764"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default"/>
                      <w:u w:val="single"/>
                      <w:lang w:val="en-US" w:eastAsia="zh-CN"/>
                    </w:rPr>
                  </w:pPr>
                  <w:r>
                    <w:rPr>
                      <w:rFonts w:hint="eastAsia"/>
                      <w:u w:val="single"/>
                      <w:lang w:val="en-US" w:eastAsia="zh-CN"/>
                    </w:rPr>
                    <w:t>0.8</w:t>
                  </w:r>
                </w:p>
              </w:tc>
              <w:tc>
                <w:tcPr>
                  <w:tcW w:w="734" w:type="pct"/>
                  <w:tcBorders>
                    <w:tl2br w:val="nil"/>
                    <w:tr2bl w:val="nil"/>
                  </w:tcBorders>
                  <w:noWrap w:val="0"/>
                  <w:vAlign w:val="center"/>
                </w:tcPr>
                <w:p>
                  <w:pPr>
                    <w:pStyle w:val="62"/>
                    <w:keepNext w:val="0"/>
                    <w:keepLines w:val="0"/>
                    <w:pageBreakBefore w:val="0"/>
                    <w:widowControl/>
                    <w:kinsoku/>
                    <w:wordWrap/>
                    <w:overflowPunct/>
                    <w:topLinePunct w:val="0"/>
                    <w:autoSpaceDE/>
                    <w:autoSpaceDN/>
                    <w:bidi w:val="0"/>
                    <w:adjustRightInd/>
                    <w:snapToGrid/>
                    <w:spacing w:before="0" w:after="0"/>
                    <w:ind w:right="0"/>
                    <w:jc w:val="center"/>
                    <w:textAlignment w:val="auto"/>
                    <w:rPr>
                      <w:rFonts w:hint="eastAsia"/>
                      <w:u w:val="single"/>
                      <w:lang w:val="en-US" w:eastAsia="zh-CN"/>
                    </w:rPr>
                  </w:pPr>
                  <w:r>
                    <w:rPr>
                      <w:rFonts w:hint="eastAsia"/>
                      <w:u w:val="single"/>
                      <w:lang w:val="en-US" w:eastAsia="zh-CN"/>
                    </w:rPr>
                    <w:t>主要排放口</w:t>
                  </w:r>
                </w:p>
              </w:tc>
            </w:tr>
          </w:tbl>
          <w:p>
            <w:pPr>
              <w:pStyle w:val="7"/>
              <w:keepNext w:val="0"/>
              <w:keepLines w:val="0"/>
              <w:pageBreakBefore w:val="0"/>
              <w:kinsoku/>
              <w:wordWrap/>
              <w:overflowPunct/>
              <w:topLinePunct w:val="0"/>
              <w:bidi w:val="0"/>
              <w:adjustRightInd/>
              <w:snapToGrid/>
              <w:spacing w:line="360" w:lineRule="auto"/>
              <w:ind w:firstLine="482" w:firstLineChars="200"/>
              <w:textAlignment w:val="auto"/>
              <w:rPr>
                <w:rFonts w:hint="eastAsia" w:ascii="Times New Roman" w:cs="Times New Roman"/>
                <w:sz w:val="24"/>
                <w:u w:val="none"/>
                <w:lang w:eastAsia="zh-CN"/>
              </w:rPr>
            </w:pPr>
            <w:r>
              <w:rPr>
                <w:rFonts w:hint="eastAsia" w:ascii="Times New Roman" w:cs="Times New Roman"/>
                <w:b/>
                <w:bCs/>
                <w:sz w:val="24"/>
                <w:u w:val="none"/>
                <w:lang w:eastAsia="zh-CN"/>
              </w:rPr>
              <w:t>许可排放量</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cs="Times New Roman"/>
                <w:sz w:val="24"/>
                <w:u w:val="none"/>
                <w:lang w:val="en-US" w:eastAsia="zh-CN"/>
              </w:rPr>
            </w:pPr>
            <w:r>
              <w:rPr>
                <w:rFonts w:hint="eastAsia" w:ascii="Times New Roman" w:cs="Times New Roman"/>
                <w:sz w:val="24"/>
                <w:u w:val="none"/>
                <w:lang w:eastAsia="zh-CN"/>
              </w:rPr>
              <w:t>根据</w:t>
            </w:r>
            <w:r>
              <w:rPr>
                <w:rFonts w:hint="eastAsia" w:cs="Times New Roman"/>
                <w:sz w:val="24"/>
                <w:szCs w:val="32"/>
                <w:lang w:eastAsia="zh-CN"/>
              </w:rPr>
              <w:t>《排污许可证申请与核发技术规范磷肥、钾肥、复混肥料、有机肥料及微生物肥料工业》中“</w:t>
            </w:r>
            <w:r>
              <w:rPr>
                <w:rFonts w:hint="default" w:ascii="Times New Roman" w:hAnsi="Times New Roman" w:cs="Times New Roman"/>
                <w:sz w:val="24"/>
                <w:szCs w:val="32"/>
                <w:lang w:val="en-US" w:eastAsia="zh-CN"/>
              </w:rPr>
              <w:t>5.2.2.2许</w:t>
            </w:r>
            <w:r>
              <w:rPr>
                <w:rFonts w:hint="eastAsia" w:cs="Times New Roman"/>
                <w:sz w:val="24"/>
                <w:szCs w:val="32"/>
                <w:lang w:val="en-US" w:eastAsia="zh-CN"/>
              </w:rPr>
              <w:t>可排放量重点管理的磷肥和复混肥料（复合肥料）排污单位应明确主要排放口中的颗粒物核算年许可排放量。”</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eastAsia" w:ascii="Times New Roman" w:cs="Times New Roman"/>
                <w:sz w:val="24"/>
                <w:u w:val="none"/>
                <w:lang w:eastAsia="zh-CN"/>
              </w:rPr>
            </w:pPr>
            <w:r>
              <w:rPr>
                <w:rFonts w:hint="eastAsia" w:ascii="Times New Roman" w:cs="Times New Roman"/>
                <w:sz w:val="24"/>
                <w:u w:val="none"/>
                <w:lang w:eastAsia="zh-CN"/>
              </w:rPr>
              <w:t>主要废气排放口中颗粒物的年许可排放量计算公式</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hAnsi="Cambria Math" w:cs="Times New Roman"/>
                <w:i w:val="0"/>
                <w:sz w:val="24"/>
                <w:szCs w:val="22"/>
                <w:u w:val="none"/>
                <w:lang w:val="en-US" w:bidi="ar-SA"/>
              </w:rPr>
            </w:pPr>
            <m:oMathPara>
              <m:oMath>
                <m:sSub>
                  <m:sSubPr>
                    <m:ctrlPr>
                      <w:rPr>
                        <w:rFonts w:hint="default" w:ascii="Cambria Math" w:hAnsi="Cambria Math" w:cs="Times New Roman"/>
                        <w:sz w:val="24"/>
                        <w:szCs w:val="22"/>
                        <w:u w:val="none"/>
                        <w:lang w:val="en-US" w:eastAsia="zh-CN" w:bidi="ar-SA"/>
                      </w:rPr>
                    </m:ctrlPr>
                  </m:sSubPr>
                  <m:e>
                    <m:r>
                      <m:rPr>
                        <m:sty m:val="p"/>
                      </m:rPr>
                      <w:rPr>
                        <w:rFonts w:hint="default" w:ascii="Cambria Math" w:hAnsi="Cambria Math" w:cs="Times New Roman"/>
                        <w:sz w:val="24"/>
                        <w:szCs w:val="22"/>
                        <w:u w:val="none"/>
                        <w:lang w:val="en-US" w:eastAsia="zh-CN" w:bidi="ar-SA"/>
                      </w:rPr>
                      <m:t>E</m:t>
                    </m:r>
                    <m:ctrlPr>
                      <w:rPr>
                        <w:rFonts w:hint="default" w:ascii="Cambria Math" w:hAnsi="Cambria Math" w:cs="Times New Roman"/>
                        <w:sz w:val="24"/>
                        <w:szCs w:val="22"/>
                        <w:u w:val="none"/>
                        <w:lang w:val="en-US" w:eastAsia="zh-CN" w:bidi="ar-SA"/>
                      </w:rPr>
                    </m:ctrlPr>
                  </m:e>
                  <m:sub>
                    <m:r>
                      <m:rPr>
                        <m:sty m:val="p"/>
                      </m:rPr>
                      <w:rPr>
                        <w:rFonts w:hint="default" w:ascii="Cambria Math" w:hAnsi="Cambria Math" w:cs="Times New Roman"/>
                        <w:sz w:val="24"/>
                        <w:szCs w:val="22"/>
                        <w:u w:val="none"/>
                        <w:lang w:val="en-US" w:eastAsia="zh-CN" w:bidi="ar-SA"/>
                      </w:rPr>
                      <m:t>i</m:t>
                    </m:r>
                    <m:ctrlPr>
                      <w:rPr>
                        <w:rFonts w:hint="default" w:ascii="Cambria Math" w:hAnsi="Cambria Math" w:cs="Times New Roman"/>
                        <w:sz w:val="24"/>
                        <w:szCs w:val="22"/>
                        <w:u w:val="none"/>
                        <w:lang w:val="en-US" w:eastAsia="zh-CN" w:bidi="ar-SA"/>
                      </w:rPr>
                    </m:ctrlPr>
                  </m:sub>
                </m:sSub>
                <m:r>
                  <m:rPr>
                    <m:sty m:val="p"/>
                  </m:rPr>
                  <w:rPr>
                    <w:rFonts w:hint="default" w:ascii="Cambria Math" w:hAnsi="Cambria Math" w:cs="Times New Roman"/>
                    <w:sz w:val="24"/>
                    <w:szCs w:val="22"/>
                    <w:u w:val="none"/>
                    <w:lang w:val="en-US" w:eastAsia="zh-CN" w:bidi="ar-SA"/>
                  </w:rPr>
                  <m:t>=C</m:t>
                </m:r>
                <m:r>
                  <m:rPr>
                    <m:sty m:val="p"/>
                  </m:rPr>
                  <w:rPr>
                    <w:rFonts w:hint="default" w:ascii="Cambria Math" w:hAnsi="Cambria Math" w:cs="Times New Roman"/>
                    <w:sz w:val="24"/>
                    <w:szCs w:val="22"/>
                    <w:u w:val="none"/>
                    <w:lang w:val="en-US" w:bidi="ar-SA"/>
                  </w:rPr>
                  <m:t>×</m:t>
                </m:r>
                <m:r>
                  <m:rPr>
                    <m:sty m:val="p"/>
                  </m:rPr>
                  <w:rPr>
                    <w:rFonts w:hint="default" w:ascii="Cambria Math" w:hAnsi="Cambria Math" w:cs="Times New Roman"/>
                    <w:sz w:val="24"/>
                    <w:szCs w:val="22"/>
                    <w:u w:val="none"/>
                    <w:lang w:val="en-US" w:eastAsia="zh-CN" w:bidi="ar-SA"/>
                  </w:rPr>
                  <m:t>Q</m:t>
                </m:r>
                <m:r>
                  <m:rPr>
                    <m:sty m:val="p"/>
                  </m:rPr>
                  <w:rPr>
                    <w:rFonts w:hint="default" w:ascii="Cambria Math" w:hAnsi="Cambria Math" w:cs="Times New Roman"/>
                    <w:sz w:val="24"/>
                    <w:szCs w:val="22"/>
                    <w:u w:val="none"/>
                    <w:lang w:val="en-US" w:bidi="ar-SA"/>
                  </w:rPr>
                  <m:t>×</m:t>
                </m:r>
                <m:r>
                  <m:rPr>
                    <m:sty m:val="p"/>
                  </m:rPr>
                  <w:rPr>
                    <w:rFonts w:hint="default" w:ascii="Cambria Math" w:hAnsi="Cambria Math" w:cs="Times New Roman"/>
                    <w:sz w:val="24"/>
                    <w:szCs w:val="22"/>
                    <w:u w:val="none"/>
                    <w:lang w:val="en-US" w:eastAsia="zh-CN" w:bidi="ar-SA"/>
                  </w:rPr>
                  <m:t>h</m:t>
                </m:r>
                <m:r>
                  <m:rPr>
                    <m:sty m:val="p"/>
                  </m:rPr>
                  <w:rPr>
                    <w:rFonts w:hint="default" w:ascii="Cambria Math" w:hAnsi="Cambria Math" w:cs="Times New Roman"/>
                    <w:sz w:val="24"/>
                    <w:szCs w:val="22"/>
                    <w:u w:val="none"/>
                    <w:lang w:val="en-US" w:bidi="ar-SA"/>
                  </w:rPr>
                  <m:t>×</m:t>
                </m:r>
                <m:sSup>
                  <m:sSupPr>
                    <m:ctrlPr>
                      <w:rPr>
                        <w:rFonts w:hint="default" w:ascii="Cambria Math" w:hAnsi="Cambria Math" w:cs="Times New Roman"/>
                        <w:sz w:val="24"/>
                        <w:szCs w:val="22"/>
                        <w:u w:val="none"/>
                        <w:lang w:val="en-US" w:bidi="ar-SA"/>
                      </w:rPr>
                    </m:ctrlPr>
                  </m:sSupPr>
                  <m:e>
                    <m:r>
                      <m:rPr>
                        <m:sty m:val="p"/>
                      </m:rPr>
                      <w:rPr>
                        <w:rFonts w:hint="default" w:ascii="Cambria Math" w:hAnsi="Cambria Math" w:cs="Times New Roman"/>
                        <w:sz w:val="24"/>
                        <w:szCs w:val="22"/>
                        <w:u w:val="none"/>
                        <w:lang w:val="en-US" w:eastAsia="zh-CN" w:bidi="ar-SA"/>
                      </w:rPr>
                      <m:t>10</m:t>
                    </m:r>
                    <m:ctrlPr>
                      <w:rPr>
                        <w:rFonts w:hint="default" w:ascii="Cambria Math" w:hAnsi="Cambria Math" w:cs="Times New Roman"/>
                        <w:sz w:val="24"/>
                        <w:szCs w:val="22"/>
                        <w:u w:val="none"/>
                        <w:lang w:val="en-US" w:bidi="ar-SA"/>
                      </w:rPr>
                    </m:ctrlPr>
                  </m:e>
                  <m:sup>
                    <m:r>
                      <m:rPr>
                        <m:sty m:val="p"/>
                      </m:rPr>
                      <w:rPr>
                        <w:rFonts w:hint="default" w:ascii="Cambria Math" w:hAnsi="Cambria Math" w:cs="Times New Roman"/>
                        <w:sz w:val="24"/>
                        <w:szCs w:val="22"/>
                        <w:u w:val="none"/>
                        <w:lang w:val="en-US" w:bidi="ar-SA"/>
                      </w:rPr>
                      <m:t>−</m:t>
                    </m:r>
                    <m:r>
                      <m:rPr>
                        <m:sty m:val="p"/>
                      </m:rPr>
                      <w:rPr>
                        <w:rFonts w:hint="default" w:ascii="Cambria Math" w:hAnsi="Cambria Math" w:cs="Times New Roman"/>
                        <w:sz w:val="24"/>
                        <w:szCs w:val="22"/>
                        <w:u w:val="none"/>
                        <w:lang w:val="en-US" w:eastAsia="zh-CN" w:bidi="ar-SA"/>
                      </w:rPr>
                      <m:t>9</m:t>
                    </m:r>
                    <m:ctrlPr>
                      <w:rPr>
                        <w:rFonts w:hint="default" w:ascii="Cambria Math" w:hAnsi="Cambria Math" w:cs="Times New Roman"/>
                        <w:sz w:val="24"/>
                        <w:szCs w:val="22"/>
                        <w:u w:val="none"/>
                        <w:lang w:val="en-US" w:bidi="ar-SA"/>
                      </w:rPr>
                    </m:ctrlPr>
                  </m:sup>
                </m:sSup>
              </m:oMath>
            </m:oMathPara>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i w:val="0"/>
                <w:sz w:val="24"/>
                <w:szCs w:val="22"/>
                <w:u w:val="none"/>
                <w:lang w:val="en-US" w:eastAsia="zh-CN" w:bidi="ar-SA"/>
              </w:rPr>
            </w:pPr>
            <w:r>
              <w:rPr>
                <w:rFonts w:hint="default" w:ascii="Times New Roman" w:hAnsi="Times New Roman" w:cs="Times New Roman"/>
                <w:i w:val="0"/>
                <w:sz w:val="24"/>
                <w:szCs w:val="22"/>
                <w:u w:val="none"/>
                <w:lang w:val="en-US" w:eastAsia="zh-CN" w:bidi="ar-SA"/>
              </w:rPr>
              <w:t>式中：E</w:t>
            </w:r>
            <w:r>
              <w:rPr>
                <w:rFonts w:hint="default" w:ascii="Times New Roman" w:hAnsi="Times New Roman" w:cs="Times New Roman"/>
                <w:i w:val="0"/>
                <w:sz w:val="24"/>
                <w:szCs w:val="22"/>
                <w:u w:val="none"/>
                <w:vertAlign w:val="subscript"/>
                <w:lang w:val="en-US" w:eastAsia="zh-CN" w:bidi="ar-SA"/>
              </w:rPr>
              <w:t>i</w:t>
            </w:r>
            <w:r>
              <w:rPr>
                <w:rFonts w:hint="default" w:ascii="Times New Roman" w:hAnsi="Times New Roman" w:cs="Times New Roman"/>
                <w:i w:val="0"/>
                <w:sz w:val="24"/>
                <w:szCs w:val="22"/>
                <w:u w:val="none"/>
                <w:lang w:val="en-US" w:eastAsia="zh-CN" w:bidi="ar-SA"/>
              </w:rPr>
              <w:t>——第i个主要废气排放口中污染物年许可排放量，t/a；</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i w:val="0"/>
                <w:sz w:val="24"/>
                <w:szCs w:val="22"/>
                <w:u w:val="none"/>
                <w:lang w:val="en-US" w:eastAsia="zh-CN" w:bidi="ar-SA"/>
              </w:rPr>
            </w:pPr>
            <w:r>
              <w:rPr>
                <w:rFonts w:hint="default" w:ascii="Times New Roman" w:hAnsi="Times New Roman" w:cs="Times New Roman"/>
                <w:i w:val="0"/>
                <w:sz w:val="24"/>
                <w:szCs w:val="22"/>
                <w:u w:val="none"/>
                <w:lang w:val="en-US" w:eastAsia="zh-CN" w:bidi="ar-SA"/>
              </w:rPr>
              <w:t>C——污染物许可排放浓度，mg/m</w:t>
            </w:r>
            <w:r>
              <w:rPr>
                <w:rFonts w:hint="default" w:ascii="Times New Roman" w:hAnsi="Times New Roman" w:cs="Times New Roman"/>
                <w:i w:val="0"/>
                <w:sz w:val="24"/>
                <w:szCs w:val="22"/>
                <w:u w:val="none"/>
                <w:vertAlign w:val="superscript"/>
                <w:lang w:val="en-US" w:eastAsia="zh-CN" w:bidi="ar-SA"/>
              </w:rPr>
              <w:t>3</w:t>
            </w:r>
            <w:r>
              <w:rPr>
                <w:rFonts w:hint="default" w:ascii="Times New Roman" w:hAnsi="Times New Roman" w:cs="Times New Roman"/>
                <w:i w:val="0"/>
                <w:sz w:val="24"/>
                <w:szCs w:val="22"/>
                <w:u w:val="none"/>
                <w:lang w:val="en-US" w:eastAsia="zh-CN" w:bidi="ar-SA"/>
              </w:rPr>
              <w:t>；</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i w:val="0"/>
                <w:sz w:val="24"/>
                <w:szCs w:val="22"/>
                <w:u w:val="none"/>
                <w:lang w:val="en-US" w:eastAsia="zh-CN" w:bidi="ar-SA"/>
              </w:rPr>
            </w:pPr>
            <w:r>
              <w:rPr>
                <w:rFonts w:hint="default" w:ascii="Times New Roman" w:hAnsi="Times New Roman" w:cs="Times New Roman"/>
                <w:i w:val="0"/>
                <w:sz w:val="24"/>
                <w:szCs w:val="22"/>
                <w:u w:val="none"/>
                <w:lang w:val="en-US" w:eastAsia="zh-CN" w:bidi="ar-SA"/>
              </w:rPr>
              <w:t>Q——主要排放口设计排气量，Nm</w:t>
            </w:r>
            <w:r>
              <w:rPr>
                <w:rFonts w:hint="default" w:ascii="Times New Roman" w:hAnsi="Times New Roman" w:cs="Times New Roman"/>
                <w:i w:val="0"/>
                <w:sz w:val="24"/>
                <w:szCs w:val="22"/>
                <w:u w:val="none"/>
                <w:vertAlign w:val="superscript"/>
                <w:lang w:val="en-US" w:eastAsia="zh-CN" w:bidi="ar-SA"/>
              </w:rPr>
              <w:t>3</w:t>
            </w:r>
            <w:r>
              <w:rPr>
                <w:rFonts w:hint="default" w:ascii="Times New Roman" w:hAnsi="Times New Roman" w:cs="Times New Roman"/>
                <w:i w:val="0"/>
                <w:sz w:val="24"/>
                <w:szCs w:val="22"/>
                <w:u w:val="none"/>
                <w:lang w:val="en-US" w:eastAsia="zh-CN" w:bidi="ar-SA"/>
              </w:rPr>
              <w:t>/h</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i w:val="0"/>
                <w:sz w:val="24"/>
                <w:szCs w:val="22"/>
                <w:u w:val="none"/>
                <w:lang w:val="en-US" w:eastAsia="zh-CN" w:bidi="ar-SA"/>
              </w:rPr>
            </w:pPr>
            <w:r>
              <w:rPr>
                <w:rFonts w:hint="default" w:ascii="Times New Roman" w:hAnsi="Times New Roman" w:cs="Times New Roman"/>
                <w:i w:val="0"/>
                <w:sz w:val="24"/>
                <w:szCs w:val="22"/>
                <w:u w:val="none"/>
                <w:lang w:val="en-US" w:eastAsia="zh-CN" w:bidi="ar-SA"/>
              </w:rPr>
              <w:t>h——主要排放口年运行小时数，h/a</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cs="Times New Roman"/>
                <w:i w:val="0"/>
                <w:sz w:val="24"/>
                <w:szCs w:val="22"/>
                <w:u w:val="none"/>
                <w:lang w:val="en-US" w:eastAsia="zh-CN" w:bidi="ar-SA"/>
              </w:rPr>
            </w:pPr>
            <w:r>
              <w:rPr>
                <w:rFonts w:hint="eastAsia" w:ascii="Times New Roman" w:hAnsi="Times New Roman" w:cs="Times New Roman"/>
                <w:i w:val="0"/>
                <w:sz w:val="24"/>
                <w:szCs w:val="22"/>
                <w:u w:val="none"/>
                <w:lang w:val="en-US" w:eastAsia="zh-CN" w:bidi="ar-SA"/>
              </w:rPr>
              <w:t>根据前面内容分析可得C取150，Q取20000，h取2400，计算结果见下表；</w:t>
            </w:r>
          </w:p>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cs="Times New Roman"/>
                <w:b/>
                <w:bCs/>
                <w:i w:val="0"/>
                <w:sz w:val="21"/>
                <w:szCs w:val="20"/>
                <w:u w:val="none"/>
                <w:lang w:val="en-US" w:eastAsia="zh-CN" w:bidi="ar-SA"/>
              </w:rPr>
            </w:pPr>
            <w:r>
              <w:rPr>
                <w:rFonts w:hint="eastAsia" w:ascii="Times New Roman" w:hAnsi="Times New Roman" w:cs="Times New Roman"/>
                <w:b/>
                <w:bCs/>
                <w:i w:val="0"/>
                <w:sz w:val="21"/>
                <w:szCs w:val="20"/>
                <w:u w:val="none"/>
                <w:lang w:val="en-US" w:eastAsia="zh-CN" w:bidi="ar-SA"/>
              </w:rPr>
              <w:t>表4-</w:t>
            </w:r>
            <w:r>
              <w:rPr>
                <w:rFonts w:hint="eastAsia" w:ascii="Times New Roman" w:cs="Times New Roman"/>
                <w:b/>
                <w:bCs/>
                <w:i w:val="0"/>
                <w:sz w:val="21"/>
                <w:szCs w:val="20"/>
                <w:u w:val="none"/>
                <w:lang w:val="en-US" w:eastAsia="zh-CN" w:bidi="ar-SA"/>
              </w:rPr>
              <w:t>4</w:t>
            </w:r>
            <w:r>
              <w:rPr>
                <w:rFonts w:hint="eastAsia" w:ascii="Times New Roman" w:hAnsi="Times New Roman" w:cs="Times New Roman"/>
                <w:b/>
                <w:bCs/>
                <w:i w:val="0"/>
                <w:sz w:val="21"/>
                <w:szCs w:val="20"/>
                <w:u w:val="none"/>
                <w:lang w:val="en-US" w:eastAsia="zh-CN" w:bidi="ar-SA"/>
              </w:rPr>
              <w:t xml:space="preserve">  许可排放量一览表</w:t>
            </w:r>
          </w:p>
          <w:tbl>
            <w:tblPr>
              <w:tblStyle w:val="27"/>
              <w:tblW w:w="4998"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978"/>
              <w:gridCol w:w="1978"/>
              <w:gridCol w:w="19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0"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default" w:ascii="Times New Roman" w:hAnsi="Times New Roman" w:cs="Times New Roman"/>
                      <w:i w:val="0"/>
                      <w:sz w:val="21"/>
                      <w:szCs w:val="21"/>
                      <w:u w:val="none"/>
                      <w:vertAlign w:val="baseline"/>
                      <w:lang w:val="en-US" w:eastAsia="zh-CN" w:bidi="ar-SA"/>
                    </w:rPr>
                    <w:t>编号</w:t>
                  </w:r>
                </w:p>
              </w:tc>
              <w:tc>
                <w:tcPr>
                  <w:tcW w:w="1249"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default" w:ascii="Times New Roman" w:hAnsi="Times New Roman" w:cs="Times New Roman"/>
                      <w:i w:val="0"/>
                      <w:sz w:val="21"/>
                      <w:szCs w:val="21"/>
                      <w:u w:val="none"/>
                      <w:vertAlign w:val="baseline"/>
                      <w:lang w:val="en-US" w:eastAsia="zh-CN" w:bidi="ar-SA"/>
                    </w:rPr>
                    <w:t>许可排放量</w:t>
                  </w:r>
                </w:p>
              </w:tc>
              <w:tc>
                <w:tcPr>
                  <w:tcW w:w="1249"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default" w:ascii="Times New Roman" w:hAnsi="Times New Roman" w:cs="Times New Roman"/>
                      <w:i w:val="0"/>
                      <w:sz w:val="21"/>
                      <w:szCs w:val="21"/>
                      <w:u w:val="none"/>
                      <w:vertAlign w:val="baseline"/>
                      <w:lang w:val="en-US" w:eastAsia="zh-CN" w:bidi="ar-SA"/>
                    </w:rPr>
                    <w:t>排放量</w:t>
                  </w:r>
                </w:p>
              </w:tc>
              <w:tc>
                <w:tcPr>
                  <w:tcW w:w="1249"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default" w:ascii="Times New Roman" w:hAnsi="Times New Roman" w:cs="Times New Roman"/>
                      <w:i w:val="0"/>
                      <w:sz w:val="21"/>
                      <w:szCs w:val="21"/>
                      <w:u w:val="none"/>
                      <w:vertAlign w:val="baseline"/>
                      <w:lang w:val="en-US" w:eastAsia="zh-CN" w:bidi="ar-SA"/>
                    </w:rPr>
                    <w:t>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0"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default" w:ascii="Times New Roman" w:hAnsi="Times New Roman" w:cs="Times New Roman"/>
                      <w:i w:val="0"/>
                      <w:sz w:val="21"/>
                      <w:szCs w:val="21"/>
                      <w:u w:val="none"/>
                      <w:vertAlign w:val="baseline"/>
                      <w:lang w:val="en-US" w:eastAsia="zh-CN" w:bidi="ar-SA"/>
                    </w:rPr>
                    <w:t>DA001</w:t>
                  </w:r>
                </w:p>
              </w:tc>
              <w:tc>
                <w:tcPr>
                  <w:tcW w:w="1249"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default" w:ascii="Times New Roman" w:hAnsi="Times New Roman" w:cs="Times New Roman"/>
                      <w:i w:val="0"/>
                      <w:sz w:val="21"/>
                      <w:szCs w:val="21"/>
                      <w:u w:val="none"/>
                      <w:vertAlign w:val="baseline"/>
                      <w:lang w:val="en-US" w:eastAsia="zh-CN" w:bidi="ar-SA"/>
                    </w:rPr>
                    <w:t>7.2</w:t>
                  </w:r>
                  <w:r>
                    <w:rPr>
                      <w:rFonts w:hint="eastAsia" w:ascii="Times New Roman" w:cs="Times New Roman"/>
                      <w:i w:val="0"/>
                      <w:sz w:val="21"/>
                      <w:szCs w:val="21"/>
                      <w:u w:val="none"/>
                      <w:vertAlign w:val="baseline"/>
                      <w:lang w:val="en-US" w:eastAsia="zh-CN" w:bidi="ar-SA"/>
                    </w:rPr>
                    <w:t>t/a</w:t>
                  </w:r>
                </w:p>
              </w:tc>
              <w:tc>
                <w:tcPr>
                  <w:tcW w:w="1249"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eastAsia" w:ascii="Times New Roman" w:cs="Times New Roman"/>
                      <w:i w:val="0"/>
                      <w:sz w:val="21"/>
                      <w:szCs w:val="21"/>
                      <w:u w:val="none"/>
                      <w:vertAlign w:val="baseline"/>
                      <w:lang w:val="en-US" w:eastAsia="zh-CN" w:bidi="ar-SA"/>
                    </w:rPr>
                    <w:t>0.066t/a</w:t>
                  </w:r>
                </w:p>
              </w:tc>
              <w:tc>
                <w:tcPr>
                  <w:tcW w:w="1249" w:type="pct"/>
                  <w:tcBorders>
                    <w:tl2br w:val="nil"/>
                    <w:tr2bl w:val="nil"/>
                  </w:tcBorders>
                  <w:vAlign w:val="center"/>
                </w:tcPr>
                <w:p>
                  <w:pPr>
                    <w:pStyle w:val="7"/>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i w:val="0"/>
                      <w:sz w:val="21"/>
                      <w:szCs w:val="21"/>
                      <w:u w:val="none"/>
                      <w:vertAlign w:val="baseline"/>
                      <w:lang w:val="en-US" w:eastAsia="zh-CN" w:bidi="ar-SA"/>
                    </w:rPr>
                  </w:pPr>
                  <w:r>
                    <w:rPr>
                      <w:rFonts w:hint="default" w:ascii="Times New Roman" w:hAnsi="Times New Roman" w:cs="Times New Roman"/>
                      <w:i w:val="0"/>
                      <w:sz w:val="21"/>
                      <w:szCs w:val="21"/>
                      <w:u w:val="none"/>
                      <w:vertAlign w:val="baseline"/>
                      <w:lang w:val="en-US" w:eastAsia="zh-CN" w:bidi="ar-SA"/>
                    </w:rPr>
                    <w:t>是</w:t>
                  </w:r>
                </w:p>
              </w:tc>
            </w:tr>
          </w:tbl>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cs="Times New Roman"/>
                <w:i w:val="0"/>
                <w:sz w:val="24"/>
                <w:szCs w:val="22"/>
                <w:u w:val="none"/>
                <w:lang w:val="en-US" w:eastAsia="zh-CN" w:bidi="ar-SA"/>
              </w:rPr>
            </w:pPr>
            <w:r>
              <w:rPr>
                <w:rFonts w:hint="eastAsia" w:ascii="Times New Roman" w:hAnsi="Times New Roman" w:cs="Times New Roman"/>
                <w:i w:val="0"/>
                <w:sz w:val="24"/>
                <w:szCs w:val="22"/>
                <w:u w:val="none"/>
                <w:lang w:val="en-US" w:eastAsia="zh-CN" w:bidi="ar-SA"/>
              </w:rPr>
              <w:t>根据上表可知，本项目污染物经治理设施处理后，排放量能满足许可排放量要求。</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综上，</w:t>
            </w:r>
            <w:r>
              <w:rPr>
                <w:rFonts w:hint="default" w:ascii="Times New Roman" w:hAnsi="Times New Roman" w:eastAsia="宋体" w:cs="Times New Roman"/>
                <w:color w:val="000000" w:themeColor="text1"/>
                <w:sz w:val="24"/>
                <w:szCs w:val="22"/>
                <w:u w:val="none"/>
                <w:lang w:eastAsia="zh-CN"/>
                <w14:textFill>
                  <w14:solidFill>
                    <w14:schemeClr w14:val="tx1"/>
                  </w14:solidFill>
                </w14:textFill>
              </w:rPr>
              <w:t>项目采取的污染治理措施收集效率、去除效率高，对环境保护目标影响较小，颗粒物、氯化氢</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均能满足《大气污染物综合排放标准》(GB16297-1996)二级标准、氨气满足《恶臭污染物排放标准》（GB14554-93）2级标准的要求</w:t>
            </w:r>
            <w:r>
              <w:rPr>
                <w:rFonts w:hint="default" w:ascii="Times New Roman" w:hAnsi="Times New Roman" w:eastAsia="宋体" w:cs="Times New Roman"/>
                <w:color w:val="000000" w:themeColor="text1"/>
                <w:sz w:val="24"/>
                <w:szCs w:val="32"/>
                <w14:textFill>
                  <w14:solidFill>
                    <w14:schemeClr w14:val="tx1"/>
                  </w14:solidFill>
                </w14:textFill>
              </w:rPr>
              <w:t>，对周边环境影响较小。</w:t>
            </w:r>
          </w:p>
          <w:p>
            <w:pPr>
              <w:pStyle w:val="7"/>
              <w:keepNext w:val="0"/>
              <w:keepLines w:val="0"/>
              <w:pageBreakBefore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（二）废水</w:t>
            </w:r>
          </w:p>
          <w:p>
            <w:pPr>
              <w:pStyle w:val="7"/>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项目主要用水为</w:t>
            </w:r>
            <w:r>
              <w:rPr>
                <w:rFonts w:hint="default" w:ascii="Times New Roman" w:hAnsi="Times New Roman" w:eastAsia="宋体" w:cs="Times New Roman"/>
                <w:color w:val="000000" w:themeColor="text1"/>
                <w:sz w:val="24"/>
                <w:szCs w:val="24"/>
                <w14:textFill>
                  <w14:solidFill>
                    <w14:schemeClr w14:val="tx1"/>
                  </w14:solidFill>
                </w14:textFill>
              </w:rPr>
              <w:t>液封式水吸收装置产生的处理废水</w:t>
            </w:r>
            <w:r>
              <w:rPr>
                <w:rFonts w:hint="default" w:ascii="Times New Roman" w:hAnsi="Times New Roman" w:eastAsia="宋体" w:cs="Times New Roman"/>
                <w:color w:val="000000" w:themeColor="text1"/>
                <w:sz w:val="24"/>
                <w:szCs w:val="24"/>
                <w:lang w:eastAsia="zh-CN"/>
                <w14:textFill>
                  <w14:solidFill>
                    <w14:schemeClr w14:val="tx1"/>
                  </w14:solidFill>
                </w14:textFill>
              </w:rPr>
              <w:t>和</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生活废水，项目用排水情况如下：</w:t>
            </w:r>
          </w:p>
          <w:p>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生产废水：</w:t>
            </w:r>
            <w:r>
              <w:rPr>
                <w:rFonts w:hint="default" w:ascii="Times New Roman" w:hAnsi="Times New Roman" w:eastAsia="宋体" w:cs="Times New Roman"/>
                <w:color w:val="000000" w:themeColor="text1"/>
                <w:sz w:val="24"/>
                <w:szCs w:val="24"/>
                <w14:textFill>
                  <w14:solidFill>
                    <w14:schemeClr w14:val="tx1"/>
                  </w14:solidFill>
                </w14:textFill>
              </w:rPr>
              <w:t>主要是液封式水吸收装置产生的处理废水，液封式水吸收装置主要用于吸收项目收集的挥发性氨气和氯化氢气体，氨气和氯化氢吸收到水中后生成氯化铵稀溶液，吸收水以氨气产生量计算，</w:t>
            </w:r>
            <w:r>
              <w:rPr>
                <w:rFonts w:hint="default" w:ascii="Times New Roman" w:hAnsi="Times New Roman" w:eastAsia="宋体" w:cs="Times New Roman"/>
                <w:sz w:val="24"/>
                <w:szCs w:val="24"/>
              </w:rPr>
              <w:t>经查阅相关资料，</w:t>
            </w:r>
            <w:r>
              <w:rPr>
                <w:rFonts w:hint="eastAsia" w:ascii="Times New Roman" w:hAnsi="Times New Roman" w:cs="Times New Roman"/>
                <w:sz w:val="24"/>
                <w:szCs w:val="24"/>
                <w:lang w:eastAsia="zh-CN"/>
              </w:rPr>
              <w:t>类比《</w:t>
            </w:r>
            <w:r>
              <w:rPr>
                <w:rFonts w:ascii="宋体" w:hAnsi="宋体" w:eastAsia="宋体" w:cs="宋体"/>
                <w:sz w:val="24"/>
                <w:szCs w:val="24"/>
              </w:rPr>
              <w:t>河南省佳施美农业科技有限公司年产10000吨的氯化铵挤压颗粒项目</w:t>
            </w:r>
            <w:r>
              <w:rPr>
                <w:rFonts w:hint="eastAsia" w:ascii="Times New Roman" w:hAnsi="Times New Roman" w:cs="Times New Roman"/>
                <w:sz w:val="24"/>
                <w:szCs w:val="24"/>
                <w:lang w:eastAsia="zh-CN"/>
              </w:rPr>
              <w:t>》环境影响评价报告表</w:t>
            </w:r>
            <w:r>
              <w:rPr>
                <w:rFonts w:hint="default" w:ascii="Times New Roman" w:hAnsi="Times New Roman" w:eastAsia="宋体" w:cs="Times New Roman"/>
                <w:color w:val="000000" w:themeColor="text1"/>
                <w:sz w:val="24"/>
                <w:szCs w:val="24"/>
                <w14:textFill>
                  <w14:solidFill>
                    <w14:schemeClr w14:val="tx1"/>
                  </w14:solidFill>
                </w14:textFill>
              </w:rPr>
              <w:t>，氨气溶于水的吸收体积比为700:1</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即一体积的水溶解700体积的氨气，根据单位体积质量换算，每1t水吸收0.00054t氨气。考虑到本项目产生的氯化铵粉尘溶于水会降低水对氨气的吸收效率，本项目水吸收的系数取值相应削减为满吸收效率的70%，项目全厂产生的氨气量为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32</w:t>
            </w:r>
            <w:r>
              <w:rPr>
                <w:rFonts w:hint="default" w:ascii="Times New Roman" w:hAnsi="Times New Roman" w:eastAsia="宋体" w:cs="Times New Roman"/>
                <w:color w:val="000000" w:themeColor="text1"/>
                <w:sz w:val="24"/>
                <w:szCs w:val="24"/>
                <w14:textFill>
                  <w14:solidFill>
                    <w14:schemeClr w14:val="tx1"/>
                  </w14:solidFill>
                </w14:textFill>
              </w:rPr>
              <w:t>t/a，水吸收装置产生的废水量为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8.464t</w:t>
            </w:r>
            <w:r>
              <w:rPr>
                <w:rFonts w:hint="default" w:ascii="Times New Roman" w:hAnsi="Times New Roman" w:eastAsia="宋体" w:cs="Times New Roman"/>
                <w:color w:val="000000" w:themeColor="text1"/>
                <w:sz w:val="24"/>
                <w:szCs w:val="24"/>
                <w14:textFill>
                  <w14:solidFill>
                    <w14:schemeClr w14:val="tx1"/>
                  </w14:solidFill>
                </w14:textFill>
              </w:rPr>
              <w:t>/a，该部分水吸收氨气和氯化氢气体后为氯化铵稀溶液，到达一定浓度后廉价出售，不外排。</w:t>
            </w:r>
          </w:p>
          <w:p>
            <w:pPr>
              <w:keepNext w:val="0"/>
              <w:keepLines w:val="0"/>
              <w:pageBreakBefore w:val="0"/>
              <w:kinsoku/>
              <w:wordWrap/>
              <w:overflowPunct/>
              <w:topLinePunct w:val="0"/>
              <w:bidi w:val="0"/>
              <w:adjustRightInd/>
              <w:snapToGrid/>
              <w:spacing w:line="360" w:lineRule="auto"/>
              <w:ind w:firstLine="480" w:firstLineChars="200"/>
              <w:textAlignment w:val="auto"/>
              <w:rPr>
                <w:rFonts w:hint="default"/>
                <w:sz w:val="24"/>
                <w:szCs w:val="32"/>
                <w:lang w:val="en-US" w:eastAsia="zh-CN"/>
              </w:rPr>
            </w:pPr>
            <w:r>
              <w:rPr>
                <w:rFonts w:hint="default" w:ascii="Times New Roman" w:hAnsi="Times New Roman" w:eastAsia="宋体" w:cs="Times New Roman"/>
                <w:color w:val="000000" w:themeColor="text1"/>
                <w:sz w:val="24"/>
                <w:szCs w:val="32"/>
                <w:lang w:val="en-US" w:eastAsia="zh-CN"/>
                <w14:textFill>
                  <w14:solidFill>
                    <w14:schemeClr w14:val="tx1"/>
                  </w14:solidFill>
                </w14:textFill>
              </w:rPr>
              <w:t>生活废水：项目投入生产后劳动定员15人，厂区不设食宿，年工作时间为300天，实行8小时工作制。根据湖南省地方标准用水定额（DB43/T388-2020），生活用水定额按45L/d·人计算，排放系数取0.8，则生活用水量为0.675m³/d，生活污水排放量为0.54m³/d，即162t/a。类比《城市污水处理厂处理设施设计计算》典型生活污水水质，生活污水中主要污染物为COD、BOD</w:t>
            </w:r>
            <w:r>
              <w:rPr>
                <w:rFonts w:hint="default" w:ascii="Times New Roman" w:hAnsi="Times New Roman" w:eastAsia="宋体" w:cs="Times New Roman"/>
                <w:color w:val="000000" w:themeColor="text1"/>
                <w:sz w:val="24"/>
                <w:szCs w:val="32"/>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、SS、和NH</w:t>
            </w:r>
            <w:r>
              <w:rPr>
                <w:rFonts w:hint="default" w:ascii="Times New Roman" w:hAnsi="Times New Roman" w:eastAsia="宋体" w:cs="Times New Roman"/>
                <w:color w:val="000000" w:themeColor="text1"/>
                <w:sz w:val="24"/>
                <w:szCs w:val="32"/>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-N，其浓度分别约为：250mg/L、100mg/L、100mg/L、25mg/L，项目生活污水通过化粪池处理后排入厂区管网。</w:t>
            </w:r>
          </w:p>
          <w:p>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80" w:firstLineChars="200"/>
              <w:jc w:val="both"/>
              <w:textAlignment w:val="auto"/>
              <w:rPr>
                <w:sz w:val="24"/>
                <w:szCs w:val="28"/>
              </w:rPr>
            </w:pPr>
            <w:r>
              <w:rPr>
                <w:rFonts w:hint="default"/>
                <w:sz w:val="24"/>
                <w:szCs w:val="28"/>
              </w:rPr>
              <w:t>项目</w:t>
            </w:r>
            <w:r>
              <w:rPr>
                <w:rFonts w:hint="default"/>
                <w:sz w:val="24"/>
                <w:szCs w:val="28"/>
                <w:lang w:val="en-US" w:eastAsia="zh-CN"/>
              </w:rPr>
              <w:t>生活废水排放信息</w:t>
            </w:r>
            <w:r>
              <w:rPr>
                <w:rFonts w:hint="default"/>
                <w:sz w:val="24"/>
                <w:szCs w:val="28"/>
              </w:rPr>
              <w:t>见下表。</w:t>
            </w:r>
          </w:p>
          <w:p>
            <w:pPr>
              <w:pStyle w:val="12"/>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firstLineChars="0"/>
              <w:jc w:val="center"/>
              <w:textAlignment w:val="auto"/>
              <w:rPr>
                <w:rFonts w:hint="default" w:eastAsia="宋体"/>
                <w:b/>
                <w:bCs/>
                <w:sz w:val="24"/>
                <w:szCs w:val="28"/>
                <w:lang w:val="en-US" w:eastAsia="zh-CN"/>
              </w:rPr>
            </w:pPr>
            <w:r>
              <w:rPr>
                <w:rFonts w:hint="eastAsia"/>
                <w:b/>
                <w:bCs/>
                <w:sz w:val="21"/>
                <w:szCs w:val="22"/>
                <w:lang w:eastAsia="zh-CN"/>
              </w:rPr>
              <w:t>表</w:t>
            </w:r>
            <w:r>
              <w:rPr>
                <w:rFonts w:hint="eastAsia"/>
                <w:b/>
                <w:bCs/>
                <w:sz w:val="21"/>
                <w:szCs w:val="22"/>
                <w:lang w:val="en-US" w:eastAsia="zh-CN"/>
              </w:rPr>
              <w:t>4-5  项目生活废水排放信息一览表</w:t>
            </w:r>
          </w:p>
          <w:tbl>
            <w:tblPr>
              <w:tblStyle w:val="27"/>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34"/>
              <w:gridCol w:w="534"/>
              <w:gridCol w:w="534"/>
              <w:gridCol w:w="534"/>
              <w:gridCol w:w="1607"/>
              <w:gridCol w:w="534"/>
              <w:gridCol w:w="534"/>
              <w:gridCol w:w="534"/>
              <w:gridCol w:w="534"/>
              <w:gridCol w:w="534"/>
              <w:gridCol w:w="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7" w:type="pct"/>
                  <w:tcBorders>
                    <w:tl2br w:val="nil"/>
                    <w:tr2bl w:val="nil"/>
                  </w:tcBorders>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产污环节</w:t>
                  </w:r>
                </w:p>
              </w:tc>
              <w:tc>
                <w:tcPr>
                  <w:tcW w:w="337" w:type="pct"/>
                  <w:tcBorders>
                    <w:tl2br w:val="nil"/>
                    <w:tr2bl w:val="nil"/>
                  </w:tcBorders>
                  <w:vAlign w:val="center"/>
                </w:tcPr>
                <w:p>
                  <w:pPr>
                    <w:jc w:val="center"/>
                    <w:rPr>
                      <w:rFonts w:hint="default" w:ascii="Times New Roman" w:hAnsi="Times New Roman" w:eastAsia="宋体" w:cs="Times New Roman"/>
                      <w:vertAlign w:val="baseline"/>
                    </w:rPr>
                  </w:pPr>
                  <w:r>
                    <w:rPr>
                      <w:rFonts w:hint="default" w:ascii="Times New Roman" w:hAnsi="Times New Roman" w:eastAsia="宋体" w:cs="Times New Roman"/>
                      <w:szCs w:val="21"/>
                    </w:rPr>
                    <w:t>废水类别</w:t>
                  </w:r>
                </w:p>
              </w:tc>
              <w:tc>
                <w:tcPr>
                  <w:tcW w:w="337" w:type="pct"/>
                  <w:tcBorders>
                    <w:tl2br w:val="nil"/>
                    <w:tr2bl w:val="nil"/>
                  </w:tcBorders>
                  <w:vAlign w:val="center"/>
                </w:tcPr>
                <w:p>
                  <w:pPr>
                    <w:jc w:val="center"/>
                    <w:rPr>
                      <w:rFonts w:hint="default" w:ascii="Times New Roman" w:hAnsi="Times New Roman" w:eastAsia="宋体" w:cs="Times New Roman"/>
                      <w:vertAlign w:val="baseline"/>
                    </w:rPr>
                  </w:pPr>
                  <w:r>
                    <w:rPr>
                      <w:rFonts w:hint="default" w:ascii="Times New Roman" w:hAnsi="Times New Roman" w:eastAsia="宋体" w:cs="Times New Roman"/>
                      <w:szCs w:val="21"/>
                    </w:rPr>
                    <w:t>污染物种类</w:t>
                  </w:r>
                </w:p>
              </w:tc>
              <w:tc>
                <w:tcPr>
                  <w:tcW w:w="337" w:type="pct"/>
                  <w:tcBorders>
                    <w:tl2br w:val="nil"/>
                    <w:tr2bl w:val="nil"/>
                  </w:tcBorders>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szCs w:val="21"/>
                      <w:lang w:eastAsia="zh-CN"/>
                    </w:rPr>
                    <w:t>污染物产生浓度</w:t>
                  </w:r>
                </w:p>
              </w:tc>
              <w:tc>
                <w:tcPr>
                  <w:tcW w:w="337" w:type="pct"/>
                  <w:tcBorders>
                    <w:tl2br w:val="nil"/>
                    <w:tr2bl w:val="nil"/>
                  </w:tcBorders>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产生量</w:t>
                  </w:r>
                </w:p>
              </w:tc>
              <w:tc>
                <w:tcPr>
                  <w:tcW w:w="1014" w:type="pct"/>
                  <w:tcBorders>
                    <w:tl2br w:val="nil"/>
                    <w:tr2bl w:val="nil"/>
                  </w:tcBorders>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治理设施</w:t>
                  </w:r>
                </w:p>
              </w:tc>
              <w:tc>
                <w:tcPr>
                  <w:tcW w:w="337" w:type="pct"/>
                  <w:tcBorders>
                    <w:tl2br w:val="nil"/>
                    <w:tr2bl w:val="nil"/>
                  </w:tcBorders>
                  <w:vAlign w:val="center"/>
                </w:tcPr>
                <w:p>
                  <w:pPr>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污染物排放量</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污染物排放浓度</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排放方式</w:t>
                  </w:r>
                </w:p>
              </w:tc>
              <w:tc>
                <w:tcPr>
                  <w:tcW w:w="337" w:type="pct"/>
                  <w:tcBorders>
                    <w:tl2br w:val="nil"/>
                    <w:tr2bl w:val="nil"/>
                  </w:tcBorders>
                  <w:vAlign w:val="center"/>
                </w:tcPr>
                <w:p>
                  <w:pPr>
                    <w:jc w:val="center"/>
                    <w:rPr>
                      <w:rFonts w:hint="default" w:ascii="Times New Roman" w:hAnsi="Times New Roman" w:eastAsia="宋体" w:cs="Times New Roman"/>
                      <w:vertAlign w:val="baseline"/>
                    </w:rPr>
                  </w:pPr>
                  <w:r>
                    <w:rPr>
                      <w:rFonts w:hint="default" w:ascii="Times New Roman" w:hAnsi="Times New Roman" w:eastAsia="宋体" w:cs="Times New Roman"/>
                      <w:szCs w:val="21"/>
                    </w:rPr>
                    <w:t>排放去向</w:t>
                  </w:r>
                </w:p>
              </w:tc>
              <w:tc>
                <w:tcPr>
                  <w:tcW w:w="337" w:type="pct"/>
                  <w:tcBorders>
                    <w:tl2br w:val="nil"/>
                    <w:tr2bl w:val="nil"/>
                  </w:tcBorders>
                  <w:vAlign w:val="center"/>
                </w:tcPr>
                <w:p>
                  <w:pPr>
                    <w:jc w:val="center"/>
                    <w:rPr>
                      <w:rFonts w:hint="default" w:ascii="Times New Roman" w:hAnsi="Times New Roman" w:eastAsia="宋体" w:cs="Times New Roman"/>
                      <w:vertAlign w:val="baseline"/>
                    </w:rPr>
                  </w:pPr>
                  <w:r>
                    <w:rPr>
                      <w:rFonts w:hint="default" w:ascii="Times New Roman" w:hAnsi="Times New Roman" w:eastAsia="宋体" w:cs="Times New Roman"/>
                      <w:szCs w:val="21"/>
                    </w:rPr>
                    <w:t>排放规律</w:t>
                  </w:r>
                </w:p>
              </w:tc>
              <w:tc>
                <w:tcPr>
                  <w:tcW w:w="606" w:type="pct"/>
                  <w:tcBorders>
                    <w:tl2br w:val="nil"/>
                    <w:tr2bl w:val="nil"/>
                  </w:tcBorders>
                  <w:vAlign w:val="center"/>
                </w:tcPr>
                <w:p>
                  <w:pPr>
                    <w:pStyle w:val="2"/>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7" w:type="pct"/>
                  <w:vMerge w:val="restart"/>
                  <w:tcBorders>
                    <w:tl2br w:val="nil"/>
                    <w:tr2bl w:val="nil"/>
                  </w:tcBorders>
                  <w:vAlign w:val="center"/>
                </w:tcPr>
                <w:p>
                  <w:pPr>
                    <w:pStyle w:val="2"/>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职工生活用水</w:t>
                  </w:r>
                </w:p>
              </w:tc>
              <w:tc>
                <w:tcPr>
                  <w:tcW w:w="337" w:type="pct"/>
                  <w:vMerge w:val="restart"/>
                  <w:tcBorders>
                    <w:tl2br w:val="nil"/>
                    <w:tr2bl w:val="nil"/>
                  </w:tcBorders>
                  <w:vAlign w:val="center"/>
                </w:tcPr>
                <w:p>
                  <w:pPr>
                    <w:pStyle w:val="2"/>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生活污水</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废水量</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162</w:t>
                  </w:r>
                </w:p>
              </w:tc>
              <w:tc>
                <w:tcPr>
                  <w:tcW w:w="1014" w:type="pct"/>
                  <w:vMerge w:val="restart"/>
                  <w:tcBorders>
                    <w:tl2br w:val="nil"/>
                    <w:tr2bl w:val="nil"/>
                  </w:tcBorders>
                  <w:vAlign w:val="center"/>
                </w:tcPr>
                <w:p>
                  <w:pPr>
                    <w:pStyle w:val="2"/>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依托原有化粪池去除COD：15%；BOD</w:t>
                  </w:r>
                  <w:r>
                    <w:rPr>
                      <w:rFonts w:hint="default" w:ascii="Times New Roman" w:hAnsi="Times New Roman" w:eastAsia="宋体" w:cs="Times New Roman"/>
                      <w:vertAlign w:val="subscript"/>
                      <w:lang w:val="en-US" w:eastAsia="zh-CN"/>
                    </w:rPr>
                    <w:t>5</w:t>
                  </w:r>
                  <w:r>
                    <w:rPr>
                      <w:rFonts w:hint="default" w:ascii="Times New Roman" w:hAnsi="Times New Roman" w:eastAsia="宋体" w:cs="Times New Roman"/>
                      <w:lang w:val="en-US" w:eastAsia="zh-CN"/>
                    </w:rPr>
                    <w:t>：9%；SS：30%；氨氮：3%</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162</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337" w:type="pct"/>
                  <w:vMerge w:val="restart"/>
                  <w:tcBorders>
                    <w:tl2br w:val="nil"/>
                    <w:tr2bl w:val="nil"/>
                  </w:tcBorders>
                  <w:vAlign w:val="center"/>
                </w:tcPr>
                <w:p>
                  <w:pPr>
                    <w:pStyle w:val="2"/>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间接排放</w:t>
                  </w:r>
                </w:p>
              </w:tc>
              <w:tc>
                <w:tcPr>
                  <w:tcW w:w="337" w:type="pct"/>
                  <w:vMerge w:val="restart"/>
                  <w:tcBorders>
                    <w:tl2br w:val="nil"/>
                    <w:tr2bl w:val="nil"/>
                  </w:tcBorders>
                  <w:vAlign w:val="center"/>
                </w:tcPr>
                <w:p>
                  <w:pPr>
                    <w:jc w:val="center"/>
                    <w:rPr>
                      <w:rFonts w:hint="default" w:ascii="Times New Roman" w:hAnsi="Times New Roman" w:eastAsia="宋体" w:cs="Times New Roman"/>
                      <w:vertAlign w:val="baseline"/>
                    </w:rPr>
                  </w:pPr>
                  <w:r>
                    <w:rPr>
                      <w:rFonts w:hint="default" w:ascii="Times New Roman" w:hAnsi="Times New Roman" w:eastAsia="宋体" w:cs="Times New Roman"/>
                      <w:szCs w:val="21"/>
                    </w:rPr>
                    <w:t>进入华容</w:t>
                  </w:r>
                  <w:r>
                    <w:rPr>
                      <w:rFonts w:hint="default" w:ascii="Times New Roman" w:hAnsi="Times New Roman" w:eastAsia="宋体" w:cs="Times New Roman"/>
                      <w:szCs w:val="21"/>
                      <w:lang w:eastAsia="zh-CN"/>
                    </w:rPr>
                    <w:t>桥东</w:t>
                  </w:r>
                  <w:r>
                    <w:rPr>
                      <w:rFonts w:hint="default" w:ascii="Times New Roman" w:hAnsi="Times New Roman" w:eastAsia="宋体" w:cs="Times New Roman"/>
                      <w:szCs w:val="21"/>
                    </w:rPr>
                    <w:t>污水处理厂</w:t>
                  </w:r>
                </w:p>
              </w:tc>
              <w:tc>
                <w:tcPr>
                  <w:tcW w:w="337" w:type="pct"/>
                  <w:vMerge w:val="restart"/>
                  <w:tcBorders>
                    <w:tl2br w:val="nil"/>
                    <w:tr2bl w:val="nil"/>
                  </w:tcBorders>
                  <w:vAlign w:val="center"/>
                </w:tcPr>
                <w:p>
                  <w:pPr>
                    <w:jc w:val="center"/>
                    <w:rPr>
                      <w:rFonts w:hint="default" w:ascii="Times New Roman" w:hAnsi="Times New Roman" w:eastAsia="宋体" w:cs="Times New Roman"/>
                      <w:vertAlign w:val="baseline"/>
                    </w:rPr>
                  </w:pPr>
                  <w:r>
                    <w:rPr>
                      <w:rFonts w:hint="default" w:ascii="Times New Roman" w:hAnsi="Times New Roman" w:eastAsia="宋体" w:cs="Times New Roman"/>
                      <w:szCs w:val="21"/>
                    </w:rPr>
                    <w:t>间断排放，排放期间流量稳定</w:t>
                  </w:r>
                </w:p>
              </w:tc>
              <w:tc>
                <w:tcPr>
                  <w:tcW w:w="606" w:type="pct"/>
                  <w:vMerge w:val="restart"/>
                  <w:tcBorders>
                    <w:tl2br w:val="nil"/>
                    <w:tr2bl w:val="nil"/>
                  </w:tcBorders>
                  <w:vAlign w:val="center"/>
                </w:tcPr>
                <w:p>
                  <w:pPr>
                    <w:pStyle w:val="2"/>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《污水综合排放标准》(GB8978-1996)三级标准</w:t>
                  </w:r>
                  <w:r>
                    <w:rPr>
                      <w:rFonts w:hint="default" w:ascii="Times New Roman" w:hAnsi="Times New Roman" w:eastAsia="宋体" w:cs="Times New Roman"/>
                      <w:vertAlign w:val="baseline"/>
                      <w:lang w:eastAsia="zh-CN"/>
                    </w:rPr>
                    <w:t>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rPr>
                  </w:pPr>
                  <w:r>
                    <w:rPr>
                      <w:rFonts w:hint="default" w:ascii="Times New Roman" w:hAnsi="Times New Roman" w:eastAsia="宋体" w:cs="Times New Roman"/>
                      <w:vertAlign w:val="baseline"/>
                      <w:lang w:val="en-US" w:eastAsia="zh-CN"/>
                    </w:rPr>
                    <w:t>pH</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6-9</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1014" w:type="pct"/>
                  <w:vMerge w:val="continue"/>
                  <w:tcBorders>
                    <w:tl2br w:val="nil"/>
                    <w:tr2bl w:val="nil"/>
                  </w:tcBorders>
                  <w:vAlign w:val="center"/>
                </w:tcPr>
                <w:p>
                  <w:pPr>
                    <w:pStyle w:val="2"/>
                    <w:jc w:val="center"/>
                    <w:rPr>
                      <w:rFonts w:hint="default" w:ascii="Times New Roman" w:hAnsi="Times New Roman" w:eastAsia="宋体" w:cs="Times New Roman"/>
                      <w:vertAlign w:val="baseline"/>
                    </w:rPr>
                  </w:pP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w:t>
                  </w: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606" w:type="pct"/>
                  <w:vMerge w:val="continue"/>
                  <w:tcBorders>
                    <w:tl2br w:val="nil"/>
                    <w:tr2bl w:val="nil"/>
                  </w:tcBorders>
                  <w:vAlign w:val="center"/>
                </w:tcPr>
                <w:p>
                  <w:pPr>
                    <w:pStyle w:val="2"/>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rPr>
                    <w:t>COD</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250</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0.0405</w:t>
                  </w:r>
                </w:p>
              </w:tc>
              <w:tc>
                <w:tcPr>
                  <w:tcW w:w="1014" w:type="pct"/>
                  <w:vMerge w:val="continue"/>
                  <w:tcBorders>
                    <w:tl2br w:val="nil"/>
                    <w:tr2bl w:val="nil"/>
                  </w:tcBorders>
                  <w:vAlign w:val="center"/>
                </w:tcPr>
                <w:p>
                  <w:pPr>
                    <w:pStyle w:val="2"/>
                    <w:jc w:val="center"/>
                    <w:rPr>
                      <w:rFonts w:hint="default" w:ascii="Times New Roman" w:hAnsi="Times New Roman" w:eastAsia="宋体" w:cs="Times New Roman"/>
                      <w:vertAlign w:val="baseline"/>
                    </w:rPr>
                  </w:pP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0.0344</w:t>
                  </w: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212.5</w:t>
                  </w: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606" w:type="pct"/>
                  <w:vMerge w:val="continue"/>
                  <w:tcBorders>
                    <w:tl2br w:val="nil"/>
                    <w:tr2bl w:val="nil"/>
                  </w:tcBorders>
                  <w:vAlign w:val="center"/>
                </w:tcPr>
                <w:p>
                  <w:pPr>
                    <w:pStyle w:val="2"/>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rPr>
                    <w:t>BOD</w:t>
                  </w:r>
                  <w:r>
                    <w:rPr>
                      <w:rFonts w:hint="default" w:ascii="Times New Roman" w:hAnsi="Times New Roman" w:eastAsia="宋体" w:cs="Times New Roman"/>
                      <w:vertAlign w:val="subscript"/>
                    </w:rPr>
                    <w:t>5</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100</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0.0162</w:t>
                  </w:r>
                </w:p>
              </w:tc>
              <w:tc>
                <w:tcPr>
                  <w:tcW w:w="1014" w:type="pct"/>
                  <w:vMerge w:val="continue"/>
                  <w:tcBorders>
                    <w:tl2br w:val="nil"/>
                    <w:tr2bl w:val="nil"/>
                  </w:tcBorders>
                  <w:vAlign w:val="center"/>
                </w:tcPr>
                <w:p>
                  <w:pPr>
                    <w:pStyle w:val="2"/>
                    <w:jc w:val="center"/>
                    <w:rPr>
                      <w:rFonts w:hint="default" w:ascii="Times New Roman" w:hAnsi="Times New Roman" w:eastAsia="宋体" w:cs="Times New Roman"/>
                      <w:vertAlign w:val="baseline"/>
                    </w:rPr>
                  </w:pP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0.0147</w:t>
                  </w: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91</w:t>
                  </w: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606" w:type="pct"/>
                  <w:vMerge w:val="continue"/>
                  <w:tcBorders>
                    <w:tl2br w:val="nil"/>
                    <w:tr2bl w:val="nil"/>
                  </w:tcBorders>
                  <w:vAlign w:val="center"/>
                </w:tcPr>
                <w:p>
                  <w:pPr>
                    <w:pStyle w:val="2"/>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SS</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100</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0.0162</w:t>
                  </w:r>
                </w:p>
              </w:tc>
              <w:tc>
                <w:tcPr>
                  <w:tcW w:w="1014" w:type="pct"/>
                  <w:vMerge w:val="continue"/>
                  <w:tcBorders>
                    <w:tl2br w:val="nil"/>
                    <w:tr2bl w:val="nil"/>
                  </w:tcBorders>
                  <w:vAlign w:val="center"/>
                </w:tcPr>
                <w:p>
                  <w:pPr>
                    <w:pStyle w:val="2"/>
                    <w:jc w:val="center"/>
                    <w:rPr>
                      <w:rFonts w:hint="default" w:ascii="Times New Roman" w:hAnsi="Times New Roman" w:eastAsia="宋体" w:cs="Times New Roman"/>
                      <w:vertAlign w:val="baseline"/>
                    </w:rPr>
                  </w:pP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0.0113</w:t>
                  </w: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70</w:t>
                  </w: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606" w:type="pct"/>
                  <w:vMerge w:val="continue"/>
                  <w:tcBorders>
                    <w:tl2br w:val="nil"/>
                    <w:tr2bl w:val="nil"/>
                  </w:tcBorders>
                  <w:vAlign w:val="center"/>
                </w:tcPr>
                <w:p>
                  <w:pPr>
                    <w:pStyle w:val="2"/>
                    <w:jc w:val="center"/>
                    <w:rPr>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tcBorders>
                    <w:tl2br w:val="nil"/>
                    <w:tr2bl w:val="nil"/>
                  </w:tcBorders>
                  <w:vAlign w:val="center"/>
                </w:tcPr>
                <w:p>
                  <w:pPr>
                    <w:pStyle w:val="2"/>
                    <w:jc w:val="center"/>
                    <w:rPr>
                      <w:rFonts w:hint="default" w:ascii="Times New Roman" w:hAnsi="Times New Roman" w:eastAsia="宋体" w:cs="Times New Roman"/>
                      <w:vertAlign w:val="baseline"/>
                      <w:lang w:eastAsia="zh-CN"/>
                    </w:rPr>
                  </w:pPr>
                  <w:r>
                    <w:rPr>
                      <w:rFonts w:hint="default" w:ascii="Times New Roman" w:hAnsi="Times New Roman" w:eastAsia="宋体" w:cs="Times New Roman"/>
                      <w:vertAlign w:val="baseline"/>
                      <w:lang w:eastAsia="zh-CN"/>
                    </w:rPr>
                    <w:t>氨氮</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25</w:t>
                  </w:r>
                </w:p>
              </w:tc>
              <w:tc>
                <w:tcPr>
                  <w:tcW w:w="337" w:type="pct"/>
                  <w:tcBorders>
                    <w:tl2br w:val="nil"/>
                    <w:tr2bl w:val="nil"/>
                  </w:tcBorders>
                  <w:vAlign w:val="center"/>
                </w:tcPr>
                <w:p>
                  <w:pPr>
                    <w:bidi w:val="0"/>
                    <w:jc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0.004</w:t>
                  </w:r>
                </w:p>
              </w:tc>
              <w:tc>
                <w:tcPr>
                  <w:tcW w:w="1014" w:type="pct"/>
                  <w:vMerge w:val="continue"/>
                  <w:tcBorders>
                    <w:tl2br w:val="nil"/>
                    <w:tr2bl w:val="nil"/>
                  </w:tcBorders>
                  <w:vAlign w:val="center"/>
                </w:tcPr>
                <w:p>
                  <w:pPr>
                    <w:pStyle w:val="2"/>
                    <w:jc w:val="center"/>
                    <w:rPr>
                      <w:rFonts w:hint="default" w:ascii="Times New Roman" w:hAnsi="Times New Roman" w:eastAsia="宋体" w:cs="Times New Roman"/>
                      <w:vertAlign w:val="baseline"/>
                    </w:rPr>
                  </w:pP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0.0039</w:t>
                  </w:r>
                </w:p>
              </w:tc>
              <w:tc>
                <w:tcPr>
                  <w:tcW w:w="337" w:type="pct"/>
                  <w:tcBorders>
                    <w:tl2br w:val="nil"/>
                    <w:tr2bl w:val="nil"/>
                  </w:tcBorders>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vertAlign w:val="baseline"/>
                    </w:rPr>
                  </w:pPr>
                  <w:r>
                    <w:rPr>
                      <w:rFonts w:hint="default" w:ascii="Times New Roman" w:hAnsi="Times New Roman" w:eastAsia="宋体" w:cs="Times New Roman"/>
                      <w:lang w:val="en-US" w:eastAsia="zh-CN"/>
                    </w:rPr>
                    <w:t>24.25</w:t>
                  </w: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337" w:type="pct"/>
                  <w:vMerge w:val="continue"/>
                  <w:tcBorders>
                    <w:tl2br w:val="nil"/>
                    <w:tr2bl w:val="nil"/>
                  </w:tcBorders>
                  <w:vAlign w:val="center"/>
                </w:tcPr>
                <w:p>
                  <w:pPr>
                    <w:pStyle w:val="2"/>
                    <w:jc w:val="center"/>
                    <w:rPr>
                      <w:vertAlign w:val="baseline"/>
                    </w:rPr>
                  </w:pPr>
                </w:p>
              </w:tc>
              <w:tc>
                <w:tcPr>
                  <w:tcW w:w="606" w:type="pct"/>
                  <w:vMerge w:val="continue"/>
                  <w:tcBorders>
                    <w:tl2br w:val="nil"/>
                    <w:tr2bl w:val="nil"/>
                  </w:tcBorders>
                  <w:vAlign w:val="center"/>
                </w:tcPr>
                <w:p>
                  <w:pPr>
                    <w:pStyle w:val="2"/>
                    <w:jc w:val="center"/>
                    <w:rPr>
                      <w:vertAlign w:val="baseline"/>
                    </w:rPr>
                  </w:pPr>
                </w:p>
              </w:tc>
            </w:tr>
          </w:tbl>
          <w:p>
            <w:pPr>
              <w:pStyle w:val="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b/>
                <w:bCs/>
                <w:lang w:val="en-US" w:eastAsia="zh-CN"/>
              </w:rPr>
            </w:pPr>
            <w:r>
              <w:rPr>
                <w:rFonts w:hint="default" w:ascii="Times New Roman" w:hAnsi="Times New Roman" w:cs="Times New Roman"/>
                <w:b/>
                <w:bCs/>
                <w:lang w:eastAsia="zh-CN"/>
              </w:rPr>
              <w:t>表</w:t>
            </w:r>
            <w:r>
              <w:rPr>
                <w:rFonts w:hint="default" w:ascii="Times New Roman" w:hAnsi="Times New Roman" w:cs="Times New Roman"/>
                <w:b/>
                <w:bCs/>
                <w:lang w:val="en-US" w:eastAsia="zh-CN"/>
              </w:rPr>
              <w:t>4-6  排放口信息一览表</w:t>
            </w:r>
          </w:p>
          <w:tbl>
            <w:tblPr>
              <w:tblStyle w:val="26"/>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 w:type="dxa"/>
                <w:bottom w:w="0" w:type="dxa"/>
                <w:right w:w="10" w:type="dxa"/>
              </w:tblCellMar>
            </w:tblPr>
            <w:tblGrid>
              <w:gridCol w:w="262"/>
              <w:gridCol w:w="684"/>
              <w:gridCol w:w="1323"/>
              <w:gridCol w:w="1228"/>
              <w:gridCol w:w="597"/>
              <w:gridCol w:w="725"/>
              <w:gridCol w:w="1189"/>
              <w:gridCol w:w="190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trHeight w:val="340" w:hRule="atLeast"/>
                <w:jc w:val="center"/>
              </w:trPr>
              <w:tc>
                <w:tcPr>
                  <w:tcW w:w="166" w:type="pct"/>
                  <w:vMerge w:val="restart"/>
                  <w:tcBorders>
                    <w:tl2br w:val="nil"/>
                    <w:tr2bl w:val="nil"/>
                  </w:tcBorders>
                  <w:vAlign w:val="center"/>
                </w:tcPr>
                <w:p>
                  <w:pPr>
                    <w:jc w:val="center"/>
                  </w:pPr>
                  <w:r>
                    <w:rPr>
                      <w:rFonts w:ascii="Times New Roman" w:hAnsi="Times New Roman"/>
                      <w:szCs w:val="21"/>
                    </w:rPr>
                    <w:t>名称</w:t>
                  </w:r>
                </w:p>
              </w:tc>
              <w:tc>
                <w:tcPr>
                  <w:tcW w:w="432" w:type="pct"/>
                  <w:vMerge w:val="restart"/>
                  <w:tcBorders>
                    <w:tl2br w:val="nil"/>
                    <w:tr2bl w:val="nil"/>
                  </w:tcBorders>
                  <w:vAlign w:val="center"/>
                </w:tcPr>
                <w:p>
                  <w:pPr>
                    <w:jc w:val="center"/>
                  </w:pPr>
                  <w:r>
                    <w:rPr>
                      <w:rFonts w:ascii="Times New Roman" w:hAnsi="Times New Roman"/>
                      <w:szCs w:val="21"/>
                    </w:rPr>
                    <w:t>排放口编号</w:t>
                  </w:r>
                </w:p>
              </w:tc>
              <w:tc>
                <w:tcPr>
                  <w:tcW w:w="1612" w:type="pct"/>
                  <w:gridSpan w:val="2"/>
                  <w:tcBorders>
                    <w:tl2br w:val="nil"/>
                    <w:tr2bl w:val="nil"/>
                  </w:tcBorders>
                  <w:vAlign w:val="center"/>
                </w:tcPr>
                <w:p>
                  <w:pPr>
                    <w:jc w:val="center"/>
                  </w:pPr>
                  <w:r>
                    <w:rPr>
                      <w:rFonts w:ascii="Times New Roman" w:hAnsi="Times New Roman"/>
                      <w:szCs w:val="21"/>
                    </w:rPr>
                    <w:t>排放口地理坐标</w:t>
                  </w:r>
                </w:p>
              </w:tc>
              <w:tc>
                <w:tcPr>
                  <w:tcW w:w="377" w:type="pct"/>
                  <w:vMerge w:val="restart"/>
                  <w:tcBorders>
                    <w:tl2br w:val="nil"/>
                    <w:tr2bl w:val="nil"/>
                  </w:tcBorders>
                  <w:vAlign w:val="center"/>
                </w:tcPr>
                <w:p>
                  <w:pPr>
                    <w:jc w:val="center"/>
                  </w:pPr>
                  <w:r>
                    <w:rPr>
                      <w:rFonts w:ascii="Times New Roman" w:hAnsi="Times New Roman"/>
                      <w:szCs w:val="21"/>
                    </w:rPr>
                    <w:t>废水排放量/（万t/a）</w:t>
                  </w:r>
                </w:p>
              </w:tc>
              <w:tc>
                <w:tcPr>
                  <w:tcW w:w="458" w:type="pct"/>
                  <w:vMerge w:val="restart"/>
                  <w:tcBorders>
                    <w:tl2br w:val="nil"/>
                    <w:tr2bl w:val="nil"/>
                  </w:tcBorders>
                  <w:vAlign w:val="center"/>
                </w:tcPr>
                <w:p>
                  <w:pPr>
                    <w:jc w:val="center"/>
                  </w:pPr>
                  <w:r>
                    <w:rPr>
                      <w:rFonts w:ascii="Times New Roman" w:hAnsi="Times New Roman"/>
                      <w:szCs w:val="21"/>
                    </w:rPr>
                    <w:t>排放去向</w:t>
                  </w:r>
                </w:p>
              </w:tc>
              <w:tc>
                <w:tcPr>
                  <w:tcW w:w="751" w:type="pct"/>
                  <w:vMerge w:val="restart"/>
                  <w:tcBorders>
                    <w:tl2br w:val="nil"/>
                    <w:tr2bl w:val="nil"/>
                  </w:tcBorders>
                  <w:vAlign w:val="center"/>
                </w:tcPr>
                <w:p>
                  <w:pPr>
                    <w:jc w:val="center"/>
                  </w:pPr>
                  <w:r>
                    <w:rPr>
                      <w:rFonts w:ascii="Times New Roman" w:hAnsi="Times New Roman"/>
                      <w:szCs w:val="21"/>
                    </w:rPr>
                    <w:t>排放规律</w:t>
                  </w:r>
                </w:p>
              </w:tc>
              <w:tc>
                <w:tcPr>
                  <w:tcW w:w="1202" w:type="pct"/>
                  <w:vMerge w:val="restart"/>
                  <w:tcBorders>
                    <w:tl2br w:val="nil"/>
                    <w:tr2bl w:val="nil"/>
                  </w:tcBorders>
                  <w:vAlign w:val="center"/>
                </w:tcPr>
                <w:p>
                  <w:pPr>
                    <w:jc w:val="center"/>
                    <w:rPr>
                      <w:rFonts w:hint="eastAsia" w:ascii="Times New Roman" w:hAnsi="Times New Roman" w:eastAsia="宋体"/>
                      <w:szCs w:val="21"/>
                      <w:lang w:eastAsia="zh-CN"/>
                    </w:rPr>
                  </w:pPr>
                  <w:r>
                    <w:rPr>
                      <w:rFonts w:hint="eastAsia"/>
                      <w:szCs w:val="21"/>
                      <w:lang w:eastAsia="zh-CN"/>
                    </w:rPr>
                    <w:t>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trHeight w:val="312" w:hRule="atLeast"/>
                <w:jc w:val="center"/>
              </w:trPr>
              <w:tc>
                <w:tcPr>
                  <w:tcW w:w="166" w:type="pct"/>
                  <w:vMerge w:val="continue"/>
                  <w:tcBorders>
                    <w:tl2br w:val="nil"/>
                    <w:tr2bl w:val="nil"/>
                  </w:tcBorders>
                  <w:vAlign w:val="center"/>
                </w:tcPr>
                <w:p>
                  <w:pPr>
                    <w:jc w:val="center"/>
                  </w:pPr>
                </w:p>
              </w:tc>
              <w:tc>
                <w:tcPr>
                  <w:tcW w:w="432" w:type="pct"/>
                  <w:vMerge w:val="continue"/>
                  <w:tcBorders>
                    <w:tl2br w:val="nil"/>
                    <w:tr2bl w:val="nil"/>
                  </w:tcBorders>
                  <w:vAlign w:val="center"/>
                </w:tcPr>
                <w:p>
                  <w:pPr>
                    <w:jc w:val="center"/>
                  </w:pPr>
                </w:p>
              </w:tc>
              <w:tc>
                <w:tcPr>
                  <w:tcW w:w="836" w:type="pct"/>
                  <w:vMerge w:val="restart"/>
                  <w:tcBorders>
                    <w:tl2br w:val="nil"/>
                    <w:tr2bl w:val="nil"/>
                  </w:tcBorders>
                  <w:vAlign w:val="center"/>
                </w:tcPr>
                <w:p>
                  <w:pPr>
                    <w:jc w:val="center"/>
                  </w:pPr>
                  <w:r>
                    <w:rPr>
                      <w:rFonts w:ascii="Times New Roman" w:hAnsi="Times New Roman"/>
                      <w:szCs w:val="21"/>
                    </w:rPr>
                    <w:t>经度</w:t>
                  </w:r>
                </w:p>
              </w:tc>
              <w:tc>
                <w:tcPr>
                  <w:tcW w:w="776" w:type="pct"/>
                  <w:vMerge w:val="restart"/>
                  <w:tcBorders>
                    <w:tl2br w:val="nil"/>
                    <w:tr2bl w:val="nil"/>
                  </w:tcBorders>
                  <w:vAlign w:val="center"/>
                </w:tcPr>
                <w:p>
                  <w:pPr>
                    <w:jc w:val="center"/>
                  </w:pPr>
                  <w:r>
                    <w:rPr>
                      <w:rFonts w:ascii="Times New Roman" w:hAnsi="Times New Roman"/>
                      <w:szCs w:val="21"/>
                    </w:rPr>
                    <w:t>纬度</w:t>
                  </w:r>
                </w:p>
              </w:tc>
              <w:tc>
                <w:tcPr>
                  <w:tcW w:w="377" w:type="pct"/>
                  <w:vMerge w:val="continue"/>
                  <w:tcBorders>
                    <w:tl2br w:val="nil"/>
                    <w:tr2bl w:val="nil"/>
                  </w:tcBorders>
                  <w:vAlign w:val="center"/>
                </w:tcPr>
                <w:p>
                  <w:pPr>
                    <w:jc w:val="center"/>
                  </w:pPr>
                </w:p>
              </w:tc>
              <w:tc>
                <w:tcPr>
                  <w:tcW w:w="458" w:type="pct"/>
                  <w:vMerge w:val="continue"/>
                  <w:tcBorders>
                    <w:tl2br w:val="nil"/>
                    <w:tr2bl w:val="nil"/>
                  </w:tcBorders>
                  <w:vAlign w:val="center"/>
                </w:tcPr>
                <w:p>
                  <w:pPr>
                    <w:jc w:val="center"/>
                  </w:pPr>
                </w:p>
              </w:tc>
              <w:tc>
                <w:tcPr>
                  <w:tcW w:w="751" w:type="pct"/>
                  <w:vMerge w:val="continue"/>
                  <w:tcBorders>
                    <w:tl2br w:val="nil"/>
                    <w:tr2bl w:val="nil"/>
                  </w:tcBorders>
                  <w:vAlign w:val="center"/>
                </w:tcPr>
                <w:p>
                  <w:pPr>
                    <w:jc w:val="center"/>
                  </w:pPr>
                </w:p>
              </w:tc>
              <w:tc>
                <w:tcPr>
                  <w:tcW w:w="1202" w:type="pct"/>
                  <w:vMerge w:val="continue"/>
                  <w:tcBorders>
                    <w:tl2br w:val="nil"/>
                    <w:tr2bl w:val="nil"/>
                  </w:tcBorders>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trHeight w:val="312" w:hRule="atLeast"/>
                <w:jc w:val="center"/>
              </w:trPr>
              <w:tc>
                <w:tcPr>
                  <w:tcW w:w="166" w:type="pct"/>
                  <w:vMerge w:val="continue"/>
                  <w:tcBorders>
                    <w:tl2br w:val="nil"/>
                    <w:tr2bl w:val="nil"/>
                  </w:tcBorders>
                  <w:vAlign w:val="center"/>
                </w:tcPr>
                <w:p>
                  <w:pPr>
                    <w:jc w:val="center"/>
                  </w:pPr>
                </w:p>
              </w:tc>
              <w:tc>
                <w:tcPr>
                  <w:tcW w:w="432" w:type="pct"/>
                  <w:vMerge w:val="continue"/>
                  <w:tcBorders>
                    <w:tl2br w:val="nil"/>
                    <w:tr2bl w:val="nil"/>
                  </w:tcBorders>
                  <w:vAlign w:val="center"/>
                </w:tcPr>
                <w:p>
                  <w:pPr>
                    <w:jc w:val="center"/>
                  </w:pPr>
                </w:p>
              </w:tc>
              <w:tc>
                <w:tcPr>
                  <w:tcW w:w="836" w:type="pct"/>
                  <w:vMerge w:val="continue"/>
                  <w:tcBorders>
                    <w:tl2br w:val="nil"/>
                    <w:tr2bl w:val="nil"/>
                  </w:tcBorders>
                  <w:vAlign w:val="center"/>
                </w:tcPr>
                <w:p>
                  <w:pPr>
                    <w:jc w:val="center"/>
                  </w:pPr>
                </w:p>
              </w:tc>
              <w:tc>
                <w:tcPr>
                  <w:tcW w:w="776" w:type="pct"/>
                  <w:vMerge w:val="continue"/>
                  <w:tcBorders>
                    <w:tl2br w:val="nil"/>
                    <w:tr2bl w:val="nil"/>
                  </w:tcBorders>
                  <w:vAlign w:val="center"/>
                </w:tcPr>
                <w:p>
                  <w:pPr>
                    <w:jc w:val="center"/>
                  </w:pPr>
                </w:p>
              </w:tc>
              <w:tc>
                <w:tcPr>
                  <w:tcW w:w="377" w:type="pct"/>
                  <w:vMerge w:val="continue"/>
                  <w:tcBorders>
                    <w:tl2br w:val="nil"/>
                    <w:tr2bl w:val="nil"/>
                  </w:tcBorders>
                  <w:vAlign w:val="center"/>
                </w:tcPr>
                <w:p>
                  <w:pPr>
                    <w:jc w:val="center"/>
                  </w:pPr>
                </w:p>
              </w:tc>
              <w:tc>
                <w:tcPr>
                  <w:tcW w:w="458" w:type="pct"/>
                  <w:vMerge w:val="continue"/>
                  <w:tcBorders>
                    <w:tl2br w:val="nil"/>
                    <w:tr2bl w:val="nil"/>
                  </w:tcBorders>
                  <w:vAlign w:val="center"/>
                </w:tcPr>
                <w:p>
                  <w:pPr>
                    <w:jc w:val="center"/>
                  </w:pPr>
                </w:p>
              </w:tc>
              <w:tc>
                <w:tcPr>
                  <w:tcW w:w="751" w:type="pct"/>
                  <w:vMerge w:val="continue"/>
                  <w:tcBorders>
                    <w:tl2br w:val="nil"/>
                    <w:tr2bl w:val="nil"/>
                  </w:tcBorders>
                  <w:vAlign w:val="center"/>
                </w:tcPr>
                <w:p>
                  <w:pPr>
                    <w:jc w:val="center"/>
                  </w:pPr>
                </w:p>
              </w:tc>
              <w:tc>
                <w:tcPr>
                  <w:tcW w:w="1202" w:type="pct"/>
                  <w:vMerge w:val="restart"/>
                  <w:tcBorders>
                    <w:tl2br w:val="nil"/>
                    <w:tr2bl w:val="nil"/>
                  </w:tcBorders>
                  <w:vAlign w:val="center"/>
                </w:tcPr>
                <w:p>
                  <w:pPr>
                    <w:jc w:val="center"/>
                    <w:rPr>
                      <w:rFonts w:ascii="Times New Roman" w:hAnsi="Times New Roman"/>
                      <w:szCs w:val="21"/>
                    </w:rPr>
                  </w:pPr>
                  <w:r>
                    <w:rPr>
                      <w:rFonts w:hint="eastAsia"/>
                      <w:sz w:val="21"/>
                      <w:szCs w:val="21"/>
                    </w:rPr>
                    <w:t>《城镇污水处理厂污染物排放标准》（</w:t>
                  </w:r>
                  <w:r>
                    <w:rPr>
                      <w:sz w:val="21"/>
                      <w:szCs w:val="21"/>
                    </w:rPr>
                    <w:t>GB18918-2002</w:t>
                  </w:r>
                  <w:r>
                    <w:rPr>
                      <w:rFonts w:hint="eastAsia"/>
                      <w:sz w:val="21"/>
                      <w:szCs w:val="21"/>
                    </w:rPr>
                    <w:t>）表</w:t>
                  </w:r>
                  <w:r>
                    <w:rPr>
                      <w:sz w:val="21"/>
                      <w:szCs w:val="21"/>
                    </w:rPr>
                    <w:t>1</w:t>
                  </w:r>
                  <w:r>
                    <w:rPr>
                      <w:rFonts w:hint="eastAsia"/>
                      <w:sz w:val="21"/>
                      <w:szCs w:val="21"/>
                    </w:rPr>
                    <w:t>中一级</w:t>
                  </w:r>
                  <w:r>
                    <w:rPr>
                      <w:sz w:val="21"/>
                      <w:szCs w:val="21"/>
                    </w:rPr>
                    <w:t>A</w:t>
                  </w:r>
                  <w:r>
                    <w:rPr>
                      <w:rFonts w:hint="eastAsia"/>
                      <w:sz w:val="21"/>
                      <w:szCs w:val="21"/>
                    </w:rPr>
                    <w:t>标准要求。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trHeight w:val="312" w:hRule="atLeast"/>
                <w:jc w:val="center"/>
              </w:trPr>
              <w:tc>
                <w:tcPr>
                  <w:tcW w:w="166" w:type="pct"/>
                  <w:vMerge w:val="restart"/>
                  <w:tcBorders>
                    <w:tl2br w:val="nil"/>
                    <w:tr2bl w:val="nil"/>
                  </w:tcBorders>
                  <w:vAlign w:val="center"/>
                </w:tcPr>
                <w:p>
                  <w:pPr>
                    <w:jc w:val="center"/>
                  </w:pPr>
                  <w:r>
                    <w:rPr>
                      <w:rFonts w:ascii="Times New Roman" w:hAnsi="Times New Roman"/>
                      <w:szCs w:val="21"/>
                    </w:rPr>
                    <w:t>生活污水</w:t>
                  </w:r>
                </w:p>
              </w:tc>
              <w:tc>
                <w:tcPr>
                  <w:tcW w:w="432" w:type="pct"/>
                  <w:vMerge w:val="restart"/>
                  <w:tcBorders>
                    <w:tl2br w:val="nil"/>
                    <w:tr2bl w:val="nil"/>
                  </w:tcBorders>
                  <w:vAlign w:val="center"/>
                </w:tcPr>
                <w:p>
                  <w:pPr>
                    <w:jc w:val="center"/>
                  </w:pPr>
                  <w:r>
                    <w:rPr>
                      <w:rFonts w:hint="eastAsia"/>
                      <w:szCs w:val="21"/>
                      <w:lang w:val="en-US" w:eastAsia="zh-CN"/>
                    </w:rPr>
                    <w:t>D</w:t>
                  </w:r>
                  <w:r>
                    <w:rPr>
                      <w:rFonts w:ascii="Times New Roman" w:hAnsi="Times New Roman"/>
                      <w:szCs w:val="21"/>
                    </w:rPr>
                    <w:t>W</w:t>
                  </w:r>
                  <w:r>
                    <w:rPr>
                      <w:rFonts w:hint="eastAsia"/>
                      <w:szCs w:val="21"/>
                      <w:lang w:val="en-US" w:eastAsia="zh-CN"/>
                    </w:rPr>
                    <w:t>00</w:t>
                  </w:r>
                  <w:r>
                    <w:rPr>
                      <w:rFonts w:ascii="Times New Roman" w:hAnsi="Times New Roman"/>
                      <w:szCs w:val="21"/>
                    </w:rPr>
                    <w:t>1</w:t>
                  </w:r>
                </w:p>
              </w:tc>
              <w:tc>
                <w:tcPr>
                  <w:tcW w:w="836" w:type="pct"/>
                  <w:vMerge w:val="restart"/>
                  <w:tcBorders>
                    <w:tl2br w:val="nil"/>
                    <w:tr2bl w:val="nil"/>
                  </w:tcBorders>
                  <w:vAlign w:val="center"/>
                </w:tcPr>
                <w:p>
                  <w:pPr>
                    <w:jc w:val="center"/>
                  </w:pPr>
                  <w:r>
                    <w:rPr>
                      <w:rFonts w:hint="eastAsia"/>
                    </w:rPr>
                    <w:t>112.596184506</w:t>
                  </w:r>
                </w:p>
              </w:tc>
              <w:tc>
                <w:tcPr>
                  <w:tcW w:w="776" w:type="pct"/>
                  <w:vMerge w:val="restart"/>
                  <w:tcBorders>
                    <w:tl2br w:val="nil"/>
                    <w:tr2bl w:val="nil"/>
                  </w:tcBorders>
                  <w:vAlign w:val="center"/>
                </w:tcPr>
                <w:p>
                  <w:pPr>
                    <w:jc w:val="center"/>
                  </w:pPr>
                  <w:r>
                    <w:rPr>
                      <w:rFonts w:hint="eastAsia"/>
                    </w:rPr>
                    <w:t>29.540275803</w:t>
                  </w:r>
                </w:p>
              </w:tc>
              <w:tc>
                <w:tcPr>
                  <w:tcW w:w="377" w:type="pct"/>
                  <w:vMerge w:val="restart"/>
                  <w:tcBorders>
                    <w:tl2br w:val="nil"/>
                    <w:tr2bl w:val="nil"/>
                  </w:tcBorders>
                  <w:vAlign w:val="center"/>
                </w:tcPr>
                <w:p>
                  <w:pPr>
                    <w:jc w:val="center"/>
                    <w:rPr>
                      <w:rFonts w:hint="default" w:eastAsia="宋体"/>
                      <w:lang w:val="en-US" w:eastAsia="zh-CN"/>
                    </w:rPr>
                  </w:pPr>
                  <w:r>
                    <w:rPr>
                      <w:rFonts w:hint="eastAsia" w:ascii="Times New Roman" w:hAnsi="Times New Roman"/>
                      <w:szCs w:val="21"/>
                      <w:lang w:val="en-US" w:eastAsia="zh-CN"/>
                    </w:rPr>
                    <w:t>0.0162</w:t>
                  </w:r>
                </w:p>
              </w:tc>
              <w:tc>
                <w:tcPr>
                  <w:tcW w:w="458" w:type="pct"/>
                  <w:vMerge w:val="restart"/>
                  <w:tcBorders>
                    <w:tl2br w:val="nil"/>
                    <w:tr2bl w:val="nil"/>
                  </w:tcBorders>
                  <w:vAlign w:val="center"/>
                </w:tcPr>
                <w:p>
                  <w:pPr>
                    <w:jc w:val="center"/>
                  </w:pPr>
                  <w:r>
                    <w:rPr>
                      <w:rFonts w:ascii="Times New Roman" w:hAnsi="Times New Roman"/>
                      <w:szCs w:val="21"/>
                    </w:rPr>
                    <w:t>进入华容</w:t>
                  </w:r>
                  <w:r>
                    <w:rPr>
                      <w:rFonts w:hint="eastAsia" w:ascii="Times New Roman" w:hAnsi="Times New Roman"/>
                      <w:szCs w:val="21"/>
                      <w:lang w:eastAsia="zh-CN"/>
                    </w:rPr>
                    <w:t>桥东</w:t>
                  </w:r>
                  <w:r>
                    <w:rPr>
                      <w:rFonts w:ascii="Times New Roman" w:hAnsi="Times New Roman"/>
                      <w:szCs w:val="21"/>
                    </w:rPr>
                    <w:t>污水处理厂</w:t>
                  </w:r>
                </w:p>
              </w:tc>
              <w:tc>
                <w:tcPr>
                  <w:tcW w:w="751" w:type="pct"/>
                  <w:vMerge w:val="restart"/>
                  <w:tcBorders>
                    <w:tl2br w:val="nil"/>
                    <w:tr2bl w:val="nil"/>
                  </w:tcBorders>
                  <w:vAlign w:val="center"/>
                </w:tcPr>
                <w:p>
                  <w:pPr>
                    <w:jc w:val="center"/>
                  </w:pPr>
                  <w:r>
                    <w:rPr>
                      <w:rFonts w:ascii="Times New Roman" w:hAnsi="Times New Roman"/>
                      <w:szCs w:val="21"/>
                    </w:rPr>
                    <w:t>间断排放，排放期间流量稳定</w:t>
                  </w:r>
                </w:p>
              </w:tc>
              <w:tc>
                <w:tcPr>
                  <w:tcW w:w="1202" w:type="pct"/>
                  <w:vMerge w:val="continue"/>
                  <w:tcBorders>
                    <w:tl2br w:val="nil"/>
                    <w:tr2bl w:val="nil"/>
                  </w:tcBorders>
                  <w:vAlign w:val="center"/>
                </w:tcPr>
                <w:p>
                  <w:pPr>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trHeight w:val="312" w:hRule="atLeast"/>
                <w:jc w:val="center"/>
              </w:trPr>
              <w:tc>
                <w:tcPr>
                  <w:tcW w:w="166" w:type="pct"/>
                  <w:vMerge w:val="continue"/>
                  <w:tcBorders>
                    <w:tl2br w:val="nil"/>
                    <w:tr2bl w:val="nil"/>
                  </w:tcBorders>
                  <w:vAlign w:val="center"/>
                </w:tcPr>
                <w:p>
                  <w:pPr>
                    <w:jc w:val="center"/>
                  </w:pPr>
                </w:p>
              </w:tc>
              <w:tc>
                <w:tcPr>
                  <w:tcW w:w="432" w:type="pct"/>
                  <w:vMerge w:val="continue"/>
                  <w:tcBorders>
                    <w:tl2br w:val="nil"/>
                    <w:tr2bl w:val="nil"/>
                  </w:tcBorders>
                  <w:vAlign w:val="center"/>
                </w:tcPr>
                <w:p>
                  <w:pPr>
                    <w:jc w:val="center"/>
                  </w:pPr>
                </w:p>
              </w:tc>
              <w:tc>
                <w:tcPr>
                  <w:tcW w:w="836" w:type="pct"/>
                  <w:vMerge w:val="continue"/>
                  <w:tcBorders>
                    <w:tl2br w:val="nil"/>
                    <w:tr2bl w:val="nil"/>
                  </w:tcBorders>
                  <w:vAlign w:val="center"/>
                </w:tcPr>
                <w:p>
                  <w:pPr>
                    <w:jc w:val="center"/>
                  </w:pPr>
                </w:p>
              </w:tc>
              <w:tc>
                <w:tcPr>
                  <w:tcW w:w="776" w:type="pct"/>
                  <w:vMerge w:val="continue"/>
                  <w:tcBorders>
                    <w:tl2br w:val="nil"/>
                    <w:tr2bl w:val="nil"/>
                  </w:tcBorders>
                  <w:vAlign w:val="center"/>
                </w:tcPr>
                <w:p>
                  <w:pPr>
                    <w:jc w:val="center"/>
                  </w:pPr>
                </w:p>
              </w:tc>
              <w:tc>
                <w:tcPr>
                  <w:tcW w:w="377" w:type="pct"/>
                  <w:vMerge w:val="continue"/>
                  <w:tcBorders>
                    <w:tl2br w:val="nil"/>
                    <w:tr2bl w:val="nil"/>
                  </w:tcBorders>
                  <w:vAlign w:val="center"/>
                </w:tcPr>
                <w:p>
                  <w:pPr>
                    <w:jc w:val="center"/>
                  </w:pPr>
                </w:p>
              </w:tc>
              <w:tc>
                <w:tcPr>
                  <w:tcW w:w="458" w:type="pct"/>
                  <w:vMerge w:val="continue"/>
                  <w:tcBorders>
                    <w:tl2br w:val="nil"/>
                    <w:tr2bl w:val="nil"/>
                  </w:tcBorders>
                  <w:vAlign w:val="center"/>
                </w:tcPr>
                <w:p>
                  <w:pPr>
                    <w:jc w:val="center"/>
                  </w:pPr>
                </w:p>
              </w:tc>
              <w:tc>
                <w:tcPr>
                  <w:tcW w:w="751" w:type="pct"/>
                  <w:vMerge w:val="continue"/>
                  <w:tcBorders>
                    <w:tl2br w:val="nil"/>
                    <w:tr2bl w:val="nil"/>
                  </w:tcBorders>
                  <w:vAlign w:val="center"/>
                </w:tcPr>
                <w:p>
                  <w:pPr>
                    <w:jc w:val="center"/>
                  </w:pPr>
                </w:p>
              </w:tc>
              <w:tc>
                <w:tcPr>
                  <w:tcW w:w="1202" w:type="pct"/>
                  <w:vMerge w:val="continue"/>
                  <w:tcBorders>
                    <w:tl2br w:val="nil"/>
                    <w:tr2bl w:val="nil"/>
                  </w:tcBorders>
                  <w:vAlign w:val="center"/>
                </w:tcPr>
                <w:p>
                  <w:pPr>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trHeight w:val="312" w:hRule="atLeast"/>
                <w:jc w:val="center"/>
              </w:trPr>
              <w:tc>
                <w:tcPr>
                  <w:tcW w:w="166" w:type="pct"/>
                  <w:vMerge w:val="continue"/>
                  <w:tcBorders>
                    <w:tl2br w:val="nil"/>
                    <w:tr2bl w:val="nil"/>
                  </w:tcBorders>
                  <w:vAlign w:val="center"/>
                </w:tcPr>
                <w:p>
                  <w:pPr>
                    <w:jc w:val="center"/>
                  </w:pPr>
                </w:p>
              </w:tc>
              <w:tc>
                <w:tcPr>
                  <w:tcW w:w="432" w:type="pct"/>
                  <w:vMerge w:val="continue"/>
                  <w:tcBorders>
                    <w:tl2br w:val="nil"/>
                    <w:tr2bl w:val="nil"/>
                  </w:tcBorders>
                  <w:vAlign w:val="center"/>
                </w:tcPr>
                <w:p>
                  <w:pPr>
                    <w:jc w:val="center"/>
                  </w:pPr>
                </w:p>
              </w:tc>
              <w:tc>
                <w:tcPr>
                  <w:tcW w:w="836" w:type="pct"/>
                  <w:vMerge w:val="continue"/>
                  <w:tcBorders>
                    <w:tl2br w:val="nil"/>
                    <w:tr2bl w:val="nil"/>
                  </w:tcBorders>
                  <w:vAlign w:val="center"/>
                </w:tcPr>
                <w:p>
                  <w:pPr>
                    <w:jc w:val="center"/>
                  </w:pPr>
                </w:p>
              </w:tc>
              <w:tc>
                <w:tcPr>
                  <w:tcW w:w="776" w:type="pct"/>
                  <w:vMerge w:val="continue"/>
                  <w:tcBorders>
                    <w:tl2br w:val="nil"/>
                    <w:tr2bl w:val="nil"/>
                  </w:tcBorders>
                  <w:vAlign w:val="center"/>
                </w:tcPr>
                <w:p>
                  <w:pPr>
                    <w:jc w:val="center"/>
                  </w:pPr>
                </w:p>
              </w:tc>
              <w:tc>
                <w:tcPr>
                  <w:tcW w:w="377" w:type="pct"/>
                  <w:vMerge w:val="continue"/>
                  <w:tcBorders>
                    <w:tl2br w:val="nil"/>
                    <w:tr2bl w:val="nil"/>
                  </w:tcBorders>
                  <w:vAlign w:val="center"/>
                </w:tcPr>
                <w:p>
                  <w:pPr>
                    <w:jc w:val="center"/>
                  </w:pPr>
                </w:p>
              </w:tc>
              <w:tc>
                <w:tcPr>
                  <w:tcW w:w="458" w:type="pct"/>
                  <w:vMerge w:val="continue"/>
                  <w:tcBorders>
                    <w:tl2br w:val="nil"/>
                    <w:tr2bl w:val="nil"/>
                  </w:tcBorders>
                  <w:vAlign w:val="center"/>
                </w:tcPr>
                <w:p>
                  <w:pPr>
                    <w:jc w:val="center"/>
                  </w:pPr>
                </w:p>
              </w:tc>
              <w:tc>
                <w:tcPr>
                  <w:tcW w:w="751" w:type="pct"/>
                  <w:vMerge w:val="continue"/>
                  <w:tcBorders>
                    <w:tl2br w:val="nil"/>
                    <w:tr2bl w:val="nil"/>
                  </w:tcBorders>
                  <w:vAlign w:val="center"/>
                </w:tcPr>
                <w:p>
                  <w:pPr>
                    <w:jc w:val="center"/>
                  </w:pPr>
                </w:p>
              </w:tc>
              <w:tc>
                <w:tcPr>
                  <w:tcW w:w="1202" w:type="pct"/>
                  <w:vMerge w:val="continue"/>
                  <w:tcBorders>
                    <w:tl2br w:val="nil"/>
                    <w:tr2bl w:val="nil"/>
                  </w:tcBorders>
                  <w:vAlign w:val="center"/>
                </w:tcPr>
                <w:p>
                  <w:pPr>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trHeight w:val="326" w:hRule="atLeast"/>
                <w:jc w:val="center"/>
              </w:trPr>
              <w:tc>
                <w:tcPr>
                  <w:tcW w:w="166" w:type="pct"/>
                  <w:vMerge w:val="continue"/>
                  <w:tcBorders>
                    <w:tl2br w:val="nil"/>
                    <w:tr2bl w:val="nil"/>
                  </w:tcBorders>
                  <w:vAlign w:val="center"/>
                </w:tcPr>
                <w:p>
                  <w:pPr>
                    <w:jc w:val="center"/>
                  </w:pPr>
                </w:p>
              </w:tc>
              <w:tc>
                <w:tcPr>
                  <w:tcW w:w="432" w:type="pct"/>
                  <w:vMerge w:val="continue"/>
                  <w:tcBorders>
                    <w:tl2br w:val="nil"/>
                    <w:tr2bl w:val="nil"/>
                  </w:tcBorders>
                  <w:vAlign w:val="center"/>
                </w:tcPr>
                <w:p>
                  <w:pPr>
                    <w:jc w:val="center"/>
                  </w:pPr>
                </w:p>
              </w:tc>
              <w:tc>
                <w:tcPr>
                  <w:tcW w:w="836" w:type="pct"/>
                  <w:vMerge w:val="continue"/>
                  <w:tcBorders>
                    <w:tl2br w:val="nil"/>
                    <w:tr2bl w:val="nil"/>
                  </w:tcBorders>
                  <w:vAlign w:val="center"/>
                </w:tcPr>
                <w:p>
                  <w:pPr>
                    <w:jc w:val="center"/>
                  </w:pPr>
                </w:p>
              </w:tc>
              <w:tc>
                <w:tcPr>
                  <w:tcW w:w="776" w:type="pct"/>
                  <w:vMerge w:val="continue"/>
                  <w:tcBorders>
                    <w:tl2br w:val="nil"/>
                    <w:tr2bl w:val="nil"/>
                  </w:tcBorders>
                  <w:vAlign w:val="center"/>
                </w:tcPr>
                <w:p>
                  <w:pPr>
                    <w:jc w:val="center"/>
                  </w:pPr>
                </w:p>
              </w:tc>
              <w:tc>
                <w:tcPr>
                  <w:tcW w:w="377" w:type="pct"/>
                  <w:vMerge w:val="continue"/>
                  <w:tcBorders>
                    <w:tl2br w:val="nil"/>
                    <w:tr2bl w:val="nil"/>
                  </w:tcBorders>
                  <w:vAlign w:val="center"/>
                </w:tcPr>
                <w:p>
                  <w:pPr>
                    <w:jc w:val="center"/>
                  </w:pPr>
                </w:p>
              </w:tc>
              <w:tc>
                <w:tcPr>
                  <w:tcW w:w="458" w:type="pct"/>
                  <w:vMerge w:val="continue"/>
                  <w:tcBorders>
                    <w:tl2br w:val="nil"/>
                    <w:tr2bl w:val="nil"/>
                  </w:tcBorders>
                  <w:vAlign w:val="center"/>
                </w:tcPr>
                <w:p>
                  <w:pPr>
                    <w:jc w:val="center"/>
                  </w:pPr>
                </w:p>
              </w:tc>
              <w:tc>
                <w:tcPr>
                  <w:tcW w:w="751" w:type="pct"/>
                  <w:vMerge w:val="continue"/>
                  <w:tcBorders>
                    <w:tl2br w:val="nil"/>
                    <w:tr2bl w:val="nil"/>
                  </w:tcBorders>
                  <w:vAlign w:val="center"/>
                </w:tcPr>
                <w:p>
                  <w:pPr>
                    <w:jc w:val="center"/>
                  </w:pPr>
                </w:p>
              </w:tc>
              <w:tc>
                <w:tcPr>
                  <w:tcW w:w="1202" w:type="pct"/>
                  <w:vMerge w:val="continue"/>
                  <w:tcBorders>
                    <w:tl2br w:val="nil"/>
                    <w:tr2bl w:val="nil"/>
                  </w:tcBorders>
                  <w:vAlign w:val="center"/>
                </w:tcPr>
                <w:p>
                  <w:pPr>
                    <w:jc w:val="center"/>
                    <w:rPr>
                      <w:rFonts w:ascii="Times New Roman" w:hAnsi="Times New Roman"/>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依托污水处理设施环境可行性分析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eastAsia="zh-CN"/>
                <w14:textFill>
                  <w14:solidFill>
                    <w14:schemeClr w14:val="tx1"/>
                  </w14:solidFill>
                </w14:textFill>
              </w:rPr>
              <w:t>）处理能力可行性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本项目建成后废水排放量为</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0.675m</w:t>
            </w:r>
            <w:r>
              <w:rPr>
                <w:rFonts w:hint="default" w:ascii="Times New Roman" w:hAnsi="Times New Roman" w:eastAsia="宋体" w:cs="Times New Roman"/>
                <w:color w:val="000000" w:themeColor="text1"/>
                <w:sz w:val="24"/>
                <w:szCs w:val="24"/>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single"/>
                <w14:textFill>
                  <w14:solidFill>
                    <w14:schemeClr w14:val="tx1"/>
                  </w14:solidFill>
                </w14:textFill>
              </w:rPr>
              <w:t>/d（全部废水）</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14:textFill>
                  <w14:solidFill>
                    <w14:schemeClr w14:val="tx1"/>
                  </w14:solidFill>
                </w14:textFill>
              </w:rPr>
              <w:t>华容县桥东污水处理厂</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处理规模为</w:t>
            </w:r>
            <w:r>
              <w:rPr>
                <w:rFonts w:hint="default" w:ascii="Times New Roman" w:hAnsi="Times New Roman" w:eastAsia="宋体" w:cs="Times New Roman"/>
                <w:color w:val="000000" w:themeColor="text1"/>
                <w:sz w:val="24"/>
                <w:szCs w:val="24"/>
                <w:u w:val="single"/>
                <w14:textFill>
                  <w14:solidFill>
                    <w14:schemeClr w14:val="tx1"/>
                  </w14:solidFill>
                </w14:textFill>
              </w:rPr>
              <w:t>2万m</w:t>
            </w:r>
            <w:r>
              <w:rPr>
                <w:rFonts w:hint="default" w:ascii="Times New Roman" w:hAnsi="Times New Roman" w:eastAsia="宋体" w:cs="Times New Roman"/>
                <w:color w:val="000000" w:themeColor="text1"/>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u w:val="single"/>
                <w14:textFill>
                  <w14:solidFill>
                    <w14:schemeClr w14:val="tx1"/>
                  </w14:solidFill>
                </w14:textFill>
              </w:rPr>
              <w:t>/d</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，目前</w:t>
            </w:r>
            <w:r>
              <w:rPr>
                <w:rFonts w:hint="default" w:ascii="Times New Roman" w:hAnsi="Times New Roman" w:eastAsia="宋体" w:cs="Times New Roman"/>
                <w:color w:val="000000" w:themeColor="text1"/>
                <w:sz w:val="24"/>
                <w:szCs w:val="24"/>
                <w:u w:val="single"/>
                <w14:textFill>
                  <w14:solidFill>
                    <w14:schemeClr w14:val="tx1"/>
                  </w14:solidFill>
                </w14:textFill>
              </w:rPr>
              <w:t>华容县桥东污水处理厂</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污水处理量为</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19465.6m</w:t>
            </w:r>
            <w:r>
              <w:rPr>
                <w:rFonts w:hint="default" w:ascii="Times New Roman" w:hAnsi="Times New Roman" w:eastAsia="宋体" w:cs="Times New Roman"/>
                <w:color w:val="000000" w:themeColor="text1"/>
                <w:sz w:val="24"/>
                <w:szCs w:val="24"/>
                <w:u w:val="singl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u w:val="single"/>
                <w14:textFill>
                  <w14:solidFill>
                    <w14:schemeClr w14:val="tx1"/>
                  </w14:solidFill>
                </w14:textFill>
              </w:rPr>
              <w:t>废水排放量在污水处理厂剩余处理能力范围</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之</w:t>
            </w:r>
            <w:r>
              <w:rPr>
                <w:rFonts w:hint="default" w:ascii="Times New Roman" w:hAnsi="Times New Roman" w:eastAsia="宋体" w:cs="Times New Roman"/>
                <w:color w:val="000000" w:themeColor="text1"/>
                <w:sz w:val="24"/>
                <w:szCs w:val="24"/>
                <w:u w:val="single"/>
                <w14:textFill>
                  <w14:solidFill>
                    <w14:schemeClr w14:val="tx1"/>
                  </w14:solidFill>
                </w14:textFill>
              </w:rPr>
              <w:t>内，不会对污水处理厂的正常水处理效果造成影响。因此，从接管水量来说，华容县桥东污水处理厂</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处理厂</w:t>
            </w:r>
            <w:r>
              <w:rPr>
                <w:rFonts w:hint="default" w:ascii="Times New Roman" w:hAnsi="Times New Roman" w:eastAsia="宋体" w:cs="Times New Roman"/>
                <w:color w:val="000000" w:themeColor="text1"/>
                <w:sz w:val="24"/>
                <w:szCs w:val="24"/>
                <w:u w:val="single"/>
                <w14:textFill>
                  <w14:solidFill>
                    <w14:schemeClr w14:val="tx1"/>
                  </w14:solidFill>
                </w14:textFill>
              </w:rPr>
              <w:t>完全有能力接纳本项目产生的废水。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eastAsia="zh-CN"/>
                <w14:textFill>
                  <w14:solidFill>
                    <w14:schemeClr w14:val="tx1"/>
                  </w14:solidFill>
                </w14:textFill>
              </w:rPr>
              <w:t>处理工艺可行性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华容县桥东污水处理厂位于湖南省岳阳市华容县石伏村（中心坐标112°35′40.25″，29°31′53.03″），南向距离华容河约120m，占地面积57494m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。华容县桥东污水处理厂主要接纳华容县桥东片区生活污水和石伏工业园的工业污水，设计规模2万m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d，采用“粗格栅、细格栅、组合池（由水解酸化组成+AAO生化池+矩形二沉池）、高效沉淀池、滤布滤池、接触消毒池”的工艺。项目区域排污管道已铺设完毕，项目厂区已设置排污口，进入园区污水管网排入污水处理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）接管水质达标可行性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华容县桥东污水处理厂进水指标要求为：COD≤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420</w:t>
            </w:r>
            <w:r>
              <w:rPr>
                <w:rFonts w:hint="default" w:ascii="Times New Roman" w:hAnsi="Times New Roman" w:eastAsia="宋体" w:cs="Times New Roman"/>
                <w:color w:val="000000" w:themeColor="text1"/>
                <w:sz w:val="24"/>
                <w:szCs w:val="24"/>
                <w14:textFill>
                  <w14:solidFill>
                    <w14:schemeClr w14:val="tx1"/>
                  </w14:solidFill>
                </w14:textFill>
              </w:rPr>
              <w:t>mg/L，BOD</w:t>
            </w:r>
            <w:r>
              <w:rPr>
                <w:rFonts w:hint="default" w:ascii="Times New Roman" w:hAnsi="Times New Roman" w:eastAsia="宋体" w:cs="Times New Roman"/>
                <w:color w:val="000000" w:themeColor="text1"/>
                <w:sz w:val="24"/>
                <w:szCs w:val="24"/>
                <w:vertAlign w:val="subscript"/>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150</w:t>
            </w:r>
            <w:r>
              <w:rPr>
                <w:rFonts w:hint="default" w:ascii="Times New Roman" w:hAnsi="Times New Roman" w:eastAsia="宋体" w:cs="Times New Roman"/>
                <w:color w:val="000000" w:themeColor="text1"/>
                <w:sz w:val="24"/>
                <w:szCs w:val="24"/>
                <w14:textFill>
                  <w14:solidFill>
                    <w14:schemeClr w14:val="tx1"/>
                  </w14:solidFill>
                </w14:textFill>
              </w:rPr>
              <w:t>mg/L，SS≤</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240</w:t>
            </w:r>
            <w:r>
              <w:rPr>
                <w:rFonts w:hint="default" w:ascii="Times New Roman" w:hAnsi="Times New Roman" w:eastAsia="宋体" w:cs="Times New Roman"/>
                <w:color w:val="000000" w:themeColor="text1"/>
                <w:sz w:val="24"/>
                <w:szCs w:val="24"/>
                <w14:textFill>
                  <w14:solidFill>
                    <w14:schemeClr w14:val="tx1"/>
                  </w14:solidFill>
                </w14:textFill>
              </w:rPr>
              <w:t>mg/L</w:t>
            </w:r>
            <w:r>
              <w:rPr>
                <w:rFonts w:hint="default" w:ascii="Times New Roman" w:hAnsi="Times New Roman" w:eastAsia="宋体" w:cs="Times New Roman"/>
                <w:color w:val="000000" w:themeColor="text1"/>
                <w:sz w:val="24"/>
                <w:szCs w:val="24"/>
                <w:lang w:eastAsia="zh-CN"/>
                <w14:textFill>
                  <w14:solidFill>
                    <w14:schemeClr w14:val="tx1"/>
                  </w14:solidFill>
                </w14:textFill>
              </w:rPr>
              <w:t>、氨氮</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36</w:t>
            </w:r>
            <w:r>
              <w:rPr>
                <w:rFonts w:hint="default" w:ascii="Times New Roman" w:hAnsi="Times New Roman" w:eastAsia="宋体" w:cs="Times New Roman"/>
                <w:color w:val="000000" w:themeColor="text1"/>
                <w:sz w:val="24"/>
                <w:szCs w:val="24"/>
                <w14:textFill>
                  <w14:solidFill>
                    <w14:schemeClr w14:val="tx1"/>
                  </w14:solidFill>
                </w14:textFill>
              </w:rPr>
              <w:t>mg/L</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、总磷</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4.6</w:t>
            </w:r>
            <w:r>
              <w:rPr>
                <w:rFonts w:hint="default" w:ascii="Times New Roman" w:hAnsi="Times New Roman" w:eastAsia="宋体" w:cs="Times New Roman"/>
                <w:color w:val="000000" w:themeColor="text1"/>
                <w:sz w:val="24"/>
                <w:szCs w:val="24"/>
                <w14:textFill>
                  <w14:solidFill>
                    <w14:schemeClr w14:val="tx1"/>
                  </w14:solidFill>
                </w14:textFill>
              </w:rPr>
              <w:t>mg/L</w:t>
            </w:r>
            <w:r>
              <w:rPr>
                <w:rFonts w:hint="default" w:ascii="Times New Roman" w:hAnsi="Times New Roman" w:eastAsia="宋体" w:cs="Times New Roman"/>
                <w:color w:val="000000" w:themeColor="text1"/>
                <w:sz w:val="24"/>
                <w:szCs w:val="24"/>
                <w:lang w:eastAsia="zh-CN"/>
                <w14:textFill>
                  <w14:solidFill>
                    <w14:schemeClr w14:val="tx1"/>
                  </w14:solidFill>
                </w14:textFill>
              </w:rPr>
              <w:t>、总氮</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46</w:t>
            </w:r>
            <w:r>
              <w:rPr>
                <w:rFonts w:hint="default" w:ascii="Times New Roman" w:hAnsi="Times New Roman" w:eastAsia="宋体" w:cs="Times New Roman"/>
                <w:color w:val="000000" w:themeColor="text1"/>
                <w:sz w:val="24"/>
                <w:szCs w:val="24"/>
                <w14:textFill>
                  <w14:solidFill>
                    <w14:schemeClr w14:val="tx1"/>
                  </w14:solidFill>
                </w14:textFill>
              </w:rPr>
              <w:t>mg/L</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通过对本项目</w:t>
            </w:r>
            <w:r>
              <w:rPr>
                <w:rFonts w:hint="default" w:ascii="Times New Roman" w:hAnsi="Times New Roman" w:eastAsia="宋体" w:cs="Times New Roman"/>
                <w:color w:val="000000" w:themeColor="text1"/>
                <w:sz w:val="24"/>
                <w:szCs w:val="24"/>
                <w:lang w:eastAsia="zh-CN"/>
                <w14:textFill>
                  <w14:solidFill>
                    <w14:schemeClr w14:val="tx1"/>
                  </w14:solidFill>
                </w14:textFill>
              </w:rPr>
              <w:t>出水预测可知</w:t>
            </w:r>
            <w:r>
              <w:rPr>
                <w:rFonts w:hint="default" w:ascii="Times New Roman" w:hAnsi="Times New Roman" w:eastAsia="宋体" w:cs="Times New Roman"/>
                <w:color w:val="000000" w:themeColor="text1"/>
                <w:sz w:val="24"/>
                <w:szCs w:val="24"/>
                <w14:textFill>
                  <w14:solidFill>
                    <w14:schemeClr w14:val="tx1"/>
                  </w14:solidFill>
                </w14:textFill>
              </w:rPr>
              <w:t>，项目废水排放浓度满足污水处理厂接管标准。项目综合废水中主要污染物为：COD、BOD</w:t>
            </w:r>
            <w:r>
              <w:rPr>
                <w:rFonts w:hint="default" w:ascii="Times New Roman" w:hAnsi="Times New Roman" w:eastAsia="宋体" w:cs="Times New Roman"/>
                <w:color w:val="000000" w:themeColor="text1"/>
                <w:sz w:val="24"/>
                <w:szCs w:val="24"/>
                <w:vertAlign w:val="subscript"/>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、SS、NH</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-N等，属于低浓度废水，可生化性较好。</w:t>
            </w:r>
          </w:p>
          <w:p>
            <w:pPr>
              <w:pStyle w:val="2"/>
              <w:keepNext w:val="0"/>
              <w:keepLines w:val="0"/>
              <w:pageBreakBefore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本项目废水中污染物为污水处理厂处理的常规污染物，经化粪池预处理后能达到污水处理厂的进水水质要求，本项目外排废水量占该污水厂设计处理量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极少</w:t>
            </w:r>
            <w:r>
              <w:rPr>
                <w:rFonts w:hint="default" w:ascii="Times New Roman" w:hAnsi="Times New Roman" w:eastAsia="宋体" w:cs="Times New Roman"/>
                <w:color w:val="000000" w:themeColor="text1"/>
                <w:sz w:val="24"/>
                <w:szCs w:val="24"/>
                <w14:textFill>
                  <w14:solidFill>
                    <w14:schemeClr w14:val="tx1"/>
                  </w14:solidFill>
                </w14:textFill>
              </w:rPr>
              <w:t>。在保证项目污水经过预处理后达到污水处理厂进水要求，项目废水进入污水处理厂时对污水处理厂不会造成明显污染负荷。本项目污水经预处理达《污水综合排放标准》(GB8978-1996)表4中三级标准和污水处理厂进水水质要求后经</w:t>
            </w:r>
            <w:r>
              <w:rPr>
                <w:rFonts w:hint="default" w:ascii="Times New Roman" w:hAnsi="Times New Roman" w:eastAsia="宋体" w:cs="Times New Roman"/>
                <w:color w:val="000000" w:themeColor="text1"/>
                <w:sz w:val="24"/>
                <w:szCs w:val="24"/>
                <w:lang w:eastAsia="zh-CN"/>
                <w14:textFill>
                  <w14:solidFill>
                    <w14:schemeClr w14:val="tx1"/>
                  </w14:solidFill>
                </w14:textFill>
              </w:rPr>
              <w:t>污水</w:t>
            </w:r>
            <w:r>
              <w:rPr>
                <w:rFonts w:hint="default" w:ascii="Times New Roman" w:hAnsi="Times New Roman" w:eastAsia="宋体" w:cs="Times New Roman"/>
                <w:color w:val="000000" w:themeColor="text1"/>
                <w:sz w:val="24"/>
                <w:szCs w:val="24"/>
                <w14:textFill>
                  <w14:solidFill>
                    <w14:schemeClr w14:val="tx1"/>
                  </w14:solidFill>
                </w14:textFill>
              </w:rPr>
              <w:t>管网排入污水处理厂，处理达标后排入</w:t>
            </w:r>
            <w:r>
              <w:rPr>
                <w:rFonts w:hint="default" w:ascii="Times New Roman" w:hAnsi="Times New Roman" w:eastAsia="宋体" w:cs="Times New Roman"/>
                <w:color w:val="000000" w:themeColor="text1"/>
                <w:sz w:val="24"/>
                <w:szCs w:val="24"/>
                <w:lang w:eastAsia="zh-CN"/>
                <w14:textFill>
                  <w14:solidFill>
                    <w14:schemeClr w14:val="tx1"/>
                  </w14:solidFill>
                </w14:textFill>
              </w:rPr>
              <w:t>华容</w:t>
            </w:r>
            <w:r>
              <w:rPr>
                <w:rFonts w:hint="default" w:ascii="Times New Roman" w:hAnsi="Times New Roman" w:eastAsia="宋体" w:cs="Times New Roman"/>
                <w:color w:val="000000" w:themeColor="text1"/>
                <w:sz w:val="24"/>
                <w:szCs w:val="24"/>
                <w14:textFill>
                  <w14:solidFill>
                    <w14:schemeClr w14:val="tx1"/>
                  </w14:solidFill>
                </w14:textFill>
              </w:rPr>
              <w:t>河，对地表水环境影响较小。</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color w:val="000000" w:themeColor="text1"/>
                <w:sz w:val="24"/>
                <w:szCs w:val="32"/>
                <w14:textFill>
                  <w14:solidFill>
                    <w14:schemeClr w14:val="tx1"/>
                  </w14:solidFill>
                </w14:textFill>
              </w:rPr>
            </w:pPr>
            <w:r>
              <w:rPr>
                <w:rFonts w:hint="default" w:ascii="Times New Roman" w:hAnsi="Times New Roman" w:eastAsia="宋体" w:cs="Times New Roman"/>
                <w:b/>
                <w:bCs/>
                <w:color w:val="000000" w:themeColor="text1"/>
                <w:sz w:val="24"/>
                <w:szCs w:val="32"/>
                <w:lang w:eastAsia="zh-CN"/>
                <w14:textFill>
                  <w14:solidFill>
                    <w14:schemeClr w14:val="tx1"/>
                  </w14:solidFill>
                </w14:textFill>
              </w:rPr>
              <w:t>（三）</w:t>
            </w:r>
            <w:r>
              <w:rPr>
                <w:rFonts w:hint="default" w:ascii="Times New Roman" w:hAnsi="Times New Roman" w:eastAsia="宋体" w:cs="Times New Roman"/>
                <w:b/>
                <w:bCs/>
                <w:color w:val="000000" w:themeColor="text1"/>
                <w:sz w:val="24"/>
                <w:szCs w:val="32"/>
                <w14:textFill>
                  <w14:solidFill>
                    <w14:schemeClr w14:val="tx1"/>
                  </w14:solidFill>
                </w14:textFill>
              </w:rPr>
              <w:t>噪声</w:t>
            </w:r>
          </w:p>
          <w:p>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32"/>
                <w:lang w:val="en-US" w:eastAsia="zh-CN"/>
                <w14:textFill>
                  <w14:solidFill>
                    <w14:schemeClr w14:val="tx1"/>
                  </w14:solidFill>
                </w14:textFill>
              </w:rPr>
              <w:t>本项目噪声主要是位于车间内的各种生产设备等，噪声源强见表4-11</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0"/>
                <w:lang w:val="en-US" w:eastAsia="zh-CN"/>
                <w14:textFill>
                  <w14:solidFill>
                    <w14:schemeClr w14:val="tx1"/>
                  </w14:solidFill>
                </w14:textFill>
              </w:rPr>
              <w:t>表4-7  项目主要设备噪声产生及治理情况一览表</w:t>
            </w:r>
          </w:p>
          <w:tbl>
            <w:tblPr>
              <w:tblStyle w:val="2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737"/>
              <w:gridCol w:w="819"/>
              <w:gridCol w:w="1305"/>
              <w:gridCol w:w="1465"/>
              <w:gridCol w:w="958"/>
              <w:gridCol w:w="9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3"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109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设备名称</w:t>
                  </w:r>
                </w:p>
              </w:tc>
              <w:tc>
                <w:tcPr>
                  <w:tcW w:w="51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数量</w:t>
                  </w:r>
                </w:p>
              </w:tc>
              <w:tc>
                <w:tcPr>
                  <w:tcW w:w="824"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设备位置</w:t>
                  </w:r>
                </w:p>
              </w:tc>
              <w:tc>
                <w:tcPr>
                  <w:tcW w:w="92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单台噪声级（dB（A））</w:t>
                  </w:r>
                </w:p>
              </w:tc>
              <w:tc>
                <w:tcPr>
                  <w:tcW w:w="60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降噪措施</w:t>
                  </w:r>
                </w:p>
              </w:tc>
              <w:tc>
                <w:tcPr>
                  <w:tcW w:w="60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持续时间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3"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9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链式粉碎机</w:t>
                  </w:r>
                </w:p>
              </w:tc>
              <w:tc>
                <w:tcPr>
                  <w:tcW w:w="51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824"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w:t>
                  </w:r>
                </w:p>
              </w:tc>
              <w:tc>
                <w:tcPr>
                  <w:tcW w:w="92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75-80</w:t>
                  </w:r>
                </w:p>
              </w:tc>
              <w:tc>
                <w:tcPr>
                  <w:tcW w:w="605" w:type="pct"/>
                  <w:vMerge w:val="restar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选用低噪设备，</w:t>
                  </w:r>
                  <w:r>
                    <w:rPr>
                      <w:rFonts w:hint="default" w:ascii="Times New Roman" w:hAnsi="Times New Roman" w:eastAsia="宋体" w:cs="Times New Roman"/>
                      <w:b w:val="0"/>
                      <w:bCs/>
                      <w:color w:val="000000" w:themeColor="text1"/>
                      <w:sz w:val="21"/>
                      <w:szCs w:val="21"/>
                      <w14:textFill>
                        <w14:solidFill>
                          <w14:schemeClr w14:val="tx1"/>
                        </w14:solidFill>
                      </w14:textFill>
                    </w:rPr>
                    <w:t>设备基础安装减振垫，厂房隔声</w:t>
                  </w: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安装减振垫，消声器等</w:t>
                  </w:r>
                </w:p>
              </w:tc>
              <w:tc>
                <w:tcPr>
                  <w:tcW w:w="605" w:type="pct"/>
                  <w:vMerge w:val="restar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eastAsia="zh-CN"/>
                      <w14:textFill>
                        <w14:solidFill>
                          <w14:schemeClr w14:val="tx1"/>
                        </w14:solidFill>
                      </w14:textFill>
                    </w:rPr>
                    <w:t>连续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3"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09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圆盘搅拌机</w:t>
                  </w:r>
                </w:p>
              </w:tc>
              <w:tc>
                <w:tcPr>
                  <w:tcW w:w="51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824"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w:t>
                  </w:r>
                </w:p>
              </w:tc>
              <w:tc>
                <w:tcPr>
                  <w:tcW w:w="92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85-90</w:t>
                  </w: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3"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09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圆盘喂料机</w:t>
                  </w:r>
                </w:p>
              </w:tc>
              <w:tc>
                <w:tcPr>
                  <w:tcW w:w="51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824"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w:t>
                  </w:r>
                </w:p>
              </w:tc>
              <w:tc>
                <w:tcPr>
                  <w:tcW w:w="92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80-85</w:t>
                  </w: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3"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09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挤压造粒机</w:t>
                  </w:r>
                </w:p>
              </w:tc>
              <w:tc>
                <w:tcPr>
                  <w:tcW w:w="51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824"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w:t>
                  </w:r>
                </w:p>
              </w:tc>
              <w:tc>
                <w:tcPr>
                  <w:tcW w:w="92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85-90</w:t>
                  </w: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423"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09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筛分机</w:t>
                  </w:r>
                </w:p>
              </w:tc>
              <w:tc>
                <w:tcPr>
                  <w:tcW w:w="51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824"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w:t>
                  </w:r>
                </w:p>
              </w:tc>
              <w:tc>
                <w:tcPr>
                  <w:tcW w:w="92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80-85</w:t>
                  </w: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3"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09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皮带机</w:t>
                  </w:r>
                </w:p>
              </w:tc>
              <w:tc>
                <w:tcPr>
                  <w:tcW w:w="517"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824" w:type="pct"/>
                  <w:tcBorders>
                    <w:tl2br w:val="nil"/>
                    <w:tr2bl w:val="nil"/>
                  </w:tcBorders>
                  <w:noWrap w:val="0"/>
                  <w:vAlign w:val="center"/>
                </w:tcPr>
                <w:p>
                  <w:p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生产区</w:t>
                  </w:r>
                </w:p>
              </w:tc>
              <w:tc>
                <w:tcPr>
                  <w:tcW w:w="925" w:type="pct"/>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90-95</w:t>
                  </w: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c>
                <w:tcPr>
                  <w:tcW w:w="605" w:type="pct"/>
                  <w:vMerge w:val="continue"/>
                  <w:tcBorders>
                    <w:tl2br w:val="nil"/>
                    <w:tr2bl w:val="nil"/>
                  </w:tcBorders>
                  <w:noWrap w:val="0"/>
                  <w:vAlign w:val="center"/>
                </w:tcPr>
                <w:p>
                  <w:pPr>
                    <w:pStyle w:val="21"/>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营运期噪声污染主要为机械设备运作产生的机械噪声，其噪声级约为75～90dB(A)。</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噪声防治措施：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项目建设中应当进一步优化平面布局，尽量将生产区布置在厂区中部，减小对外环境的噪声影响；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采用适当的隔声设备如隔振垫、隔声屏障等；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加强设备润滑维修，对厂区内的各种机械设备运行噪声采取相应的消声、隔声、减振等防护措施；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对噪声相对较大的设备应加装隔声措施，还应加强减振降噪措施，如在主要设备基础上加装橡胶减振垫、减振器等；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加强噪声设备的维护管理，避免因不正常运行所导致的噪声增大；</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lang w:val="en-US" w:eastAsia="zh-CN"/>
              </w:rPr>
              <w:t>6、</w:t>
            </w:r>
            <w:r>
              <w:rPr>
                <w:rFonts w:hint="default" w:ascii="Times New Roman" w:hAnsi="Times New Roman" w:eastAsia="宋体" w:cs="Times New Roman"/>
                <w:color w:val="auto"/>
                <w:sz w:val="24"/>
                <w:szCs w:val="24"/>
                <w:u w:val="none"/>
                <w:lang w:eastAsia="zh-CN"/>
              </w:rPr>
              <w:t>采用吸声技术。对于主要产生噪声的车间顶部和四周墙面上装饰吸声材料，如多孔材料、柔性材料、膜状与板状材料。另外，可在空间悬挂适当的吸声体，以吸收车间内的一部分反射声。</w:t>
            </w:r>
          </w:p>
          <w:p>
            <w:pPr>
              <w:pStyle w:val="7"/>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sz w:val="24"/>
                <w:szCs w:val="24"/>
                <w:u w:val="none"/>
                <w:lang w:val="en-US" w:eastAsia="zh-CN"/>
              </w:rPr>
            </w:pPr>
            <w:r>
              <w:rPr>
                <w:rFonts w:hint="default" w:ascii="Times New Roman" w:hAnsi="Times New Roman" w:eastAsia="宋体" w:cs="Times New Roman"/>
                <w:color w:val="auto"/>
                <w:sz w:val="24"/>
                <w:szCs w:val="24"/>
                <w:u w:val="none"/>
                <w:lang w:val="en-US" w:eastAsia="zh-CN"/>
              </w:rPr>
              <w:t>7、设备采购时优选低噪声设备，从源头上降低噪声对环境的影响。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本项目主要噪声源分布在室内，项目拟通过建筑隔声、在设备基础安装等减振措施、等措施降低噪声，同时加强设备的保养和维修，避免因不正常运行所导致的噪声增大等措施控制项目运营噪声。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根据《环境影响评价技术导则声环境》（HJ2.4-2009）的技术要求，本项目可选择点声源预测模式，来模拟预测本建设项目主要声源排放噪声随距离的衰减变化规律。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对室外噪声源主要考虑噪声的几何发散衰减及环境因素衰减：</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-20lg(r</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)-ΔL</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——点声源在预测点产生的声压级，dB(A)；</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——点声源在参考点产生的声压级，dB(A)；</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——预测点距声源的距离，m；</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1</w:t>
            </w:r>
            <w:r>
              <w:rPr>
                <w:rFonts w:hint="default" w:ascii="Times New Roman" w:hAnsi="Times New Roman" w:eastAsia="宋体" w:cs="Times New Roman"/>
                <w:color w:val="auto"/>
                <w:sz w:val="24"/>
                <w:szCs w:val="24"/>
              </w:rPr>
              <w:t>——参考点距声源的距离，m；</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ΔL——各种因素引起的衰减量（包括声屏障、空气吸收等引起的衰减量），dB(A)。</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对室内噪声源采用室内声源噪声模式并换算成等效的室外声源：</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1657350" cy="523875"/>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657350" cy="5238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default" w:ascii="Times New Roman" w:hAnsi="Times New Roman" w:eastAsia="宋体" w:cs="Times New Roman"/>
                <w:i/>
                <w:color w:val="auto"/>
                <w:sz w:val="24"/>
                <w:szCs w:val="24"/>
              </w:rPr>
            </w:pPr>
            <w:r>
              <w:rPr>
                <w:rFonts w:hint="default" w:ascii="Times New Roman" w:hAnsi="Times New Roman" w:eastAsia="宋体" w:cs="Times New Roman"/>
                <w:i/>
                <w:color w:val="auto"/>
                <w:spacing w:val="-4"/>
                <w:position w:val="-14"/>
                <w:sz w:val="24"/>
                <w:szCs w:val="24"/>
              </w:rPr>
              <w:object>
                <v:shape id="_x0000_i1028" o:spt="75" type="#_x0000_t75" style="height:19pt;width:132.95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式</w:t>
            </w:r>
            <w:r>
              <w:rPr>
                <w:rFonts w:hint="default" w:ascii="Times New Roman" w:hAnsi="Times New Roman" w:eastAsia="宋体" w:cs="Times New Roman"/>
                <w:color w:val="auto"/>
                <w:sz w:val="24"/>
                <w:szCs w:val="24"/>
              </w:rPr>
              <w:t>中：Ln——室内靠近围护结构处产生的声压级，dB；</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Lw——室外靠近围护结构处产生的声压级，dB；</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Le——声源的声压</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dB；</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r——声源与室内靠近围护结构处的距离，m；</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R——房间常数，</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Q——方向性因子；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TL——围护结构的传输损失，dB；</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S——透声面积，</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对两个以上多个声源同时存在时，其预测点总声压级采用下面公式：</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Leq=10log(Σ10</w:t>
            </w:r>
            <w:r>
              <w:rPr>
                <w:rFonts w:hint="default" w:ascii="Times New Roman" w:hAnsi="Times New Roman" w:eastAsia="宋体" w:cs="Times New Roman"/>
                <w:color w:val="auto"/>
                <w:position w:val="8"/>
                <w:sz w:val="24"/>
                <w:szCs w:val="24"/>
                <w:vertAlign w:val="superscript"/>
              </w:rPr>
              <w:t>0.1Li</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式中：Leq预测点的总等效声级，dB(A)；</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Li第i个声源对预测点的声级影响，dB(A)。</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根据项目平面布局，综合考虑距离衰减、地面吸收、空气吸收以及厂房墙体的阻隔，利用上述噪声预测公式，可预测出项目厂界的噪声级及敏感点的影响。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其预测结果见下表。</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cs="Times New Roman"/>
                <w:b/>
                <w:bCs/>
                <w:color w:val="auto"/>
                <w:sz w:val="21"/>
                <w:szCs w:val="21"/>
                <w:lang w:val="en-US" w:eastAsia="zh-CN"/>
              </w:rPr>
              <w:t>4-8</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拟建项目厂界噪声预测值一览表单位：dB(A)</w:t>
            </w:r>
          </w:p>
          <w:tbl>
            <w:tblPr>
              <w:tblStyle w:val="2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1368"/>
              <w:gridCol w:w="2007"/>
              <w:gridCol w:w="1911"/>
              <w:gridCol w:w="11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16" w:type="pct"/>
                  <w:vMerge w:val="restar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噪声源强</w:t>
                  </w:r>
                </w:p>
              </w:tc>
              <w:tc>
                <w:tcPr>
                  <w:tcW w:w="864" w:type="pct"/>
                  <w:vMerge w:val="restar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点位</w:t>
                  </w:r>
                </w:p>
              </w:tc>
              <w:tc>
                <w:tcPr>
                  <w:tcW w:w="1268"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厂界噪声贡献值</w:t>
                  </w:r>
                </w:p>
              </w:tc>
              <w:tc>
                <w:tcPr>
                  <w:tcW w:w="1207" w:type="pct"/>
                  <w:vMerge w:val="restar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噪声标准限值</w:t>
                  </w:r>
                </w:p>
              </w:tc>
              <w:tc>
                <w:tcPr>
                  <w:tcW w:w="743" w:type="pct"/>
                  <w:vMerge w:val="restar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是否达标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16"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864"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126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昼间</w:t>
                  </w:r>
                </w:p>
              </w:tc>
              <w:tc>
                <w:tcPr>
                  <w:tcW w:w="1207" w:type="pct"/>
                  <w:vMerge w:val="continue"/>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743" w:type="pct"/>
                  <w:vMerge w:val="continue"/>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16" w:type="pct"/>
                  <w:vMerge w:val="restar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80</w:t>
                  </w:r>
                </w:p>
              </w:tc>
              <w:tc>
                <w:tcPr>
                  <w:tcW w:w="864"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r>
                    <w:rPr>
                      <w:rFonts w:hint="eastAsia" w:ascii="Times New Roman" w:hAnsi="Times New Roman" w:cs="Times New Roman"/>
                      <w:color w:val="auto"/>
                      <w:sz w:val="21"/>
                      <w:szCs w:val="21"/>
                      <w:u w:val="none"/>
                      <w:lang w:eastAsia="zh-CN"/>
                    </w:rPr>
                    <w:t>厂房</w:t>
                  </w:r>
                  <w:r>
                    <w:rPr>
                      <w:rFonts w:hint="default" w:ascii="Times New Roman" w:hAnsi="Times New Roman" w:eastAsia="宋体" w:cs="Times New Roman"/>
                      <w:color w:val="auto"/>
                      <w:sz w:val="21"/>
                      <w:szCs w:val="21"/>
                      <w:u w:val="none"/>
                    </w:rPr>
                    <w:t>东厂界</w:t>
                  </w:r>
                </w:p>
              </w:tc>
              <w:tc>
                <w:tcPr>
                  <w:tcW w:w="126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5</w:t>
                  </w:r>
                  <w:r>
                    <w:rPr>
                      <w:rFonts w:hint="default" w:ascii="Times New Roman" w:hAnsi="Times New Roman" w:cs="Times New Roman"/>
                      <w:color w:val="auto"/>
                      <w:sz w:val="21"/>
                      <w:szCs w:val="21"/>
                      <w:u w:val="none"/>
                      <w:lang w:val="en-US" w:eastAsia="zh-CN"/>
                    </w:rPr>
                    <w:t>2</w:t>
                  </w:r>
                  <w:r>
                    <w:rPr>
                      <w:rFonts w:hint="default" w:ascii="Times New Roman" w:hAnsi="Times New Roman" w:cs="Times New Roman"/>
                      <w:color w:val="auto"/>
                      <w:sz w:val="21"/>
                      <w:szCs w:val="21"/>
                      <w:u w:val="none"/>
                    </w:rPr>
                    <w:t>.98</w:t>
                  </w:r>
                </w:p>
              </w:tc>
              <w:tc>
                <w:tcPr>
                  <w:tcW w:w="1207" w:type="pct"/>
                  <w:vMerge w:val="restar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昼间≤65</w:t>
                  </w:r>
                </w:p>
              </w:tc>
              <w:tc>
                <w:tcPr>
                  <w:tcW w:w="743"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15" w:hRule="atLeast"/>
              </w:trPr>
              <w:tc>
                <w:tcPr>
                  <w:tcW w:w="916"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864"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r>
                    <w:rPr>
                      <w:rFonts w:hint="eastAsia" w:ascii="Times New Roman" w:hAnsi="Times New Roman" w:cs="Times New Roman"/>
                      <w:color w:val="auto"/>
                      <w:sz w:val="21"/>
                      <w:szCs w:val="21"/>
                      <w:u w:val="none"/>
                      <w:lang w:eastAsia="zh-CN"/>
                    </w:rPr>
                    <w:t>厂房</w:t>
                  </w:r>
                  <w:r>
                    <w:rPr>
                      <w:rFonts w:hint="default" w:ascii="Times New Roman" w:hAnsi="Times New Roman" w:eastAsia="宋体" w:cs="Times New Roman"/>
                      <w:color w:val="auto"/>
                      <w:sz w:val="21"/>
                      <w:szCs w:val="21"/>
                      <w:u w:val="none"/>
                    </w:rPr>
                    <w:t>西厂界</w:t>
                  </w:r>
                </w:p>
              </w:tc>
              <w:tc>
                <w:tcPr>
                  <w:tcW w:w="126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54</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27</w:t>
                  </w:r>
                </w:p>
              </w:tc>
              <w:tc>
                <w:tcPr>
                  <w:tcW w:w="1207" w:type="pct"/>
                  <w:vMerge w:val="continue"/>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743"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16" w:hRule="atLeast"/>
              </w:trPr>
              <w:tc>
                <w:tcPr>
                  <w:tcW w:w="916"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864"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r>
                    <w:rPr>
                      <w:rFonts w:hint="eastAsia" w:ascii="Times New Roman" w:hAnsi="Times New Roman" w:cs="Times New Roman"/>
                      <w:color w:val="auto"/>
                      <w:sz w:val="21"/>
                      <w:szCs w:val="21"/>
                      <w:u w:val="none"/>
                      <w:lang w:eastAsia="zh-CN"/>
                    </w:rPr>
                    <w:t>厂房</w:t>
                  </w:r>
                  <w:r>
                    <w:rPr>
                      <w:rFonts w:hint="default" w:ascii="Times New Roman" w:hAnsi="Times New Roman" w:eastAsia="宋体" w:cs="Times New Roman"/>
                      <w:color w:val="auto"/>
                      <w:sz w:val="21"/>
                      <w:szCs w:val="21"/>
                      <w:u w:val="none"/>
                    </w:rPr>
                    <w:t>南厂界</w:t>
                  </w:r>
                </w:p>
              </w:tc>
              <w:tc>
                <w:tcPr>
                  <w:tcW w:w="126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5</w:t>
                  </w:r>
                  <w:r>
                    <w:rPr>
                      <w:rFonts w:hint="default" w:ascii="Times New Roman" w:hAnsi="Times New Roman"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8</w:t>
                  </w:r>
                </w:p>
              </w:tc>
              <w:tc>
                <w:tcPr>
                  <w:tcW w:w="1207" w:type="pct"/>
                  <w:vMerge w:val="continue"/>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743"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16"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864"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r>
                    <w:rPr>
                      <w:rFonts w:hint="eastAsia" w:ascii="Times New Roman" w:hAnsi="Times New Roman" w:cs="Times New Roman"/>
                      <w:color w:val="auto"/>
                      <w:sz w:val="21"/>
                      <w:szCs w:val="21"/>
                      <w:u w:val="none"/>
                      <w:lang w:eastAsia="zh-CN"/>
                    </w:rPr>
                    <w:t>厂房</w:t>
                  </w:r>
                  <w:r>
                    <w:rPr>
                      <w:rFonts w:hint="default" w:ascii="Times New Roman" w:hAnsi="Times New Roman" w:eastAsia="宋体" w:cs="Times New Roman"/>
                      <w:color w:val="auto"/>
                      <w:sz w:val="21"/>
                      <w:szCs w:val="21"/>
                      <w:u w:val="none"/>
                    </w:rPr>
                    <w:t>北厂界</w:t>
                  </w:r>
                </w:p>
              </w:tc>
              <w:tc>
                <w:tcPr>
                  <w:tcW w:w="126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53</w:t>
                  </w:r>
                  <w:r>
                    <w:rPr>
                      <w:rFonts w:hint="default" w:ascii="Times New Roman" w:hAnsi="Times New Roman" w:cs="Times New Roman"/>
                      <w:color w:val="auto"/>
                      <w:sz w:val="21"/>
                      <w:szCs w:val="21"/>
                      <w:u w:val="none"/>
                    </w:rPr>
                    <w:t>.06</w:t>
                  </w:r>
                </w:p>
              </w:tc>
              <w:tc>
                <w:tcPr>
                  <w:tcW w:w="1207" w:type="pct"/>
                  <w:vMerge w:val="continue"/>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none"/>
                    </w:rPr>
                  </w:pPr>
                </w:p>
              </w:tc>
              <w:tc>
                <w:tcPr>
                  <w:tcW w:w="743"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5" w:hRule="atLeast"/>
              </w:trPr>
              <w:tc>
                <w:tcPr>
                  <w:tcW w:w="916"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single"/>
                    </w:rPr>
                  </w:pPr>
                </w:p>
              </w:tc>
              <w:tc>
                <w:tcPr>
                  <w:tcW w:w="864"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eastAsia="zh-CN"/>
                    </w:rPr>
                    <w:t>厂房敏感点</w:t>
                  </w:r>
                </w:p>
              </w:tc>
              <w:tc>
                <w:tcPr>
                  <w:tcW w:w="126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cs="Times New Roman"/>
                      <w:color w:val="auto"/>
                      <w:sz w:val="21"/>
                      <w:szCs w:val="21"/>
                      <w:u w:val="single"/>
                      <w:lang w:val="en-US" w:eastAsia="zh-CN"/>
                    </w:rPr>
                  </w:pPr>
                  <w:r>
                    <w:rPr>
                      <w:rFonts w:hint="eastAsia" w:cs="Times New Roman"/>
                      <w:color w:val="auto"/>
                      <w:sz w:val="21"/>
                      <w:szCs w:val="21"/>
                      <w:u w:val="none"/>
                      <w:lang w:val="en-US" w:eastAsia="zh-CN"/>
                    </w:rPr>
                    <w:t>50.02（背景值+贡献值）</w:t>
                  </w:r>
                </w:p>
              </w:tc>
              <w:tc>
                <w:tcPr>
                  <w:tcW w:w="1207" w:type="pct"/>
                  <w:tcBorders>
                    <w:tl2br w:val="nil"/>
                    <w:tr2bl w:val="nil"/>
                  </w:tcBorders>
                  <w:vAlign w:val="center"/>
                </w:tcPr>
                <w:p>
                  <w:pPr>
                    <w:pStyle w:val="5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none"/>
                      <w:lang w:eastAsia="zh-CN"/>
                    </w:rPr>
                    <w:t>昼间</w:t>
                  </w:r>
                  <w:r>
                    <w:rPr>
                      <w:rFonts w:hint="default" w:ascii="Times New Roman" w:hAnsi="Times New Roman" w:cs="Times New Roman"/>
                      <w:color w:val="auto"/>
                      <w:sz w:val="21"/>
                      <w:szCs w:val="21"/>
                      <w:u w:val="none"/>
                      <w:lang w:val="en-US" w:eastAsia="zh-CN"/>
                    </w:rPr>
                    <w:t>≤6</w:t>
                  </w:r>
                  <w:r>
                    <w:rPr>
                      <w:rFonts w:hint="eastAsia" w:ascii="Times New Roman" w:hAnsi="Times New Roman" w:cs="Times New Roman"/>
                      <w:color w:val="auto"/>
                      <w:sz w:val="21"/>
                      <w:szCs w:val="21"/>
                      <w:u w:val="none"/>
                      <w:lang w:val="en-US" w:eastAsia="zh-CN"/>
                    </w:rPr>
                    <w:t>0</w:t>
                  </w:r>
                </w:p>
              </w:tc>
              <w:tc>
                <w:tcPr>
                  <w:tcW w:w="7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rightChars="0"/>
                    <w:jc w:val="center"/>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none"/>
                      <w:lang w:val="en-US" w:eastAsia="zh-CN"/>
                    </w:rPr>
                    <w:t>是</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上表的预测结果可知，建设项目正常营运时，在采取隔声、减震等措施处理后，噪声贡献值较小，厂界噪声满足《工业企业厂界环境噪声排放标准》（GB12348-2008）3类标准要求</w:t>
            </w:r>
            <w:r>
              <w:rPr>
                <w:rFonts w:hint="eastAsia" w:cs="Times New Roman"/>
                <w:color w:val="auto"/>
                <w:sz w:val="24"/>
                <w:szCs w:val="24"/>
                <w:lang w:eastAsia="zh-CN"/>
              </w:rPr>
              <w:t>，敏感点噪声满足</w:t>
            </w:r>
            <w:r>
              <w:rPr>
                <w:rFonts w:hint="default" w:ascii="Times New Roman" w:hAnsi="Times New Roman" w:cs="Times New Roman"/>
                <w:color w:val="auto"/>
                <w:sz w:val="24"/>
                <w:szCs w:val="24"/>
              </w:rPr>
              <w:t>《工业企业厂界环境噪声排放标准》（GB12348-2008）</w:t>
            </w:r>
            <w:r>
              <w:rPr>
                <w:rFonts w:hint="eastAsia" w:cs="Times New Roman"/>
                <w:color w:val="auto"/>
                <w:sz w:val="24"/>
                <w:szCs w:val="24"/>
                <w:lang w:val="en-US" w:eastAsia="zh-CN"/>
              </w:rPr>
              <w:t>2</w:t>
            </w:r>
            <w:r>
              <w:rPr>
                <w:rFonts w:hint="default" w:ascii="Times New Roman" w:hAnsi="Times New Roman" w:cs="Times New Roman"/>
                <w:color w:val="auto"/>
                <w:sz w:val="24"/>
                <w:szCs w:val="24"/>
              </w:rPr>
              <w:t>类标准要求。</w:t>
            </w:r>
          </w:p>
          <w:p>
            <w:pPr>
              <w:pStyle w:val="7"/>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eastAsia"/>
                <w:sz w:val="24"/>
                <w:szCs w:val="24"/>
                <w:lang w:val="en-US" w:eastAsia="zh-CN"/>
              </w:rPr>
            </w:pPr>
            <w:r>
              <w:rPr>
                <w:rFonts w:hint="default" w:ascii="Times New Roman" w:hAnsi="Times New Roman" w:cs="Times New Roman"/>
                <w:color w:val="auto"/>
                <w:sz w:val="24"/>
                <w:szCs w:val="24"/>
              </w:rPr>
              <w:t>通过采取上述各项减振、隔声等综合治理措施，可以满足噪声防治的需要，使厂界噪声可满足《工业企业厂界环境噪声排放标准》（GB12348-2008）中的3类标准要求</w:t>
            </w:r>
            <w:r>
              <w:rPr>
                <w:rFonts w:hint="eastAsia" w:ascii="Times New Roman" w:cs="Times New Roman"/>
                <w:color w:val="auto"/>
                <w:sz w:val="24"/>
                <w:szCs w:val="24"/>
                <w:lang w:eastAsia="zh-CN"/>
              </w:rPr>
              <w:t>；敏感点可满足</w:t>
            </w:r>
            <w:r>
              <w:rPr>
                <w:rFonts w:hint="default" w:ascii="Times New Roman" w:hAnsi="Times New Roman" w:cs="Times New Roman"/>
                <w:color w:val="auto"/>
                <w:sz w:val="24"/>
                <w:szCs w:val="24"/>
              </w:rPr>
              <w:t>《工业企业厂界环境噪声排放标准》（GB12348-2008）中的</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类标准</w:t>
            </w:r>
            <w:r>
              <w:rPr>
                <w:rFonts w:hint="eastAsia" w:ascii="Times New Roman" w:hAnsi="Times New Roman" w:cs="Times New Roman"/>
                <w:color w:val="auto"/>
                <w:sz w:val="24"/>
                <w:szCs w:val="24"/>
                <w:lang w:eastAsia="zh-CN"/>
              </w:rPr>
              <w:t>要求</w:t>
            </w:r>
            <w:r>
              <w:rPr>
                <w:rFonts w:hint="default" w:ascii="Times New Roman" w:hAnsi="Times New Roman" w:cs="Times New Roman"/>
                <w:color w:val="auto"/>
                <w:sz w:val="24"/>
                <w:szCs w:val="24"/>
              </w:rPr>
              <w:t>，因此，项目采取的噪声防治措施在技术上是可行的。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default" w:ascii="Times New Roman" w:hAnsi="Times New Roman" w:cs="Times New Roman"/>
                <w:b/>
                <w:bCs/>
                <w:sz w:val="24"/>
                <w:szCs w:val="24"/>
              </w:rPr>
            </w:pPr>
            <w:r>
              <w:rPr>
                <w:rFonts w:hint="eastAsia" w:cs="Times New Roman"/>
                <w:b/>
                <w:bCs/>
                <w:sz w:val="24"/>
                <w:szCs w:val="24"/>
                <w:lang w:eastAsia="zh-CN"/>
              </w:rPr>
              <w:t>（四）</w:t>
            </w:r>
            <w:r>
              <w:rPr>
                <w:rFonts w:hint="default" w:ascii="Times New Roman" w:hAnsi="Times New Roman" w:cs="Times New Roman"/>
                <w:b/>
                <w:bCs/>
                <w:sz w:val="24"/>
                <w:szCs w:val="24"/>
              </w:rPr>
              <w:t>固体废物</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本项目产生的固体废物主要是员工生活垃圾</w:t>
            </w:r>
            <w:r>
              <w:rPr>
                <w:rFonts w:hint="default" w:ascii="Times New Roman" w:hAnsi="Times New Roman" w:eastAsia="宋体" w:cs="Times New Roman"/>
                <w:b w:val="0"/>
                <w:bCs/>
                <w:color w:val="auto"/>
                <w:sz w:val="24"/>
                <w:szCs w:val="24"/>
                <w:lang w:eastAsia="zh-CN"/>
              </w:rPr>
              <w:t>、废包装材料</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eastAsia="zh-CN"/>
              </w:rPr>
              <w:t>）生活垃圾</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本项目员工人数为</w:t>
            </w:r>
            <w:r>
              <w:rPr>
                <w:rFonts w:hint="default" w:ascii="Times New Roman" w:hAnsi="Times New Roman" w:cs="Times New Roman"/>
                <w:sz w:val="24"/>
                <w:szCs w:val="24"/>
                <w:lang w:val="en-US" w:eastAsia="zh-CN"/>
              </w:rPr>
              <w:t>15</w:t>
            </w:r>
            <w:r>
              <w:rPr>
                <w:rFonts w:hint="default" w:ascii="Times New Roman" w:hAnsi="Times New Roman" w:cs="Times New Roman"/>
                <w:sz w:val="24"/>
                <w:szCs w:val="24"/>
              </w:rPr>
              <w:t>人，员工生活垃圾产生量按0.5kg/人</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d</w:t>
            </w:r>
            <w:r>
              <w:rPr>
                <w:rFonts w:hint="default" w:ascii="Times New Roman" w:hAnsi="Times New Roman" w:cs="Times New Roman"/>
                <w:sz w:val="24"/>
                <w:szCs w:val="24"/>
                <w:lang w:eastAsia="zh-CN"/>
              </w:rPr>
              <w:t>，</w:t>
            </w:r>
            <w:r>
              <w:rPr>
                <w:rFonts w:hint="default" w:ascii="Times New Roman" w:hAnsi="Times New Roman" w:cs="Times New Roman"/>
                <w:sz w:val="24"/>
                <w:szCs w:val="24"/>
              </w:rPr>
              <w:t>按年</w:t>
            </w:r>
            <w:r>
              <w:rPr>
                <w:rFonts w:hint="default" w:ascii="Times New Roman" w:hAnsi="Times New Roman" w:cs="Times New Roman"/>
                <w:sz w:val="24"/>
                <w:szCs w:val="24"/>
                <w:lang w:val="en-US" w:eastAsia="zh-CN"/>
              </w:rPr>
              <w:t>300</w:t>
            </w:r>
            <w:r>
              <w:rPr>
                <w:rFonts w:hint="default" w:ascii="Times New Roman" w:hAnsi="Times New Roman" w:cs="Times New Roman"/>
                <w:sz w:val="24"/>
                <w:szCs w:val="24"/>
              </w:rPr>
              <w:t>天计算，则产生的生活垃圾量为</w:t>
            </w:r>
            <w:r>
              <w:rPr>
                <w:rFonts w:hint="default" w:ascii="Times New Roman" w:hAnsi="Times New Roman" w:cs="Times New Roman"/>
                <w:sz w:val="24"/>
                <w:szCs w:val="24"/>
                <w:lang w:val="en-US" w:eastAsia="zh-CN"/>
              </w:rPr>
              <w:t>7.5</w:t>
            </w:r>
            <w:r>
              <w:rPr>
                <w:rFonts w:hint="default" w:ascii="Times New Roman" w:hAnsi="Times New Roman" w:cs="Times New Roman"/>
                <w:sz w:val="24"/>
                <w:szCs w:val="24"/>
              </w:rPr>
              <w:t>kg/d</w:t>
            </w:r>
            <w:r>
              <w:rPr>
                <w:rFonts w:hint="default" w:ascii="Times New Roman" w:hAnsi="Times New Roman" w:cs="Times New Roman"/>
                <w:sz w:val="24"/>
                <w:szCs w:val="24"/>
                <w:lang w:eastAsia="zh-CN"/>
              </w:rPr>
              <w:t>，</w:t>
            </w:r>
            <w:r>
              <w:rPr>
                <w:rFonts w:hint="default" w:ascii="Times New Roman" w:hAnsi="Times New Roman" w:cs="Times New Roman"/>
                <w:sz w:val="24"/>
                <w:szCs w:val="24"/>
              </w:rPr>
              <w:t>即</w:t>
            </w:r>
            <w:r>
              <w:rPr>
                <w:rFonts w:hint="default" w:ascii="Times New Roman" w:hAnsi="Times New Roman" w:cs="Times New Roman"/>
                <w:sz w:val="24"/>
                <w:szCs w:val="24"/>
                <w:lang w:val="en-US" w:eastAsia="zh-CN"/>
              </w:rPr>
              <w:t>2.25</w:t>
            </w:r>
            <w:r>
              <w:rPr>
                <w:rFonts w:hint="default" w:ascii="Times New Roman" w:hAnsi="Times New Roman" w:cs="Times New Roman"/>
                <w:sz w:val="24"/>
                <w:szCs w:val="24"/>
              </w:rPr>
              <w:t>t/a。建设单位分类收集后，定期交当地环卫部门统一清运处理。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cs="Times New Roman"/>
                <w:sz w:val="24"/>
                <w:szCs w:val="24"/>
                <w:lang w:val="en-US" w:eastAsia="zh-CN"/>
              </w:rPr>
              <w:t>2</w:t>
            </w:r>
            <w:r>
              <w:rPr>
                <w:rFonts w:hint="default" w:ascii="Times New Roman" w:hAnsi="Times New Roman" w:cs="Times New Roman"/>
                <w:sz w:val="24"/>
                <w:szCs w:val="24"/>
                <w:lang w:val="en-US" w:eastAsia="zh-CN"/>
              </w:rPr>
              <w:t>）废包装料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sz w:val="24"/>
                <w:szCs w:val="24"/>
                <w:lang w:eastAsia="zh-CN"/>
              </w:rPr>
            </w:pPr>
            <w:r>
              <w:rPr>
                <w:rFonts w:hint="default" w:ascii="Times New Roman" w:hAnsi="Times New Roman" w:eastAsia="宋体" w:cs="Times New Roman"/>
                <w:sz w:val="24"/>
                <w:szCs w:val="24"/>
              </w:rPr>
              <w:t>本项目营运期废原料包装材料的产生量为2t/a,统一收集，由原料厂家回收处理。</w:t>
            </w:r>
          </w:p>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b/>
                <w:bCs/>
                <w:sz w:val="21"/>
                <w:szCs w:val="20"/>
                <w:lang w:val="en-US" w:eastAsia="zh-CN"/>
              </w:rPr>
              <w:t>表</w:t>
            </w:r>
            <w:r>
              <w:rPr>
                <w:rFonts w:hint="eastAsia" w:cs="Times New Roman"/>
                <w:b/>
                <w:bCs/>
                <w:sz w:val="21"/>
                <w:szCs w:val="20"/>
                <w:lang w:val="en-US" w:eastAsia="zh-CN"/>
              </w:rPr>
              <w:t>4-9</w:t>
            </w:r>
            <w:r>
              <w:rPr>
                <w:rFonts w:hint="default" w:ascii="Times New Roman" w:hAnsi="Times New Roman" w:cs="Times New Roman"/>
                <w:b/>
                <w:bCs/>
                <w:sz w:val="21"/>
                <w:szCs w:val="20"/>
                <w:lang w:val="en-US" w:eastAsia="zh-CN"/>
              </w:rPr>
              <w:t xml:space="preserve">  固体废物产生情况一览表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21"/>
              <w:gridCol w:w="1221"/>
              <w:gridCol w:w="747"/>
              <w:gridCol w:w="1739"/>
              <w:gridCol w:w="2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26"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属性</w:t>
                  </w:r>
                </w:p>
              </w:tc>
              <w:tc>
                <w:tcPr>
                  <w:tcW w:w="12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产生环节</w:t>
                  </w:r>
                </w:p>
              </w:tc>
              <w:tc>
                <w:tcPr>
                  <w:tcW w:w="12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类别</w:t>
                  </w:r>
                </w:p>
              </w:tc>
              <w:tc>
                <w:tcPr>
                  <w:tcW w:w="74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产生量（t/a）</w:t>
                  </w:r>
                </w:p>
              </w:tc>
              <w:tc>
                <w:tcPr>
                  <w:tcW w:w="173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危险性</w:t>
                  </w:r>
                </w:p>
              </w:tc>
              <w:tc>
                <w:tcPr>
                  <w:tcW w:w="2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处理方式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一般固废</w:t>
                  </w:r>
                </w:p>
              </w:tc>
              <w:tc>
                <w:tcPr>
                  <w:tcW w:w="12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职工生活</w:t>
                  </w:r>
                </w:p>
              </w:tc>
              <w:tc>
                <w:tcPr>
                  <w:tcW w:w="12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生活垃圾</w:t>
                  </w:r>
                </w:p>
              </w:tc>
              <w:tc>
                <w:tcPr>
                  <w:tcW w:w="74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2.25</w:t>
                  </w:r>
                </w:p>
              </w:tc>
              <w:tc>
                <w:tcPr>
                  <w:tcW w:w="1739" w:type="dxa"/>
                  <w:vMerge w:val="restart"/>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无</w:t>
                  </w:r>
                </w:p>
              </w:tc>
              <w:tc>
                <w:tcPr>
                  <w:tcW w:w="2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由</w:t>
                  </w:r>
                  <w:r>
                    <w:rPr>
                      <w:rFonts w:hint="default" w:ascii="Times New Roman" w:hAnsi="Times New Roman" w:cs="Times New Roman"/>
                    </w:rPr>
                    <w:t>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p>
              </w:tc>
              <w:tc>
                <w:tcPr>
                  <w:tcW w:w="12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原料拆卸</w:t>
                  </w:r>
                </w:p>
              </w:tc>
              <w:tc>
                <w:tcPr>
                  <w:tcW w:w="1221"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废包装料</w:t>
                  </w:r>
                </w:p>
              </w:tc>
              <w:tc>
                <w:tcPr>
                  <w:tcW w:w="747"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2</w:t>
                  </w:r>
                </w:p>
              </w:tc>
              <w:tc>
                <w:tcPr>
                  <w:tcW w:w="1739" w:type="dxa"/>
                  <w:vMerge w:val="continue"/>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p>
              </w:tc>
              <w:tc>
                <w:tcPr>
                  <w:tcW w:w="2159" w:type="dxa"/>
                  <w:tcBorders>
                    <w:tl2br w:val="nil"/>
                    <w:tr2bl w:val="nil"/>
                  </w:tcBorders>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ascii="宋体" w:hAnsi="宋体" w:eastAsia="宋体" w:cs="宋体"/>
                      <w:sz w:val="21"/>
                      <w:szCs w:val="21"/>
                    </w:rPr>
                    <w:t>统一收集，由原料厂家回收处理。</w:t>
                  </w:r>
                </w:p>
              </w:tc>
            </w:tr>
          </w:tbl>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建设项目固废主要为生活垃圾</w:t>
            </w:r>
            <w:r>
              <w:rPr>
                <w:rFonts w:hint="eastAsia" w:ascii="Times New Roman" w:hAnsi="Times New Roman" w:cs="Times New Roman"/>
                <w:color w:val="auto"/>
                <w:sz w:val="24"/>
                <w:szCs w:val="24"/>
                <w:lang w:eastAsia="zh-CN"/>
              </w:rPr>
              <w:t>、废包装料</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eastAsia="zh-CN"/>
              </w:rPr>
              <w:t>废包装料统一收集，由原料厂家回收处理。</w:t>
            </w:r>
            <w:r>
              <w:rPr>
                <w:rFonts w:hint="default" w:ascii="Times New Roman" w:hAnsi="Times New Roman" w:cs="Times New Roman"/>
                <w:color w:val="auto"/>
                <w:sz w:val="24"/>
                <w:szCs w:val="24"/>
              </w:rPr>
              <w:t>生活垃圾收集后交由环卫部门进行处理，厂内设有垃圾收集桶。</w:t>
            </w:r>
          </w:p>
          <w:p>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right="0"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综上所述，本项目固体废物处理处置符合《一般工业固体废物贮存、处置场污染控制标准》（GB18599-</w:t>
            </w:r>
            <w:r>
              <w:rPr>
                <w:rFonts w:hint="eastAsia" w:cs="Times New Roman"/>
                <w:color w:val="000000"/>
                <w:sz w:val="24"/>
                <w:szCs w:val="24"/>
                <w:u w:val="none"/>
                <w:lang w:val="en-US" w:eastAsia="zh-CN"/>
              </w:rPr>
              <w:t>2020</w:t>
            </w:r>
            <w:r>
              <w:rPr>
                <w:rFonts w:hint="default" w:ascii="Times New Roman" w:hAnsi="Times New Roman" w:cs="Times New Roman"/>
                <w:color w:val="000000"/>
                <w:sz w:val="24"/>
                <w:szCs w:val="24"/>
                <w:u w:val="none"/>
              </w:rPr>
              <w:t>）</w:t>
            </w:r>
            <w:r>
              <w:rPr>
                <w:rFonts w:hint="eastAsia" w:cs="Times New Roman"/>
                <w:color w:val="000000"/>
                <w:sz w:val="24"/>
                <w:szCs w:val="24"/>
                <w:u w:val="none"/>
                <w:lang w:eastAsia="zh-CN"/>
              </w:rPr>
              <w:t>中</w:t>
            </w:r>
            <w:r>
              <w:rPr>
                <w:rFonts w:hint="default" w:ascii="Times New Roman" w:hAnsi="Times New Roman" w:cs="Times New Roman"/>
                <w:color w:val="000000"/>
                <w:sz w:val="24"/>
                <w:szCs w:val="24"/>
                <w:u w:val="none"/>
              </w:rPr>
              <w:t>的固体废物控制要求</w:t>
            </w:r>
            <w:r>
              <w:rPr>
                <w:rFonts w:hint="eastAsia" w:ascii="Times New Roman" w:hAnsi="Times New Roman" w:cs="Times New Roman"/>
                <w:color w:val="000000"/>
                <w:sz w:val="24"/>
                <w:szCs w:val="24"/>
                <w:u w:val="none"/>
                <w:lang w:eastAsia="zh-CN"/>
              </w:rPr>
              <w:t>，</w:t>
            </w:r>
            <w:r>
              <w:rPr>
                <w:rFonts w:hint="default" w:ascii="Times New Roman" w:hAnsi="Times New Roman" w:cs="Times New Roman"/>
                <w:color w:val="000000"/>
                <w:sz w:val="24"/>
                <w:szCs w:val="24"/>
                <w:u w:val="none"/>
              </w:rPr>
              <w:t>本工程固体废物可得到妥善的处理，对周围环境造成的影响很小。</w:t>
            </w:r>
          </w:p>
          <w:p>
            <w:pPr>
              <w:spacing w:line="360" w:lineRule="auto"/>
              <w:rPr>
                <w:rFonts w:hint="eastAsia" w:cs="Times New Roman"/>
                <w:b/>
                <w:bCs/>
                <w:color w:val="000000"/>
                <w:sz w:val="24"/>
                <w:szCs w:val="24"/>
                <w:u w:val="none"/>
                <w:lang w:eastAsia="zh-CN"/>
              </w:rPr>
            </w:pPr>
            <w:r>
              <w:rPr>
                <w:rFonts w:hint="eastAsia" w:cs="Times New Roman"/>
                <w:b/>
                <w:bCs/>
                <w:color w:val="000000"/>
                <w:sz w:val="24"/>
                <w:szCs w:val="24"/>
                <w:u w:val="none"/>
                <w:lang w:eastAsia="zh-CN"/>
              </w:rPr>
              <w:t>地下水、土壤</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根据分区防控要求，项目厂区分为一般污染防治区和非污染防治区。</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化粪池</w:t>
            </w:r>
            <w:r>
              <w:rPr>
                <w:rFonts w:hint="eastAsia" w:ascii="宋体" w:hAnsi="宋体" w:eastAsia="宋体" w:cs="宋体"/>
                <w:sz w:val="24"/>
                <w:szCs w:val="24"/>
              </w:rPr>
              <w:t>为一般污染防治区。</w:t>
            </w:r>
            <w:r>
              <w:rPr>
                <w:rFonts w:hint="eastAsia" w:ascii="宋体" w:hAnsi="宋体" w:eastAsia="宋体" w:cs="宋体"/>
                <w:sz w:val="24"/>
                <w:szCs w:val="24"/>
                <w:lang w:eastAsia="zh-CN"/>
              </w:rPr>
              <w:t>厂区已依托的化粪池已</w:t>
            </w:r>
            <w:r>
              <w:rPr>
                <w:rFonts w:hint="eastAsia" w:ascii="宋体" w:hAnsi="宋体" w:eastAsia="宋体" w:cs="宋体"/>
                <w:sz w:val="24"/>
                <w:szCs w:val="24"/>
              </w:rPr>
              <w:t>采用防渗的混凝土铺砌</w:t>
            </w:r>
            <w:r>
              <w:rPr>
                <w:rFonts w:hint="eastAsia" w:ascii="宋体" w:hAnsi="宋体" w:eastAsia="宋体" w:cs="宋体"/>
                <w:sz w:val="24"/>
                <w:szCs w:val="24"/>
                <w:lang w:eastAsia="zh-CN"/>
              </w:rPr>
              <w:t>。</w:t>
            </w:r>
            <w:r>
              <w:rPr>
                <w:rFonts w:hint="eastAsia" w:ascii="宋体" w:hAnsi="宋体" w:eastAsia="宋体" w:cs="宋体"/>
                <w:color w:val="auto"/>
                <w:sz w:val="24"/>
                <w:szCs w:val="24"/>
              </w:rPr>
              <w:t>可以满足该</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防渗的要求</w:t>
            </w:r>
            <w:r>
              <w:rPr>
                <w:rFonts w:hint="eastAsia" w:ascii="宋体" w:hAnsi="宋体" w:eastAsia="宋体" w:cs="宋体"/>
                <w:color w:val="auto"/>
                <w:sz w:val="24"/>
                <w:szCs w:val="24"/>
                <w:lang w:eastAsia="zh-CN"/>
              </w:rPr>
              <w:t>，对地下水、土壤环境造成的影响很小</w:t>
            </w:r>
            <w:r>
              <w:rPr>
                <w:rFonts w:hint="eastAsia" w:ascii="宋体" w:hAnsi="宋体" w:eastAsia="宋体" w:cs="宋体"/>
                <w:color w:val="auto"/>
                <w:sz w:val="24"/>
                <w:szCs w:val="24"/>
              </w:rPr>
              <w:t>。</w:t>
            </w:r>
          </w:p>
          <w:p>
            <w:pPr>
              <w:spacing w:line="360" w:lineRule="auto"/>
              <w:ind w:firstLine="480" w:firstLineChars="200"/>
              <w:rPr>
                <w:rFonts w:hint="eastAsia"/>
                <w:lang w:eastAsia="zh-CN"/>
              </w:rPr>
            </w:pPr>
            <w:r>
              <w:rPr>
                <w:rFonts w:ascii="Times New Roman" w:hAnsi="Times New Roman" w:cs="Times New Roman"/>
                <w:sz w:val="24"/>
              </w:rPr>
              <w:t>本项目的非污染防治区主要为</w:t>
            </w:r>
            <w:r>
              <w:rPr>
                <w:rFonts w:hint="eastAsia" w:cs="Times New Roman"/>
                <w:sz w:val="24"/>
                <w:lang w:eastAsia="zh-CN"/>
              </w:rPr>
              <w:t>办公区</w:t>
            </w:r>
            <w:r>
              <w:rPr>
                <w:rFonts w:ascii="Times New Roman" w:hAnsi="Times New Roman" w:cs="Times New Roman"/>
                <w:sz w:val="24"/>
              </w:rPr>
              <w:t>、</w:t>
            </w:r>
            <w:r>
              <w:rPr>
                <w:rFonts w:hint="eastAsia" w:cs="Times New Roman"/>
                <w:sz w:val="24"/>
                <w:lang w:eastAsia="zh-CN"/>
              </w:rPr>
              <w:t>生产区</w:t>
            </w:r>
            <w:r>
              <w:rPr>
                <w:rFonts w:ascii="Times New Roman" w:hAnsi="Times New Roman" w:cs="Times New Roman"/>
                <w:sz w:val="24"/>
              </w:rPr>
              <w:t>、停车场、厂内道路</w:t>
            </w:r>
            <w:r>
              <w:rPr>
                <w:rFonts w:hint="eastAsia" w:cs="Times New Roman"/>
                <w:sz w:val="24"/>
                <w:lang w:eastAsia="zh-CN"/>
              </w:rPr>
              <w:t>。</w:t>
            </w:r>
            <w:r>
              <w:rPr>
                <w:rFonts w:ascii="Times New Roman" w:hAnsi="Times New Roman" w:cs="Times New Roman"/>
                <w:sz w:val="24"/>
              </w:rPr>
              <w:t>对于非污染区，地面进行水泥硬化可以满足该区域装置区防渗的要求。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环境</w:t>
            </w:r>
            <w:r>
              <w:rPr>
                <w:rFonts w:hint="eastAsia" w:cs="Times New Roman"/>
                <w:b/>
                <w:bCs/>
                <w:color w:val="auto"/>
                <w:sz w:val="24"/>
                <w:szCs w:val="24"/>
                <w:lang w:val="en-US" w:eastAsia="zh-CN"/>
              </w:rPr>
              <w:t>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根据查阅《建设项目环境风险评价技术导则》（</w:t>
            </w:r>
            <w:r>
              <w:rPr>
                <w:rFonts w:hint="default" w:ascii="Times New Roman" w:hAnsi="Times New Roman" w:eastAsia="宋体" w:cs="Times New Roman"/>
                <w:color w:val="000000" w:themeColor="text1"/>
                <w:sz w:val="24"/>
                <w:lang w:val="en-US" w:eastAsia="zh-CN"/>
                <w14:textFill>
                  <w14:solidFill>
                    <w14:schemeClr w14:val="tx1"/>
                  </w14:solidFill>
                </w14:textFill>
              </w:rPr>
              <w:t>HJ169-2018</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本项目不涉及有毒有害和易燃易爆等危险物质，但粉尘会引起粉尘爆炸事件。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eastAsia="zh-CN"/>
              </w:rPr>
            </w:pPr>
            <w:r>
              <w:rPr>
                <w:rFonts w:hint="default" w:ascii="Times New Roman" w:hAnsi="Times New Roman" w:eastAsia="宋体" w:cs="Times New Roman"/>
                <w:color w:val="000000" w:themeColor="text1"/>
                <w:sz w:val="24"/>
                <w:lang w:eastAsia="zh-CN"/>
                <w14:textFill>
                  <w14:solidFill>
                    <w14:schemeClr w14:val="tx1"/>
                  </w14:solidFill>
                </w14:textFill>
              </w:rPr>
              <w:t>生产车</w:t>
            </w:r>
            <w:r>
              <w:rPr>
                <w:rFonts w:hint="default" w:ascii="Times New Roman" w:hAnsi="Times New Roman" w:eastAsia="宋体" w:cs="Times New Roman"/>
                <w:color w:val="000000" w:themeColor="text1"/>
                <w:sz w:val="24"/>
                <w14:textFill>
                  <w14:solidFill>
                    <w14:schemeClr w14:val="tx1"/>
                  </w14:solidFill>
                </w14:textFill>
              </w:rPr>
              <w:t>间</w:t>
            </w:r>
            <w:r>
              <w:rPr>
                <w:rFonts w:hint="default" w:ascii="Times New Roman" w:hAnsi="Times New Roman" w:eastAsia="宋体" w:cs="Times New Roman"/>
                <w:color w:val="000000" w:themeColor="text1"/>
                <w:sz w:val="24"/>
                <w:lang w:eastAsia="zh-CN"/>
                <w14:textFill>
                  <w14:solidFill>
                    <w14:schemeClr w14:val="tx1"/>
                  </w14:solidFill>
                </w14:textFill>
              </w:rPr>
              <w:t>应</w:t>
            </w:r>
            <w:r>
              <w:rPr>
                <w:rFonts w:hint="default" w:ascii="Times New Roman" w:hAnsi="Times New Roman" w:eastAsia="宋体" w:cs="Times New Roman"/>
                <w:color w:val="000000" w:themeColor="text1"/>
                <w:sz w:val="24"/>
                <w14:textFill>
                  <w14:solidFill>
                    <w14:schemeClr w14:val="tx1"/>
                  </w14:solidFill>
                </w14:textFill>
              </w:rPr>
              <w:t>采用有效的通风和除尘措施，严禁吸烟及明火作业。对有</w:t>
            </w:r>
            <w:r>
              <w:rPr>
                <w:rFonts w:hint="default" w:ascii="Times New Roman" w:hAnsi="Times New Roman" w:eastAsia="宋体" w:cs="Times New Roman"/>
                <w:color w:val="000000" w:themeColor="text1"/>
                <w:sz w:val="24"/>
                <w:lang w:eastAsia="zh-CN"/>
                <w14:textFill>
                  <w14:solidFill>
                    <w14:schemeClr w14:val="tx1"/>
                  </w14:solidFill>
                </w14:textFill>
              </w:rPr>
              <w:t>颗粒物</w:t>
            </w:r>
            <w:r>
              <w:rPr>
                <w:rFonts w:hint="default" w:ascii="Times New Roman" w:hAnsi="Times New Roman" w:eastAsia="宋体" w:cs="Times New Roman"/>
                <w:color w:val="000000" w:themeColor="text1"/>
                <w:sz w:val="24"/>
                <w14:textFill>
                  <w14:solidFill>
                    <w14:schemeClr w14:val="tx1"/>
                  </w14:solidFill>
                </w14:textFill>
              </w:rPr>
              <w:t>的车间，必须严格设置通风、排尘系统。要经常打扫车间地面和设备，防止</w:t>
            </w:r>
            <w:r>
              <w:rPr>
                <w:rFonts w:hint="default" w:ascii="Times New Roman" w:hAnsi="Times New Roman" w:eastAsia="宋体" w:cs="Times New Roman"/>
                <w:color w:val="000000" w:themeColor="text1"/>
                <w:sz w:val="24"/>
                <w:lang w:eastAsia="zh-CN"/>
                <w14:textFill>
                  <w14:solidFill>
                    <w14:schemeClr w14:val="tx1"/>
                  </w14:solidFill>
                </w14:textFill>
              </w:rPr>
              <w:t>颗粒物</w:t>
            </w:r>
            <w:r>
              <w:rPr>
                <w:rFonts w:hint="default" w:ascii="Times New Roman" w:hAnsi="Times New Roman" w:eastAsia="宋体" w:cs="Times New Roman"/>
                <w:color w:val="000000" w:themeColor="text1"/>
                <w:sz w:val="24"/>
                <w14:textFill>
                  <w14:solidFill>
                    <w14:schemeClr w14:val="tx1"/>
                  </w14:solidFill>
                </w14:textFill>
              </w:rPr>
              <w:t>飞扬和聚集。</w:t>
            </w:r>
          </w:p>
          <w:p>
            <w:pPr>
              <w:pStyle w:val="2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环境管理及监测计划</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依据本项目的性质及劳动定员，本项目应置1名环境管理人员。环境管理人员负责制定厂区环境保护各项规章制度，定期检查各环保设备运行状况，严格执行环境监测计划，加强职工环境保护教育工作</w:t>
            </w:r>
            <w:r>
              <w:rPr>
                <w:rFonts w:hint="default" w:ascii="Times New Roman" w:hAnsi="Times New Roman" w:cs="Times New Roman"/>
                <w:color w:val="auto"/>
                <w:sz w:val="24"/>
                <w:szCs w:val="24"/>
                <w:lang w:eastAsia="zh-CN"/>
              </w:rPr>
              <w:t>。</w:t>
            </w:r>
          </w:p>
          <w:p>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default" w:ascii="Times New Roman" w:hAnsi="Times New Roman" w:eastAsia="宋体" w:cs="Times New Roman"/>
                <w:b w:val="0"/>
                <w:bCs w:val="0"/>
                <w:color w:val="auto"/>
                <w:sz w:val="24"/>
                <w:szCs w:val="20"/>
              </w:rPr>
            </w:pPr>
            <w:r>
              <w:rPr>
                <w:rFonts w:hint="default" w:ascii="Times New Roman" w:hAnsi="Times New Roman" w:eastAsia="宋体" w:cs="Times New Roman"/>
                <w:b w:val="0"/>
                <w:bCs w:val="0"/>
                <w:color w:val="auto"/>
                <w:sz w:val="24"/>
                <w:szCs w:val="24"/>
              </w:rPr>
              <w:t>为确保项目运行期各种污染物能够达标排放，不对周边环境造成不利影响，有必要制定污染源监测和环境质量监控计划，本项目的监测计划见下表。</w:t>
            </w:r>
          </w:p>
          <w:p>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表</w:t>
            </w:r>
            <w:r>
              <w:rPr>
                <w:rFonts w:hint="eastAsia" w:ascii="Times New Roman" w:hAnsi="Times New Roman" w:eastAsia="宋体" w:cs="Times New Roman"/>
                <w:color w:val="auto"/>
                <w:sz w:val="21"/>
                <w:szCs w:val="21"/>
                <w:lang w:val="en-US" w:eastAsia="zh-CN"/>
              </w:rPr>
              <w:t>4-10</w:t>
            </w:r>
            <w:r>
              <w:rPr>
                <w:rFonts w:hint="default" w:ascii="Times New Roman" w:hAnsi="Times New Roman" w:eastAsia="宋体" w:cs="Times New Roman"/>
                <w:color w:val="auto"/>
                <w:sz w:val="21"/>
                <w:szCs w:val="21"/>
                <w:lang w:val="en-US" w:eastAsia="zh-CN"/>
              </w:rPr>
              <w:t xml:space="preserve">  项目环境监测方案</w:t>
            </w:r>
          </w:p>
          <w:tbl>
            <w:tblPr>
              <w:tblStyle w:val="2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16"/>
              <w:gridCol w:w="1168"/>
              <w:gridCol w:w="1157"/>
              <w:gridCol w:w="3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序号</w:t>
                  </w:r>
                </w:p>
              </w:tc>
              <w:tc>
                <w:tcPr>
                  <w:tcW w:w="895"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监测点位</w:t>
                  </w:r>
                </w:p>
              </w:tc>
              <w:tc>
                <w:tcPr>
                  <w:tcW w:w="738"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监测项目</w:t>
                  </w:r>
                </w:p>
              </w:tc>
              <w:tc>
                <w:tcPr>
                  <w:tcW w:w="731"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监测频率</w:t>
                  </w:r>
                </w:p>
              </w:tc>
              <w:tc>
                <w:tcPr>
                  <w:tcW w:w="2170"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1</w:t>
                  </w:r>
                </w:p>
              </w:tc>
              <w:tc>
                <w:tcPr>
                  <w:tcW w:w="895"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15m排气筒</w:t>
                  </w:r>
                </w:p>
              </w:tc>
              <w:tc>
                <w:tcPr>
                  <w:tcW w:w="738"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颗粒物、氯化氢、氨气</w:t>
                  </w:r>
                </w:p>
              </w:tc>
              <w:tc>
                <w:tcPr>
                  <w:tcW w:w="731"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1次/</w:t>
                  </w:r>
                  <w:r>
                    <w:rPr>
                      <w:rFonts w:hint="eastAsia"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半</w:t>
                  </w: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年</w:t>
                  </w:r>
                </w:p>
              </w:tc>
              <w:tc>
                <w:tcPr>
                  <w:tcW w:w="2170" w:type="pct"/>
                  <w:tcBorders>
                    <w:tl2br w:val="nil"/>
                    <w:tr2bl w:val="nil"/>
                  </w:tcBorders>
                  <w:vAlign w:val="center"/>
                </w:tcPr>
                <w:p>
                  <w:pPr>
                    <w:pStyle w:val="21"/>
                    <w:ind w:left="0" w:lef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颗粒物、氯化氢排放限值参照《大气污染物综合排放标准》(GB16297-1996)二级标准；氨气参照《恶臭污染物排放标准》（GB14554-93）2级标准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l2br w:val="nil"/>
                    <w:tr2bl w:val="nil"/>
                  </w:tcBorders>
                  <w:vAlign w:val="center"/>
                </w:tcPr>
                <w:p>
                  <w:pPr>
                    <w:pStyle w:val="21"/>
                    <w:ind w:left="0" w:leftChars="0" w:right="0" w:righ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2</w:t>
                  </w:r>
                </w:p>
              </w:tc>
              <w:tc>
                <w:tcPr>
                  <w:tcW w:w="895" w:type="pct"/>
                  <w:tcBorders>
                    <w:tl2br w:val="nil"/>
                    <w:tr2bl w:val="nil"/>
                  </w:tcBorders>
                  <w:vAlign w:val="center"/>
                </w:tcPr>
                <w:p>
                  <w:pPr>
                    <w:pStyle w:val="21"/>
                    <w:ind w:left="0" w:leftChars="0" w:right="0" w:righ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排污口</w:t>
                  </w:r>
                </w:p>
              </w:tc>
              <w:tc>
                <w:tcPr>
                  <w:tcW w:w="738" w:type="pct"/>
                  <w:tcBorders>
                    <w:tl2br w:val="nil"/>
                    <w:tr2bl w:val="nil"/>
                  </w:tcBorders>
                  <w:vAlign w:val="center"/>
                </w:tcPr>
                <w:p>
                  <w:pPr>
                    <w:pStyle w:val="21"/>
                    <w:ind w:left="0" w:leftChars="0" w:right="0" w:righ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流量、化学需氧量、氨氮、总磷、总氮</w:t>
                  </w:r>
                </w:p>
              </w:tc>
              <w:tc>
                <w:tcPr>
                  <w:tcW w:w="731" w:type="pct"/>
                  <w:tcBorders>
                    <w:tl2br w:val="nil"/>
                    <w:tr2bl w:val="nil"/>
                  </w:tcBorders>
                  <w:vAlign w:val="center"/>
                </w:tcPr>
                <w:p>
                  <w:pPr>
                    <w:pStyle w:val="21"/>
                    <w:ind w:left="0" w:leftChars="0" w:right="0" w:righ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1次/年</w:t>
                  </w:r>
                </w:p>
              </w:tc>
              <w:tc>
                <w:tcPr>
                  <w:tcW w:w="2170" w:type="pct"/>
                  <w:tcBorders>
                    <w:tl2br w:val="nil"/>
                    <w:tr2bl w:val="nil"/>
                  </w:tcBorders>
                  <w:vAlign w:val="center"/>
                </w:tcPr>
                <w:p>
                  <w:pPr>
                    <w:pStyle w:val="21"/>
                    <w:ind w:left="0" w:leftChars="0" w:right="0" w:rightChars="0" w:firstLine="0" w:firstLine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14:textFill>
                        <w14:solidFill>
                          <w14:schemeClr w14:val="tx1"/>
                        </w14:solidFill>
                      </w14:textFill>
                    </w:rPr>
                    <w:t>《污水综合排放标准》(GB8978-1996)三级标准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3</w:t>
                  </w:r>
                </w:p>
              </w:tc>
              <w:tc>
                <w:tcPr>
                  <w:tcW w:w="895"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项目四周，</w:t>
                  </w:r>
                  <w:r>
                    <w:rPr>
                      <w:rFonts w:hint="default" w:ascii="Times New Roman" w:hAnsi="Times New Roman" w:eastAsia="宋体" w:cs="Times New Roman"/>
                      <w:b w:val="0"/>
                      <w:bCs/>
                      <w:color w:val="000000" w:themeColor="text1"/>
                      <w:sz w:val="21"/>
                      <w:szCs w:val="21"/>
                      <w:u w:val="none"/>
                      <w:lang w:val="en-US" w:eastAsia="zh-CN"/>
                      <w14:textFill>
                        <w14:solidFill>
                          <w14:schemeClr w14:val="tx1"/>
                        </w14:solidFill>
                      </w14:textFill>
                    </w:rPr>
                    <w:t>厂界</w:t>
                  </w: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东南西北各一个监测点</w:t>
                  </w:r>
                </w:p>
              </w:tc>
              <w:tc>
                <w:tcPr>
                  <w:tcW w:w="738"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噪声</w:t>
                  </w:r>
                </w:p>
              </w:tc>
              <w:tc>
                <w:tcPr>
                  <w:tcW w:w="731"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1次/年</w:t>
                  </w:r>
                </w:p>
              </w:tc>
              <w:tc>
                <w:tcPr>
                  <w:tcW w:w="2170"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工业企业厂界环境噪声排放标准</w:t>
                  </w:r>
                  <w:r>
                    <w:rPr>
                      <w:rFonts w:hint="default" w:ascii="Times New Roman" w:hAnsi="Times New Roman" w:eastAsia="宋体" w:cs="Times New Roman"/>
                      <w:b w:val="0"/>
                      <w:bCs/>
                      <w:color w:val="000000" w:themeColor="text1"/>
                      <w:sz w:val="21"/>
                      <w:szCs w:val="21"/>
                      <w:u w:val="none"/>
                      <w:vertAlign w:val="baseli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GB12348-2008</w:t>
                  </w:r>
                  <w:r>
                    <w:rPr>
                      <w:rFonts w:hint="default" w:ascii="Times New Roman" w:hAnsi="Times New Roman" w:eastAsia="宋体" w:cs="Times New Roman"/>
                      <w:b w:val="0"/>
                      <w:bCs/>
                      <w:color w:val="000000" w:themeColor="text1"/>
                      <w:sz w:val="21"/>
                      <w:szCs w:val="21"/>
                      <w:u w:val="none"/>
                      <w:vertAlign w:val="baseli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3类标准要求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4</w:t>
                  </w:r>
                </w:p>
              </w:tc>
              <w:tc>
                <w:tcPr>
                  <w:tcW w:w="895"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无组织排放源上风向设1个参照点，下风向设3个监控点</w:t>
                  </w:r>
                </w:p>
              </w:tc>
              <w:tc>
                <w:tcPr>
                  <w:tcW w:w="738"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颗粒物、氯化氢、氨气</w:t>
                  </w:r>
                </w:p>
              </w:tc>
              <w:tc>
                <w:tcPr>
                  <w:tcW w:w="731"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1次/</w:t>
                  </w:r>
                  <w:r>
                    <w:rPr>
                      <w:rFonts w:hint="eastAsia" w:cs="Times New Roman"/>
                      <w:b w:val="0"/>
                      <w:bCs/>
                      <w:color w:val="000000" w:themeColor="text1"/>
                      <w:sz w:val="21"/>
                      <w:szCs w:val="21"/>
                      <w:u w:val="none"/>
                      <w:vertAlign w:val="baseline"/>
                      <w:lang w:val="en-US" w:eastAsia="zh-CN"/>
                      <w14:textFill>
                        <w14:solidFill>
                          <w14:schemeClr w14:val="tx1"/>
                        </w14:solidFill>
                      </w14:textFill>
                    </w:rPr>
                    <w:t>半</w:t>
                  </w: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年</w:t>
                  </w:r>
                </w:p>
              </w:tc>
              <w:tc>
                <w:tcPr>
                  <w:tcW w:w="2170" w:type="pct"/>
                  <w:tcBorders>
                    <w:tl2br w:val="nil"/>
                    <w:tr2bl w:val="nil"/>
                  </w:tcBorders>
                  <w:vAlign w:val="center"/>
                </w:tcPr>
                <w:p>
                  <w:pPr>
                    <w:bidi w:val="0"/>
                    <w:ind w:left="0" w:leftChars="0" w:right="0" w:rightChars="0"/>
                    <w:jc w:val="center"/>
                    <w:rPr>
                      <w:rFonts w:hint="default" w:ascii="Times New Roman" w:hAnsi="Times New Roman" w:eastAsia="宋体" w:cs="Times New Roman"/>
                      <w:b w:val="0"/>
                      <w:bCs/>
                      <w:color w:val="000000" w:themeColor="text1"/>
                      <w:sz w:val="21"/>
                      <w:szCs w:val="21"/>
                      <w:u w:val="none"/>
                      <w:vertAlign w:val="baseli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u w:val="none"/>
                      <w:vertAlign w:val="baseline"/>
                      <w:lang w:eastAsia="zh-CN"/>
                      <w14:textFill>
                        <w14:solidFill>
                          <w14:schemeClr w14:val="tx1"/>
                        </w14:solidFill>
                      </w14:textFill>
                    </w:rPr>
                    <w:t>颗粒物、氯化氢排放限值参照</w:t>
                  </w:r>
                  <w:r>
                    <w:rPr>
                      <w:rFonts w:hint="default" w:ascii="Times New Roman" w:hAnsi="Times New Roman" w:eastAsia="宋体" w:cs="Times New Roman"/>
                      <w:b w:val="0"/>
                      <w:bCs/>
                      <w:color w:val="000000" w:themeColor="text1"/>
                      <w:sz w:val="21"/>
                      <w:szCs w:val="21"/>
                      <w:u w:val="none"/>
                      <w:vertAlign w:val="baseline"/>
                      <w:lang w:val="en-US" w:eastAsia="zh-CN"/>
                      <w14:textFill>
                        <w14:solidFill>
                          <w14:schemeClr w14:val="tx1"/>
                        </w14:solidFill>
                      </w14:textFill>
                    </w:rPr>
                    <w:t>《大气污染物综合排放标准》(GB16297-1996)二级标准；氨气参照《恶臭污染物排放标准》（GB14554-93）2级标准</w:t>
                  </w:r>
                </w:p>
              </w:tc>
            </w:tr>
          </w:tbl>
          <w:p>
            <w:pPr>
              <w:pStyle w:val="2"/>
            </w:pPr>
          </w:p>
          <w:p>
            <w:pPr>
              <w:pStyle w:val="7"/>
              <w:ind w:left="0" w:leftChars="0" w:firstLine="0" w:firstLineChars="0"/>
            </w:pPr>
          </w:p>
          <w:p>
            <w:pPr>
              <w:pStyle w:val="7"/>
            </w:pPr>
          </w:p>
          <w:p>
            <w:pPr>
              <w:pStyle w:val="7"/>
            </w:pPr>
          </w:p>
          <w:p>
            <w:pPr>
              <w:pStyle w:val="7"/>
            </w:pPr>
          </w:p>
          <w:p>
            <w:pPr>
              <w:pStyle w:val="7"/>
            </w:pPr>
          </w:p>
          <w:p>
            <w:pPr>
              <w:pStyle w:val="7"/>
            </w:pPr>
          </w:p>
          <w:p>
            <w:pPr>
              <w:pStyle w:val="7"/>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tc>
      </w:tr>
    </w:tbl>
    <w:p>
      <w:p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黑体" w:hAnsi="黑体" w:eastAsia="黑体" w:cs="黑体"/>
          <w:sz w:val="32"/>
          <w:szCs w:val="40"/>
          <w:lang w:eastAsia="zh-CN"/>
        </w:rPr>
      </w:pPr>
      <w:r>
        <w:rPr>
          <w:rFonts w:hint="eastAsia" w:ascii="黑体" w:hAnsi="黑体" w:eastAsia="黑体" w:cs="黑体"/>
          <w:sz w:val="32"/>
          <w:szCs w:val="40"/>
          <w:lang w:eastAsia="zh-CN"/>
        </w:rPr>
        <w:t>（五）环境保护措施督查检查清单</w:t>
      </w:r>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78" w:type="dxa"/>
            <w:tcBorders>
              <w:tl2br w:val="single" w:color="auto" w:sz="4" w:space="0"/>
            </w:tcBorders>
            <w:noWrap w:val="0"/>
            <w:vAlign w:val="top"/>
          </w:tcPr>
          <w:p>
            <w:pPr>
              <w:adjustRightInd w:val="0"/>
              <w:snapToGrid w:val="0"/>
              <w:ind w:firstLine="840"/>
              <w:rPr>
                <w:rFonts w:hint="default" w:ascii="Times New Roman" w:hAnsi="Times New Roman" w:eastAsia="宋体" w:cs="Times New Roman"/>
                <w:szCs w:val="21"/>
              </w:rPr>
            </w:pPr>
            <w:r>
              <w:rPr>
                <w:rFonts w:hint="default" w:ascii="Times New Roman" w:hAnsi="Times New Roman" w:eastAsia="宋体" w:cs="Times New Roman"/>
                <w:szCs w:val="21"/>
              </w:rPr>
              <w:t>内容</w:t>
            </w:r>
          </w:p>
          <w:p>
            <w:pPr>
              <w:adjustRightInd w:val="0"/>
              <w:snapToGrid w:val="0"/>
              <w:rPr>
                <w:rFonts w:hint="default" w:ascii="Times New Roman" w:hAnsi="Times New Roman" w:eastAsia="宋体" w:cs="Times New Roman"/>
                <w:szCs w:val="21"/>
              </w:rPr>
            </w:pPr>
            <w:r>
              <w:rPr>
                <w:rFonts w:hint="default" w:ascii="Times New Roman" w:hAnsi="Times New Roman" w:eastAsia="宋体" w:cs="Times New Roman"/>
                <w:szCs w:val="21"/>
              </w:rPr>
              <w:t>要素</w:t>
            </w:r>
          </w:p>
        </w:tc>
        <w:tc>
          <w:tcPr>
            <w:tcW w:w="175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排放口(编号、</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名称)/污染源</w:t>
            </w:r>
          </w:p>
        </w:tc>
        <w:tc>
          <w:tcPr>
            <w:tcW w:w="175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污染物项目</w:t>
            </w:r>
          </w:p>
        </w:tc>
        <w:tc>
          <w:tcPr>
            <w:tcW w:w="175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环境保护措施</w:t>
            </w:r>
          </w:p>
        </w:tc>
        <w:tc>
          <w:tcPr>
            <w:tcW w:w="1757"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778" w:type="dxa"/>
            <w:vMerge w:val="restart"/>
            <w:noWrap w:val="0"/>
            <w:vAlign w:val="center"/>
          </w:tcPr>
          <w:p>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大气环境</w:t>
            </w:r>
          </w:p>
        </w:tc>
        <w:tc>
          <w:tcPr>
            <w:tcW w:w="1755" w:type="dxa"/>
            <w:vMerge w:val="restart"/>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DA001</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颗粒物、氯化氢、氨气</w:t>
            </w:r>
          </w:p>
        </w:tc>
        <w:tc>
          <w:tcPr>
            <w:tcW w:w="175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经集气罩收集后通过液封水吸收装置处理后引至15m排气筒排放</w:t>
            </w:r>
          </w:p>
        </w:tc>
        <w:tc>
          <w:tcPr>
            <w:tcW w:w="1757"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颗粒物、氯化氢</w:t>
            </w:r>
            <w:r>
              <w:rPr>
                <w:rFonts w:hint="default" w:ascii="Times New Roman" w:hAnsi="Times New Roman" w:eastAsia="宋体" w:cs="Times New Roman"/>
                <w:sz w:val="21"/>
                <w:szCs w:val="21"/>
              </w:rPr>
              <w:t>排放</w:t>
            </w:r>
            <w:r>
              <w:rPr>
                <w:rFonts w:hint="default" w:ascii="Times New Roman" w:hAnsi="Times New Roman" w:eastAsia="宋体" w:cs="Times New Roman"/>
                <w:sz w:val="21"/>
                <w:szCs w:val="21"/>
                <w:lang w:eastAsia="zh-CN"/>
              </w:rPr>
              <w:t>限值</w:t>
            </w:r>
            <w:r>
              <w:rPr>
                <w:rFonts w:hint="default" w:ascii="Times New Roman" w:hAnsi="Times New Roman" w:eastAsia="宋体" w:cs="Times New Roman"/>
                <w:sz w:val="21"/>
                <w:szCs w:val="21"/>
              </w:rPr>
              <w:t>参照</w:t>
            </w:r>
            <w:r>
              <w:rPr>
                <w:rFonts w:hint="default" w:ascii="Times New Roman" w:hAnsi="Times New Roman" w:eastAsia="宋体" w:cs="Times New Roman"/>
                <w:sz w:val="21"/>
                <w:szCs w:val="21"/>
                <w:lang w:val="en-US" w:eastAsia="zh-CN"/>
              </w:rPr>
              <w:t>《大气污染物综合排放标准》(GB16297-1996)二级标准；氨气参照《恶臭污染物排放标准》（GB14554-93）2级标准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778" w:type="dxa"/>
            <w:vMerge w:val="continue"/>
            <w:noWrap w:val="0"/>
            <w:vAlign w:val="center"/>
          </w:tcPr>
          <w:p>
            <w:pPr>
              <w:adjustRightInd w:val="0"/>
              <w:snapToGrid w:val="0"/>
              <w:jc w:val="center"/>
              <w:rPr>
                <w:rFonts w:hint="default" w:ascii="Times New Roman" w:hAnsi="Times New Roman" w:eastAsia="宋体" w:cs="Times New Roman"/>
                <w:szCs w:val="21"/>
              </w:rPr>
            </w:pPr>
          </w:p>
        </w:tc>
        <w:tc>
          <w:tcPr>
            <w:tcW w:w="175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掺混</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造粒</w:t>
            </w:r>
            <w:r>
              <w:rPr>
                <w:rFonts w:hint="default" w:ascii="Times New Roman" w:hAnsi="Times New Roman" w:eastAsia="宋体" w:cs="Times New Roman"/>
                <w:sz w:val="21"/>
                <w:szCs w:val="21"/>
                <w:lang w:val="en-US" w:eastAsia="zh-CN"/>
              </w:rPr>
              <w:t>、筛分、破碎、包装工序</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颗粒物</w:t>
            </w:r>
            <w:r>
              <w:rPr>
                <w:rFonts w:hint="default" w:ascii="Times New Roman" w:hAnsi="Times New Roman" w:eastAsia="宋体" w:cs="Times New Roman"/>
                <w:sz w:val="21"/>
                <w:szCs w:val="21"/>
                <w:lang w:eastAsia="zh-CN"/>
              </w:rPr>
              <w:t>、氯化氢、氨气</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绿化、加强厂区通风</w:t>
            </w:r>
          </w:p>
        </w:tc>
        <w:tc>
          <w:tcPr>
            <w:tcW w:w="1757"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vertAlign w:val="baseline"/>
                <w:lang w:eastAsia="zh-CN"/>
              </w:rPr>
              <w:t>颗粒物、氯化氢</w:t>
            </w:r>
            <w:r>
              <w:rPr>
                <w:rFonts w:hint="default" w:ascii="Times New Roman" w:hAnsi="Times New Roman" w:eastAsia="宋体" w:cs="Times New Roman"/>
                <w:sz w:val="21"/>
                <w:szCs w:val="21"/>
                <w:vertAlign w:val="baseline"/>
              </w:rPr>
              <w:t>排放</w:t>
            </w:r>
            <w:r>
              <w:rPr>
                <w:rFonts w:hint="default" w:ascii="Times New Roman" w:hAnsi="Times New Roman" w:eastAsia="宋体" w:cs="Times New Roman"/>
                <w:sz w:val="21"/>
                <w:szCs w:val="21"/>
                <w:vertAlign w:val="baseline"/>
                <w:lang w:eastAsia="zh-CN"/>
              </w:rPr>
              <w:t>限值</w:t>
            </w:r>
            <w:r>
              <w:rPr>
                <w:rFonts w:hint="default" w:ascii="Times New Roman" w:hAnsi="Times New Roman" w:eastAsia="宋体" w:cs="Times New Roman"/>
                <w:sz w:val="21"/>
                <w:szCs w:val="21"/>
                <w:vertAlign w:val="baseline"/>
              </w:rPr>
              <w:t>参照</w:t>
            </w:r>
            <w:r>
              <w:rPr>
                <w:rFonts w:hint="default" w:ascii="Times New Roman" w:hAnsi="Times New Roman" w:eastAsia="宋体" w:cs="Times New Roman"/>
                <w:sz w:val="21"/>
                <w:szCs w:val="21"/>
                <w:vertAlign w:val="baseline"/>
                <w:lang w:val="en-US" w:eastAsia="zh-CN"/>
              </w:rPr>
              <w:t>《大气污染物综合排放标准》(GB16297-1996)二级标准；氨气参照《恶臭污染物排放标准》（GB14554-93）2级标准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778" w:type="dxa"/>
            <w:vMerge w:val="restart"/>
            <w:noWrap w:val="0"/>
            <w:vAlign w:val="center"/>
          </w:tcPr>
          <w:p>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地表水环境</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DW001</w:t>
            </w:r>
          </w:p>
        </w:tc>
        <w:tc>
          <w:tcPr>
            <w:tcW w:w="1755" w:type="dxa"/>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pH、</w:t>
            </w:r>
            <w:r>
              <w:rPr>
                <w:rFonts w:hint="default" w:ascii="Times New Roman" w:hAnsi="Times New Roman" w:eastAsia="宋体" w:cs="Times New Roman"/>
                <w:sz w:val="21"/>
                <w:szCs w:val="21"/>
              </w:rPr>
              <w:t>COD</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氨氮、</w:t>
            </w:r>
            <w:r>
              <w:rPr>
                <w:rFonts w:hint="default" w:ascii="Times New Roman" w:hAnsi="Times New Roman" w:eastAsia="宋体" w:cs="Times New Roman"/>
                <w:sz w:val="21"/>
                <w:szCs w:val="21"/>
              </w:rPr>
              <w:t>BOD</w:t>
            </w:r>
            <w:r>
              <w:rPr>
                <w:rFonts w:hint="default" w:ascii="Times New Roman" w:hAnsi="Times New Roman" w:eastAsia="宋体" w:cs="Times New Roman"/>
                <w:sz w:val="21"/>
                <w:szCs w:val="21"/>
                <w:vertAlign w:val="subscript"/>
              </w:rPr>
              <w:t>5</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SS</w:t>
            </w:r>
          </w:p>
        </w:tc>
        <w:tc>
          <w:tcPr>
            <w:tcW w:w="175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经化粪池处理后</w:t>
            </w:r>
            <w:r>
              <w:rPr>
                <w:rFonts w:hint="default" w:ascii="Times New Roman" w:hAnsi="Times New Roman" w:eastAsia="宋体" w:cs="Times New Roman"/>
                <w:sz w:val="21"/>
                <w:szCs w:val="21"/>
                <w:lang w:val="en-US" w:eastAsia="zh-CN"/>
              </w:rPr>
              <w:t>排入华容县桥东污水处理厂</w:t>
            </w:r>
          </w:p>
        </w:tc>
        <w:tc>
          <w:tcPr>
            <w:tcW w:w="1757"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b w:val="0"/>
                <w:bCs/>
                <w:color w:val="auto"/>
                <w:sz w:val="21"/>
                <w:szCs w:val="21"/>
                <w:u w:val="none"/>
              </w:rPr>
              <w:t>《污水综合排放标准》(GB8978-1996)三级标准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778" w:type="dxa"/>
            <w:vMerge w:val="continue"/>
            <w:noWrap w:val="0"/>
            <w:vAlign w:val="center"/>
          </w:tcPr>
          <w:p>
            <w:pPr>
              <w:adjustRightInd w:val="0"/>
              <w:snapToGrid w:val="0"/>
              <w:jc w:val="center"/>
              <w:rPr>
                <w:rFonts w:hint="default" w:ascii="Times New Roman" w:hAnsi="Times New Roman" w:eastAsia="宋体" w:cs="Times New Roman"/>
                <w:szCs w:val="21"/>
              </w:rPr>
            </w:pPr>
          </w:p>
        </w:tc>
        <w:tc>
          <w:tcPr>
            <w:tcW w:w="175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液封式水吸收装置产生的处理废水</w:t>
            </w:r>
          </w:p>
        </w:tc>
        <w:tc>
          <w:tcPr>
            <w:tcW w:w="1755" w:type="dxa"/>
            <w:noWrap w:val="0"/>
            <w:vAlign w:val="center"/>
          </w:tcPr>
          <w:p>
            <w:pPr>
              <w:bidi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氯化氢、氨气</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该部分水吸收氨气和氯化氢气体后为氯化铵稀溶液，到达一定浓度后廉价出售，不外排。</w:t>
            </w:r>
          </w:p>
        </w:tc>
        <w:tc>
          <w:tcPr>
            <w:tcW w:w="1757" w:type="dxa"/>
            <w:noWrap w:val="0"/>
            <w:vAlign w:val="center"/>
          </w:tcPr>
          <w:p>
            <w:pPr>
              <w:adjustRightInd w:val="0"/>
              <w:snapToGrid w:val="0"/>
              <w:jc w:val="center"/>
              <w:rPr>
                <w:rFonts w:hint="default" w:ascii="Times New Roman" w:hAnsi="Times New Roman" w:eastAsia="宋体" w:cs="Times New Roman"/>
                <w:b w:val="0"/>
                <w:bCs/>
                <w:color w:val="auto"/>
                <w:sz w:val="21"/>
                <w:szCs w:val="21"/>
                <w:u w:val="none"/>
              </w:rPr>
            </w:pPr>
            <w:r>
              <w:rPr>
                <w:rFonts w:hint="default" w:ascii="Times New Roman" w:hAnsi="Times New Roman" w:eastAsia="宋体" w:cs="Times New Roman"/>
                <w:szCs w:val="21"/>
              </w:rPr>
              <w:t>达到环保要求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778" w:type="dxa"/>
            <w:vMerge w:val="restart"/>
            <w:noWrap w:val="0"/>
            <w:vAlign w:val="center"/>
          </w:tcPr>
          <w:p>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声环境</w:t>
            </w:r>
          </w:p>
        </w:tc>
        <w:tc>
          <w:tcPr>
            <w:tcW w:w="1755" w:type="dxa"/>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生产设备</w:t>
            </w:r>
          </w:p>
        </w:tc>
        <w:tc>
          <w:tcPr>
            <w:tcW w:w="1755" w:type="dxa"/>
            <w:noWrap w:val="0"/>
            <w:vAlign w:val="center"/>
          </w:tcPr>
          <w:p>
            <w:pPr>
              <w:pStyle w:val="1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等效</w:t>
            </w:r>
            <w:r>
              <w:rPr>
                <w:rFonts w:hint="default" w:ascii="Times New Roman" w:hAnsi="Times New Roman" w:eastAsia="宋体" w:cs="Times New Roman"/>
                <w:sz w:val="21"/>
                <w:szCs w:val="21"/>
                <w:lang w:val="en-US" w:eastAsia="zh-CN"/>
              </w:rPr>
              <w:t>A声级</w:t>
            </w:r>
          </w:p>
        </w:tc>
        <w:tc>
          <w:tcPr>
            <w:tcW w:w="1755"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优选低噪声设备、</w:t>
            </w:r>
            <w:r>
              <w:rPr>
                <w:rFonts w:hint="default" w:ascii="Times New Roman" w:hAnsi="Times New Roman" w:eastAsia="宋体" w:cs="Times New Roman"/>
                <w:sz w:val="21"/>
                <w:szCs w:val="21"/>
                <w:lang w:val="en-US" w:eastAsia="zh-CN"/>
              </w:rPr>
              <w:t>设备基础减振、厂房隔声等</w:t>
            </w:r>
          </w:p>
        </w:tc>
        <w:tc>
          <w:tcPr>
            <w:tcW w:w="1757"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厂界满足《工业企业厂界环境噪声排放标准》3类区标准要求；敏感点噪声满足《工业企业厂界环境噪声排放标准》中的2类区标准要求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8" w:type="dxa"/>
            <w:vMerge w:val="restart"/>
            <w:noWrap w:val="0"/>
            <w:vAlign w:val="center"/>
          </w:tcPr>
          <w:p>
            <w:pPr>
              <w:adjustRightInd w:val="0"/>
              <w:snapToGrid w:val="0"/>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固体废物</w:t>
            </w:r>
          </w:p>
        </w:tc>
        <w:tc>
          <w:tcPr>
            <w:tcW w:w="1755" w:type="dxa"/>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职工生活</w:t>
            </w:r>
          </w:p>
        </w:tc>
        <w:tc>
          <w:tcPr>
            <w:tcW w:w="1755" w:type="dxa"/>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生活垃圾</w:t>
            </w:r>
          </w:p>
        </w:tc>
        <w:tc>
          <w:tcPr>
            <w:tcW w:w="1755" w:type="dxa"/>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由</w:t>
            </w:r>
            <w:r>
              <w:rPr>
                <w:rFonts w:hint="default" w:ascii="Times New Roman" w:hAnsi="Times New Roman" w:eastAsia="宋体" w:cs="Times New Roman"/>
              </w:rPr>
              <w:t>环卫部门统一清运处理</w:t>
            </w:r>
          </w:p>
        </w:tc>
        <w:tc>
          <w:tcPr>
            <w:tcW w:w="1757"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Cs w:val="21"/>
              </w:rPr>
              <w:t>达到环保要求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8" w:type="dxa"/>
            <w:vMerge w:val="continue"/>
            <w:noWrap w:val="0"/>
            <w:vAlign w:val="center"/>
          </w:tcPr>
          <w:p>
            <w:pPr>
              <w:adjustRightInd w:val="0"/>
              <w:snapToGrid w:val="0"/>
              <w:jc w:val="center"/>
              <w:rPr>
                <w:rFonts w:hint="default" w:ascii="Times New Roman" w:hAnsi="Times New Roman" w:eastAsia="宋体" w:cs="Times New Roman"/>
                <w:szCs w:val="21"/>
              </w:rPr>
            </w:pPr>
          </w:p>
        </w:tc>
        <w:tc>
          <w:tcPr>
            <w:tcW w:w="1755" w:type="dxa"/>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原料拆卸</w:t>
            </w:r>
          </w:p>
        </w:tc>
        <w:tc>
          <w:tcPr>
            <w:tcW w:w="1755" w:type="dxa"/>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废包装料</w:t>
            </w:r>
          </w:p>
        </w:tc>
        <w:tc>
          <w:tcPr>
            <w:tcW w:w="1755" w:type="dxa"/>
            <w:noWrap w:val="0"/>
            <w:vAlign w:val="center"/>
          </w:tcPr>
          <w:p>
            <w:pPr>
              <w:pStyle w:val="25"/>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统一收集，由原料厂家回收处理。</w:t>
            </w:r>
          </w:p>
        </w:tc>
        <w:tc>
          <w:tcPr>
            <w:tcW w:w="1757"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Cs w:val="21"/>
              </w:rPr>
              <w:t>达到环保要求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778" w:type="dxa"/>
            <w:noWrap w:val="0"/>
            <w:vAlign w:val="center"/>
          </w:tcPr>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土壤及地下水</w:t>
            </w:r>
          </w:p>
          <w:p>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污染防治措施</w:t>
            </w:r>
          </w:p>
        </w:tc>
        <w:tc>
          <w:tcPr>
            <w:tcW w:w="7022"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lang w:val="en-US" w:eastAsia="zh-CN" w:bidi="ar"/>
              </w:rPr>
              <w:t>分区对厂区进行防渗，</w:t>
            </w:r>
            <w:r>
              <w:rPr>
                <w:rFonts w:hint="default" w:ascii="Times New Roman" w:hAnsi="Times New Roman" w:eastAsia="宋体" w:cs="Times New Roman"/>
                <w:sz w:val="24"/>
                <w:szCs w:val="24"/>
              </w:rPr>
              <w:t>本项目</w:t>
            </w:r>
            <w:r>
              <w:rPr>
                <w:rFonts w:hint="default" w:ascii="Times New Roman" w:hAnsi="Times New Roman" w:eastAsia="宋体" w:cs="Times New Roman"/>
                <w:sz w:val="24"/>
                <w:szCs w:val="24"/>
                <w:lang w:eastAsia="zh-CN"/>
              </w:rPr>
              <w:t>化粪池</w:t>
            </w:r>
            <w:r>
              <w:rPr>
                <w:rFonts w:hint="default" w:ascii="Times New Roman" w:hAnsi="Times New Roman" w:eastAsia="宋体" w:cs="Times New Roman"/>
                <w:sz w:val="24"/>
                <w:szCs w:val="24"/>
              </w:rPr>
              <w:t>为一般污染防治区。</w:t>
            </w:r>
            <w:r>
              <w:rPr>
                <w:rFonts w:hint="default" w:ascii="Times New Roman" w:hAnsi="Times New Roman" w:eastAsia="宋体" w:cs="Times New Roman"/>
                <w:sz w:val="24"/>
                <w:szCs w:val="24"/>
                <w:lang w:eastAsia="zh-CN"/>
              </w:rPr>
              <w:t>厂区依托的化粪池已</w:t>
            </w:r>
            <w:r>
              <w:rPr>
                <w:rFonts w:hint="default" w:ascii="Times New Roman" w:hAnsi="Times New Roman" w:eastAsia="宋体" w:cs="Times New Roman"/>
                <w:sz w:val="24"/>
                <w:szCs w:val="24"/>
              </w:rPr>
              <w:t>采用防渗的混凝土铺砌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000000"/>
                <w:kern w:val="0"/>
                <w:sz w:val="24"/>
                <w:szCs w:val="24"/>
                <w:lang w:val="en-US" w:eastAsia="zh-CN" w:bidi="ar"/>
              </w:rPr>
              <w:t>对</w:t>
            </w:r>
            <w:r>
              <w:rPr>
                <w:rFonts w:hint="default" w:ascii="Times New Roman" w:hAnsi="Times New Roman" w:eastAsia="宋体" w:cs="Times New Roman"/>
                <w:sz w:val="24"/>
              </w:rPr>
              <w:t>非污染防治区</w:t>
            </w:r>
            <w:r>
              <w:rPr>
                <w:rFonts w:hint="default" w:ascii="Times New Roman" w:hAnsi="Times New Roman" w:eastAsia="宋体" w:cs="Times New Roman"/>
                <w:color w:val="000000"/>
                <w:kern w:val="0"/>
                <w:sz w:val="24"/>
                <w:szCs w:val="24"/>
                <w:lang w:val="en-US" w:eastAsia="zh-CN" w:bidi="ar"/>
              </w:rPr>
              <w:t>进行一般地面硬化处理。</w:t>
            </w:r>
            <w:r>
              <w:rPr>
                <w:rFonts w:hint="default" w:ascii="Times New Roman" w:hAnsi="Times New Roman" w:eastAsia="宋体" w:cs="Times New Roman"/>
                <w:color w:val="auto"/>
                <w:sz w:val="24"/>
                <w:szCs w:val="24"/>
              </w:rPr>
              <w:t>可以满足该</w:t>
            </w:r>
            <w:r>
              <w:rPr>
                <w:rFonts w:hint="default"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rPr>
              <w:t>防渗的要求</w:t>
            </w:r>
            <w:r>
              <w:rPr>
                <w:rFonts w:hint="default" w:ascii="Times New Roman" w:hAnsi="Times New Roman" w:eastAsia="宋体" w:cs="Times New Roman"/>
                <w:color w:val="auto"/>
                <w:sz w:val="24"/>
                <w:szCs w:val="24"/>
                <w:lang w:eastAsia="zh-CN"/>
              </w:rPr>
              <w:t>，对地下水、土壤环境造成的影响很小</w:t>
            </w:r>
            <w:r>
              <w:rPr>
                <w:rFonts w:hint="default" w:ascii="Times New Roman" w:hAnsi="Times New Roman" w:eastAsia="宋体"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778" w:type="dxa"/>
            <w:noWrap w:val="0"/>
            <w:vAlign w:val="center"/>
          </w:tcPr>
          <w:p>
            <w:pPr>
              <w:adjustRightInd w:val="0"/>
              <w:snapToGrid w:val="0"/>
              <w:jc w:val="center"/>
              <w:rPr>
                <w:rFonts w:hint="default" w:ascii="Times New Roman" w:hAnsi="Times New Roman" w:eastAsia="宋体" w:cs="Times New Roman"/>
                <w:spacing w:val="-8"/>
                <w:sz w:val="24"/>
                <w:szCs w:val="24"/>
              </w:rPr>
            </w:pPr>
            <w:r>
              <w:rPr>
                <w:rFonts w:hint="default" w:ascii="Times New Roman" w:hAnsi="Times New Roman" w:eastAsia="宋体" w:cs="Times New Roman"/>
                <w:spacing w:val="-8"/>
                <w:sz w:val="24"/>
                <w:szCs w:val="24"/>
              </w:rPr>
              <w:t>环境风险</w:t>
            </w:r>
          </w:p>
          <w:p>
            <w:pPr>
              <w:adjustRightInd w:val="0"/>
              <w:snapToGrid w:val="0"/>
              <w:jc w:val="center"/>
              <w:rPr>
                <w:rFonts w:hint="default" w:ascii="Times New Roman" w:hAnsi="Times New Roman" w:eastAsia="宋体" w:cs="Times New Roman"/>
                <w:spacing w:val="-8"/>
                <w:sz w:val="24"/>
                <w:szCs w:val="24"/>
              </w:rPr>
            </w:pPr>
            <w:r>
              <w:rPr>
                <w:rFonts w:hint="default" w:ascii="Times New Roman" w:hAnsi="Times New Roman" w:eastAsia="宋体" w:cs="Times New Roman"/>
                <w:spacing w:val="-8"/>
                <w:sz w:val="24"/>
                <w:szCs w:val="24"/>
              </w:rPr>
              <w:t>防范措施</w:t>
            </w:r>
          </w:p>
        </w:tc>
        <w:tc>
          <w:tcPr>
            <w:tcW w:w="70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本项目不涉及有毒有害和易燃易爆等危险物质，但粉尘会引起粉尘爆炸事件。</w:t>
            </w:r>
            <w:r>
              <w:rPr>
                <w:rFonts w:hint="default" w:ascii="Times New Roman" w:hAnsi="Times New Roman" w:eastAsia="宋体" w:cs="Times New Roman"/>
                <w:sz w:val="24"/>
                <w:lang w:eastAsia="zh-CN"/>
              </w:rPr>
              <w:t>生产车</w:t>
            </w:r>
            <w:r>
              <w:rPr>
                <w:rFonts w:hint="default" w:ascii="Times New Roman" w:hAnsi="Times New Roman" w:eastAsia="宋体" w:cs="Times New Roman"/>
                <w:sz w:val="24"/>
              </w:rPr>
              <w:t>间采用有效的通风和除尘措施，严禁吸烟及明火作业。对有</w:t>
            </w:r>
            <w:r>
              <w:rPr>
                <w:rFonts w:hint="default" w:ascii="Times New Roman" w:hAnsi="Times New Roman" w:eastAsia="宋体" w:cs="Times New Roman"/>
                <w:sz w:val="24"/>
                <w:lang w:eastAsia="zh-CN"/>
              </w:rPr>
              <w:t>颗粒物</w:t>
            </w:r>
            <w:r>
              <w:rPr>
                <w:rFonts w:hint="default" w:ascii="Times New Roman" w:hAnsi="Times New Roman" w:eastAsia="宋体" w:cs="Times New Roman"/>
                <w:sz w:val="24"/>
              </w:rPr>
              <w:t>的车间，必须严格设置通风、排尘系统。要经常打扫车间地面和设备，防止</w:t>
            </w:r>
            <w:r>
              <w:rPr>
                <w:rFonts w:hint="default" w:ascii="Times New Roman" w:hAnsi="Times New Roman" w:eastAsia="宋体" w:cs="Times New Roman"/>
                <w:sz w:val="24"/>
                <w:lang w:eastAsia="zh-CN"/>
              </w:rPr>
              <w:t>颗粒物</w:t>
            </w:r>
            <w:r>
              <w:rPr>
                <w:rFonts w:hint="default" w:ascii="Times New Roman" w:hAnsi="Times New Roman" w:eastAsia="宋体" w:cs="Times New Roman"/>
                <w:sz w:val="24"/>
              </w:rPr>
              <w:t>飞扬和聚集。</w:t>
            </w:r>
          </w:p>
        </w:tc>
      </w:tr>
    </w:tbl>
    <w:p>
      <w:pPr>
        <w:pStyle w:val="22"/>
        <w:jc w:val="center"/>
        <w:outlineLvl w:val="0"/>
        <w:rPr>
          <w:snapToGrid w:val="0"/>
        </w:rPr>
      </w:pPr>
    </w:p>
    <w:p>
      <w:pPr>
        <w:pStyle w:val="22"/>
        <w:jc w:val="center"/>
        <w:outlineLvl w:val="0"/>
        <w:rPr>
          <w:snapToGrid w:val="0"/>
        </w:rPr>
      </w:pPr>
    </w:p>
    <w:p>
      <w:pPr>
        <w:pStyle w:val="22"/>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sz w:val="24"/>
                <w:szCs w:val="32"/>
              </w:rPr>
            </w:pPr>
            <w:r>
              <w:rPr>
                <w:rFonts w:hint="default"/>
                <w:sz w:val="24"/>
                <w:szCs w:val="32"/>
              </w:rPr>
              <w:t>该项目的建设符合国家产业政策，在严格落实环评要求的污染控制和治理措施，对项目产生的污染进行有效的控制及治理后，可实现污染物的达标排放，对周边环境影响较小。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rPr>
            </w:pPr>
            <w:r>
              <w:rPr>
                <w:rFonts w:hint="default"/>
                <w:sz w:val="24"/>
                <w:szCs w:val="32"/>
              </w:rPr>
              <w:t>项目建设应严格按照环评要求落实污染控制和治理措施，使其对环境的不利影响减少到最小限度，在确保各项污染物达标排放的前提下，从环保的角度来分析，该项目是可行的</w:t>
            </w:r>
            <w:r>
              <w:rPr>
                <w:rFonts w:hint="default"/>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p>
          <w:p>
            <w:pPr>
              <w:pStyle w:val="23"/>
              <w:ind w:left="0" w:leftChars="0" w:firstLine="0" w:firstLineChars="0"/>
            </w:pPr>
          </w:p>
          <w:p>
            <w:pPr>
              <w:pStyle w:val="23"/>
            </w:pPr>
          </w:p>
          <w:p>
            <w:pPr>
              <w:pStyle w:val="23"/>
            </w:pPr>
          </w:p>
          <w:p>
            <w:pPr>
              <w:pStyle w:val="23"/>
            </w:pPr>
          </w:p>
          <w:p>
            <w:pPr>
              <w:pStyle w:val="23"/>
            </w:pPr>
          </w:p>
          <w:p>
            <w:pPr>
              <w:pStyle w:val="23"/>
            </w:pPr>
          </w:p>
          <w:p>
            <w:pPr>
              <w:pStyle w:val="23"/>
            </w:pPr>
          </w:p>
          <w:p>
            <w:pPr>
              <w:pStyle w:val="23"/>
            </w:pPr>
          </w:p>
          <w:p>
            <w:pPr>
              <w:pStyle w:val="23"/>
              <w:ind w:left="0" w:leftChars="0" w:firstLine="0" w:firstLineChars="0"/>
            </w:pP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附表</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方正小标宋_GBK" w:hAnsi="黑体" w:eastAsia="方正小标宋_GBK"/>
          <w:snapToGrid w:val="0"/>
          <w:sz w:val="32"/>
          <w:szCs w:val="32"/>
        </w:rPr>
      </w:pPr>
      <w:r>
        <w:rPr>
          <w:rFonts w:hint="eastAsia" w:ascii="方正小标宋_GBK" w:hAnsi="黑体" w:eastAsia="方正小标宋_GBK"/>
          <w:snapToGrid w:val="0"/>
          <w:sz w:val="32"/>
          <w:szCs w:val="32"/>
        </w:rPr>
        <w:t>建设项目污染物排放量汇总表</w:t>
      </w:r>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37"/>
              <w:spacing w:beforeLines="0" w:afterLines="0" w:line="240" w:lineRule="auto"/>
              <w:jc w:val="right"/>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项目</w:t>
            </w:r>
          </w:p>
          <w:p>
            <w:pPr>
              <w:pStyle w:val="37"/>
              <w:spacing w:beforeLines="0" w:afterLines="0" w:line="240" w:lineRule="auto"/>
              <w:jc w:val="left"/>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分类</w:t>
            </w:r>
          </w:p>
        </w:tc>
        <w:tc>
          <w:tcPr>
            <w:tcW w:w="1417"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污染物名称</w:t>
            </w:r>
          </w:p>
        </w:tc>
        <w:tc>
          <w:tcPr>
            <w:tcW w:w="1701"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现有工程</w:t>
            </w:r>
          </w:p>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276"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现有工程</w:t>
            </w:r>
          </w:p>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许可排放量</w:t>
            </w:r>
          </w:p>
          <w:p>
            <w:pPr>
              <w:pStyle w:val="37"/>
              <w:spacing w:beforeLines="0" w:afterLines="0"/>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2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②</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701"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在建工程</w:t>
            </w:r>
          </w:p>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559"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本项目</w:t>
            </w:r>
          </w:p>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c>
          <w:tcPr>
            <w:tcW w:w="1761"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以新带老削减量</w:t>
            </w:r>
          </w:p>
          <w:p>
            <w:pPr>
              <w:pStyle w:val="37"/>
              <w:spacing w:beforeLines="0" w:afterLines="0" w:line="240" w:lineRule="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（新建项目不填）</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p>
        </w:tc>
        <w:tc>
          <w:tcPr>
            <w:tcW w:w="1959"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本项目建成后</w:t>
            </w:r>
          </w:p>
          <w:p>
            <w:pPr>
              <w:pStyle w:val="37"/>
              <w:spacing w:beforeLines="0" w:afterLines="0" w:line="240" w:lineRule="auto"/>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全厂排放量（固体废物产生量）</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p>
        </w:tc>
        <w:tc>
          <w:tcPr>
            <w:tcW w:w="826" w:type="dxa"/>
            <w:noWrap w:val="0"/>
            <w:tcMar>
              <w:left w:w="28" w:type="dxa"/>
              <w:right w:w="28" w:type="dxa"/>
            </w:tcMar>
            <w:vAlign w:val="center"/>
          </w:tcPr>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变化量</w:t>
            </w:r>
          </w:p>
          <w:p>
            <w:pPr>
              <w:pStyle w:val="37"/>
              <w:spacing w:beforeLines="0" w:afterLines="0" w:line="240" w:lineRule="auto"/>
              <w:rPr>
                <w:rFonts w:hint="default" w:ascii="Times New Roman" w:hAnsi="Times New Roman" w:eastAsia="宋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kern w:val="2"/>
                <w:szCs w:val="21"/>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88"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废气</w:t>
            </w:r>
          </w:p>
        </w:tc>
        <w:tc>
          <w:tcPr>
            <w:tcW w:w="1417"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eastAsia="zh-CN"/>
                <w14:textFill>
                  <w14:solidFill>
                    <w14:schemeClr w14:val="tx1"/>
                  </w14:solidFill>
                </w14:textFill>
              </w:rPr>
              <w:t>颗粒物</w:t>
            </w:r>
          </w:p>
        </w:tc>
        <w:tc>
          <w:tcPr>
            <w:tcW w:w="1701"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0.6666t/a</w:t>
            </w:r>
          </w:p>
        </w:tc>
        <w:tc>
          <w:tcPr>
            <w:tcW w:w="1761"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0.6666t/a</w:t>
            </w:r>
          </w:p>
        </w:tc>
        <w:tc>
          <w:tcPr>
            <w:tcW w:w="82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0.6666t/a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88" w:type="dxa"/>
            <w:vMerge w:val="continue"/>
            <w:noWrap w:val="0"/>
            <w:vAlign w:val="center"/>
          </w:tcPr>
          <w:p>
            <w:pPr>
              <w:pStyle w:val="37"/>
              <w:spacing w:beforeLines="0" w:afterLines="0" w:line="240" w:lineRule="auto"/>
              <w:rPr>
                <w:rFonts w:hint="default" w:ascii="Times New Roman" w:hAnsi="Times New Roman" w:eastAsia="宋体" w:cs="Times New Roman"/>
                <w:color w:val="000000" w:themeColor="text1"/>
                <w14:textFill>
                  <w14:solidFill>
                    <w14:schemeClr w14:val="tx1"/>
                  </w14:solidFill>
                </w14:textFill>
              </w:rPr>
            </w:pPr>
          </w:p>
        </w:tc>
        <w:tc>
          <w:tcPr>
            <w:tcW w:w="1417" w:type="dxa"/>
            <w:vMerge w:val="restart"/>
            <w:noWrap w:val="0"/>
            <w:vAlign w:val="center"/>
          </w:tcPr>
          <w:p>
            <w:pPr>
              <w:pStyle w:val="37"/>
              <w:spacing w:beforeLines="0" w:afterLines="0" w:line="240" w:lineRule="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氨气</w:t>
            </w:r>
          </w:p>
        </w:tc>
        <w:tc>
          <w:tcPr>
            <w:tcW w:w="1701" w:type="dxa"/>
            <w:vMerge w:val="restart"/>
            <w:noWrap w:val="0"/>
            <w:vAlign w:val="center"/>
          </w:tcPr>
          <w:p>
            <w:pPr>
              <w:pStyle w:val="37"/>
              <w:spacing w:beforeLines="0" w:afterLines="0" w:line="240" w:lineRule="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w:t>
            </w:r>
          </w:p>
        </w:tc>
        <w:tc>
          <w:tcPr>
            <w:tcW w:w="1276" w:type="dxa"/>
            <w:vMerge w:val="restart"/>
            <w:noWrap w:val="0"/>
            <w:vAlign w:val="center"/>
          </w:tcPr>
          <w:p>
            <w:pPr>
              <w:pStyle w:val="37"/>
              <w:spacing w:beforeLines="0" w:afterLines="0" w:line="240" w:lineRule="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w:t>
            </w:r>
          </w:p>
        </w:tc>
        <w:tc>
          <w:tcPr>
            <w:tcW w:w="1701" w:type="dxa"/>
            <w:vMerge w:val="restart"/>
            <w:noWrap w:val="0"/>
            <w:vAlign w:val="center"/>
          </w:tcPr>
          <w:p>
            <w:pPr>
              <w:pStyle w:val="37"/>
              <w:spacing w:beforeLines="0" w:afterLines="0" w:line="240" w:lineRule="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w:t>
            </w:r>
          </w:p>
        </w:tc>
        <w:tc>
          <w:tcPr>
            <w:tcW w:w="15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0.0323t/a</w:t>
            </w:r>
          </w:p>
        </w:tc>
        <w:tc>
          <w:tcPr>
            <w:tcW w:w="1761"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0.0323t/a</w:t>
            </w:r>
          </w:p>
        </w:tc>
        <w:tc>
          <w:tcPr>
            <w:tcW w:w="82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0.0323t/a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88" w:type="dxa"/>
            <w:vMerge w:val="continue"/>
            <w:noWrap w:val="0"/>
            <w:vAlign w:val="center"/>
          </w:tcPr>
          <w:p>
            <w:pPr>
              <w:pStyle w:val="37"/>
              <w:spacing w:beforeLines="0" w:afterLines="0" w:line="240" w:lineRule="auto"/>
              <w:rPr>
                <w:rFonts w:hint="default" w:ascii="Times New Roman" w:hAnsi="Times New Roman" w:eastAsia="宋体" w:cs="Times New Roman"/>
                <w:color w:val="000000" w:themeColor="text1"/>
                <w14:textFill>
                  <w14:solidFill>
                    <w14:schemeClr w14:val="tx1"/>
                  </w14:solidFill>
                </w14:textFill>
              </w:rPr>
            </w:pPr>
          </w:p>
        </w:tc>
        <w:tc>
          <w:tcPr>
            <w:tcW w:w="1417" w:type="dxa"/>
            <w:noWrap w:val="0"/>
            <w:vAlign w:val="center"/>
          </w:tcPr>
          <w:p>
            <w:pPr>
              <w:pStyle w:val="37"/>
              <w:spacing w:beforeLines="0" w:afterLines="0" w:line="240" w:lineRule="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氯化氢</w:t>
            </w:r>
          </w:p>
        </w:tc>
        <w:tc>
          <w:tcPr>
            <w:tcW w:w="1701" w:type="dxa"/>
            <w:noWrap w:val="0"/>
            <w:vAlign w:val="center"/>
          </w:tcPr>
          <w:p>
            <w:pPr>
              <w:pStyle w:val="37"/>
              <w:spacing w:beforeLines="0" w:afterLines="0" w:line="240" w:lineRule="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w:t>
            </w:r>
          </w:p>
        </w:tc>
        <w:tc>
          <w:tcPr>
            <w:tcW w:w="1276" w:type="dxa"/>
            <w:noWrap w:val="0"/>
            <w:vAlign w:val="center"/>
          </w:tcPr>
          <w:p>
            <w:pPr>
              <w:pStyle w:val="37"/>
              <w:spacing w:beforeLines="0" w:afterLines="0" w:line="240" w:lineRule="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w:t>
            </w:r>
          </w:p>
        </w:tc>
        <w:tc>
          <w:tcPr>
            <w:tcW w:w="1701" w:type="dxa"/>
            <w:noWrap w:val="0"/>
            <w:vAlign w:val="center"/>
          </w:tcPr>
          <w:p>
            <w:pPr>
              <w:pStyle w:val="37"/>
              <w:spacing w:beforeLines="0" w:afterLines="0" w:line="240" w:lineRule="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w:t>
            </w:r>
          </w:p>
        </w:tc>
        <w:tc>
          <w:tcPr>
            <w:tcW w:w="15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0.0687t/a</w:t>
            </w:r>
          </w:p>
        </w:tc>
        <w:tc>
          <w:tcPr>
            <w:tcW w:w="176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0.0687t/a</w:t>
            </w:r>
          </w:p>
        </w:tc>
        <w:tc>
          <w:tcPr>
            <w:tcW w:w="82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0.0687t/a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废水</w:t>
            </w:r>
          </w:p>
        </w:tc>
        <w:tc>
          <w:tcPr>
            <w:tcW w:w="1417" w:type="dxa"/>
            <w:noWrap w:val="0"/>
            <w:vAlign w:val="center"/>
          </w:tcPr>
          <w:p>
            <w:pPr>
              <w:bidi w:val="0"/>
              <w:jc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水量</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162t/a</w:t>
            </w:r>
          </w:p>
        </w:tc>
        <w:tc>
          <w:tcPr>
            <w:tcW w:w="176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162t/a</w:t>
            </w:r>
          </w:p>
        </w:tc>
        <w:tc>
          <w:tcPr>
            <w:tcW w:w="82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162t/a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417" w:type="dxa"/>
            <w:noWrap w:val="0"/>
            <w:vAlign w:val="center"/>
          </w:tcPr>
          <w:p>
            <w:pPr>
              <w:bidi w:val="0"/>
              <w:jc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0.0344</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176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0.0344</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82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0.0344</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417" w:type="dxa"/>
            <w:noWrap w:val="0"/>
            <w:vAlign w:val="center"/>
          </w:tcPr>
          <w:p>
            <w:pPr>
              <w:bidi w:val="0"/>
              <w:jc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BOD</w:t>
            </w:r>
            <w:r>
              <w:rPr>
                <w:rFonts w:hint="default" w:ascii="Times New Roman" w:hAnsi="Times New Roman" w:eastAsia="宋体" w:cs="Times New Roman"/>
                <w:color w:val="000000" w:themeColor="text1"/>
                <w:vertAlign w:val="subscript"/>
                <w14:textFill>
                  <w14:solidFill>
                    <w14:schemeClr w14:val="tx1"/>
                  </w14:solidFill>
                </w14:textFill>
              </w:rPr>
              <w:t>5</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0.0147</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176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0.0147</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82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0.0147</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417" w:type="dxa"/>
            <w:noWrap w:val="0"/>
            <w:vAlign w:val="center"/>
          </w:tcPr>
          <w:p>
            <w:pPr>
              <w:bidi w:val="0"/>
              <w:jc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SS</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0.0113</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176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0.0113</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82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0.0113</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417" w:type="dxa"/>
            <w:noWrap w:val="0"/>
            <w:vAlign w:val="center"/>
          </w:tcPr>
          <w:p>
            <w:pPr>
              <w:bidi w:val="0"/>
              <w:jc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氨氮</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0.0039</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176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0.0039</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c>
          <w:tcPr>
            <w:tcW w:w="826"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0.0039</w:t>
            </w: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一般工业</w:t>
            </w:r>
          </w:p>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固体废物</w:t>
            </w:r>
          </w:p>
        </w:tc>
        <w:tc>
          <w:tcPr>
            <w:tcW w:w="1417" w:type="dxa"/>
            <w:noWrap w:val="0"/>
            <w:vAlign w:val="bottom"/>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生活垃圾</w:t>
            </w:r>
          </w:p>
        </w:tc>
        <w:tc>
          <w:tcPr>
            <w:tcW w:w="1701"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2.25t/a</w:t>
            </w:r>
          </w:p>
        </w:tc>
        <w:tc>
          <w:tcPr>
            <w:tcW w:w="1761"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2.25t/a</w:t>
            </w:r>
          </w:p>
        </w:tc>
        <w:tc>
          <w:tcPr>
            <w:tcW w:w="826"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2.25t/a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p>
        </w:tc>
        <w:tc>
          <w:tcPr>
            <w:tcW w:w="1417"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废包装料</w:t>
            </w:r>
          </w:p>
        </w:tc>
        <w:tc>
          <w:tcPr>
            <w:tcW w:w="1701"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276"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701"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559"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2t/a</w:t>
            </w:r>
          </w:p>
        </w:tc>
        <w:tc>
          <w:tcPr>
            <w:tcW w:w="1761"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0</w:t>
            </w:r>
          </w:p>
        </w:tc>
        <w:tc>
          <w:tcPr>
            <w:tcW w:w="1959"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2t/a</w:t>
            </w:r>
          </w:p>
        </w:tc>
        <w:tc>
          <w:tcPr>
            <w:tcW w:w="826" w:type="dxa"/>
            <w:noWrap w:val="0"/>
            <w:vAlign w:val="center"/>
          </w:tcPr>
          <w:p>
            <w:pPr>
              <w:pStyle w:val="37"/>
              <w:keepNext w:val="0"/>
              <w:keepLines w:val="0"/>
              <w:pageBreakBefore w:val="0"/>
              <w:widowControl w:val="0"/>
              <w:kinsoku/>
              <w:wordWrap/>
              <w:overflowPunct/>
              <w:topLinePunct w:val="0"/>
              <w:autoSpaceDE/>
              <w:autoSpaceDN/>
              <w:bidi w:val="0"/>
              <w:adjustRightInd w:val="0"/>
              <w:snapToGrid w:val="0"/>
              <w:spacing w:beforeLines="0" w:afterLines="0" w:line="36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588"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危险废物</w:t>
            </w:r>
          </w:p>
        </w:tc>
        <w:tc>
          <w:tcPr>
            <w:tcW w:w="1417"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27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0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5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761"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1959"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c>
          <w:tcPr>
            <w:tcW w:w="826" w:type="dxa"/>
            <w:noWrap w:val="0"/>
            <w:vAlign w:val="center"/>
          </w:tcPr>
          <w:p>
            <w:pPr>
              <w:pStyle w:val="37"/>
              <w:spacing w:beforeLines="0" w:afterLines="0" w:line="240" w:lineRule="auto"/>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Cs w:val="21"/>
                <w:lang w:val="en-US" w:eastAsia="zh-CN"/>
                <w14:textFill>
                  <w14:solidFill>
                    <w14:schemeClr w14:val="tx1"/>
                  </w14:solidFill>
                </w14:textFill>
              </w:rPr>
              <w:t>/</w:t>
            </w:r>
          </w:p>
        </w:tc>
      </w:tr>
    </w:tbl>
    <w:p>
      <w:pPr>
        <w:pStyle w:val="37"/>
        <w:spacing w:before="192" w:beforeLines="80" w:after="24"/>
        <w:jc w:val="left"/>
        <w:rPr>
          <w:rFonts w:hint="default" w:ascii="Times New Roman" w:hAnsi="Times New Roman" w:cs="Times New Roman"/>
          <w:snapToGrid w:val="0"/>
          <w:color w:val="000000"/>
          <w:spacing w:val="-6"/>
          <w:kern w:val="21"/>
          <w:szCs w:val="21"/>
        </w:rPr>
      </w:pPr>
      <w:r>
        <w:rPr>
          <w:rFonts w:hint="default" w:ascii="Times New Roman" w:hAnsi="Times New Roman" w:cs="Times New Roman"/>
          <w:snapToGrid w:val="0"/>
          <w:color w:val="000000"/>
          <w:kern w:val="21"/>
          <w:szCs w:val="21"/>
        </w:rPr>
        <w:t>注：</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3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③</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4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④</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5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⑤</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7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⑦</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Style w:val="30"/>
                              <w:rFonts w:ascii="宋体" w:hAnsi="宋体"/>
                              <w:sz w:val="26"/>
                              <w:szCs w:val="26"/>
                            </w:rPr>
                            <w:fldChar w:fldCharType="begin"/>
                          </w:r>
                          <w:r>
                            <w:rPr>
                              <w:rStyle w:val="30"/>
                              <w:rFonts w:ascii="宋体" w:hAnsi="宋体"/>
                              <w:sz w:val="26"/>
                              <w:szCs w:val="26"/>
                            </w:rPr>
                            <w:instrText xml:space="preserve">PAGE  </w:instrText>
                          </w:r>
                          <w:r>
                            <w:rPr>
                              <w:rStyle w:val="30"/>
                              <w:rFonts w:ascii="宋体" w:hAnsi="宋体"/>
                              <w:sz w:val="26"/>
                              <w:szCs w:val="26"/>
                            </w:rPr>
                            <w:fldChar w:fldCharType="separate"/>
                          </w:r>
                          <w:r>
                            <w:rPr>
                              <w:rStyle w:val="30"/>
                              <w:rFonts w:ascii="宋体" w:hAnsi="宋体"/>
                              <w:sz w:val="26"/>
                              <w:szCs w:val="26"/>
                            </w:rPr>
                            <w:t>9</w:t>
                          </w:r>
                          <w:r>
                            <w:rPr>
                              <w:rStyle w:val="30"/>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Style w:val="30"/>
                        <w:rFonts w:ascii="宋体" w:hAnsi="宋体"/>
                        <w:sz w:val="26"/>
                        <w:szCs w:val="26"/>
                      </w:rPr>
                      <w:fldChar w:fldCharType="begin"/>
                    </w:r>
                    <w:r>
                      <w:rPr>
                        <w:rStyle w:val="30"/>
                        <w:rFonts w:ascii="宋体" w:hAnsi="宋体"/>
                        <w:sz w:val="26"/>
                        <w:szCs w:val="26"/>
                      </w:rPr>
                      <w:instrText xml:space="preserve">PAGE  </w:instrText>
                    </w:r>
                    <w:r>
                      <w:rPr>
                        <w:rStyle w:val="30"/>
                        <w:rFonts w:ascii="宋体" w:hAnsi="宋体"/>
                        <w:sz w:val="26"/>
                        <w:szCs w:val="26"/>
                      </w:rPr>
                      <w:fldChar w:fldCharType="separate"/>
                    </w:r>
                    <w:r>
                      <w:rPr>
                        <w:rStyle w:val="30"/>
                        <w:rFonts w:ascii="宋体" w:hAnsi="宋体"/>
                        <w:sz w:val="26"/>
                        <w:szCs w:val="26"/>
                      </w:rPr>
                      <w:t>9</w:t>
                    </w:r>
                    <w:r>
                      <w:rPr>
                        <w:rStyle w:val="30"/>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Style w:val="30"/>
                              <w:rFonts w:ascii="宋体" w:hAnsi="宋体"/>
                              <w:sz w:val="26"/>
                              <w:szCs w:val="26"/>
                            </w:rPr>
                            <w:fldChar w:fldCharType="begin"/>
                          </w:r>
                          <w:r>
                            <w:rPr>
                              <w:rStyle w:val="30"/>
                              <w:rFonts w:ascii="宋体" w:hAnsi="宋体"/>
                              <w:sz w:val="26"/>
                              <w:szCs w:val="26"/>
                            </w:rPr>
                            <w:instrText xml:space="preserve">PAGE  </w:instrText>
                          </w:r>
                          <w:r>
                            <w:rPr>
                              <w:rStyle w:val="30"/>
                              <w:rFonts w:ascii="宋体" w:hAnsi="宋体"/>
                              <w:sz w:val="26"/>
                              <w:szCs w:val="26"/>
                            </w:rPr>
                            <w:fldChar w:fldCharType="separate"/>
                          </w:r>
                          <w:r>
                            <w:rPr>
                              <w:rStyle w:val="30"/>
                              <w:rFonts w:ascii="宋体" w:hAnsi="宋体"/>
                              <w:sz w:val="26"/>
                              <w:szCs w:val="26"/>
                            </w:rPr>
                            <w:t>11</w:t>
                          </w:r>
                          <w:r>
                            <w:rPr>
                              <w:rStyle w:val="30"/>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Style w:val="30"/>
                        <w:rFonts w:ascii="宋体" w:hAnsi="宋体"/>
                        <w:sz w:val="26"/>
                        <w:szCs w:val="26"/>
                      </w:rPr>
                      <w:fldChar w:fldCharType="begin"/>
                    </w:r>
                    <w:r>
                      <w:rPr>
                        <w:rStyle w:val="30"/>
                        <w:rFonts w:ascii="宋体" w:hAnsi="宋体"/>
                        <w:sz w:val="26"/>
                        <w:szCs w:val="26"/>
                      </w:rPr>
                      <w:instrText xml:space="preserve">PAGE  </w:instrText>
                    </w:r>
                    <w:r>
                      <w:rPr>
                        <w:rStyle w:val="30"/>
                        <w:rFonts w:ascii="宋体" w:hAnsi="宋体"/>
                        <w:sz w:val="26"/>
                        <w:szCs w:val="26"/>
                      </w:rPr>
                      <w:fldChar w:fldCharType="separate"/>
                    </w:r>
                    <w:r>
                      <w:rPr>
                        <w:rStyle w:val="30"/>
                        <w:rFonts w:ascii="宋体" w:hAnsi="宋体"/>
                        <w:sz w:val="26"/>
                        <w:szCs w:val="26"/>
                      </w:rPr>
                      <w:t>11</w:t>
                    </w:r>
                    <w:r>
                      <w:rPr>
                        <w:rStyle w:val="30"/>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AC6A77"/>
    <w:rsid w:val="02697903"/>
    <w:rsid w:val="02F712C0"/>
    <w:rsid w:val="02F96569"/>
    <w:rsid w:val="03EA7B21"/>
    <w:rsid w:val="049F083B"/>
    <w:rsid w:val="05F83EAE"/>
    <w:rsid w:val="063E7D85"/>
    <w:rsid w:val="07293586"/>
    <w:rsid w:val="07295285"/>
    <w:rsid w:val="07636392"/>
    <w:rsid w:val="07770C56"/>
    <w:rsid w:val="08BC1621"/>
    <w:rsid w:val="09006E87"/>
    <w:rsid w:val="092217DD"/>
    <w:rsid w:val="093A7294"/>
    <w:rsid w:val="0A263993"/>
    <w:rsid w:val="0A2D3AC2"/>
    <w:rsid w:val="0A6B257D"/>
    <w:rsid w:val="0AA755DF"/>
    <w:rsid w:val="0B120D44"/>
    <w:rsid w:val="0BD02F4E"/>
    <w:rsid w:val="0BD27BF6"/>
    <w:rsid w:val="0C3B3C7D"/>
    <w:rsid w:val="0CAB2EAE"/>
    <w:rsid w:val="0D621C7D"/>
    <w:rsid w:val="0E73034D"/>
    <w:rsid w:val="0F13775A"/>
    <w:rsid w:val="0F5F45FE"/>
    <w:rsid w:val="0F9A112B"/>
    <w:rsid w:val="106D2F64"/>
    <w:rsid w:val="10B63710"/>
    <w:rsid w:val="10F10820"/>
    <w:rsid w:val="111C2F7A"/>
    <w:rsid w:val="111D2136"/>
    <w:rsid w:val="11665CA1"/>
    <w:rsid w:val="13951726"/>
    <w:rsid w:val="14396509"/>
    <w:rsid w:val="14DD2C3C"/>
    <w:rsid w:val="1545054C"/>
    <w:rsid w:val="15E723A2"/>
    <w:rsid w:val="16087E1D"/>
    <w:rsid w:val="16C1579A"/>
    <w:rsid w:val="16D83DCE"/>
    <w:rsid w:val="17701D14"/>
    <w:rsid w:val="17735226"/>
    <w:rsid w:val="17DD0317"/>
    <w:rsid w:val="189F624C"/>
    <w:rsid w:val="18B24B81"/>
    <w:rsid w:val="192A18FD"/>
    <w:rsid w:val="19836270"/>
    <w:rsid w:val="198A6B39"/>
    <w:rsid w:val="19E835F0"/>
    <w:rsid w:val="1A1C66C0"/>
    <w:rsid w:val="1A42393B"/>
    <w:rsid w:val="1AAD45DE"/>
    <w:rsid w:val="1B046F80"/>
    <w:rsid w:val="1B3267B5"/>
    <w:rsid w:val="1B40161D"/>
    <w:rsid w:val="1B441859"/>
    <w:rsid w:val="1B6606B1"/>
    <w:rsid w:val="1C5E7925"/>
    <w:rsid w:val="1CFD070F"/>
    <w:rsid w:val="1D3566D0"/>
    <w:rsid w:val="1D5F6196"/>
    <w:rsid w:val="1D6132A5"/>
    <w:rsid w:val="1D805D1C"/>
    <w:rsid w:val="1D8E56D5"/>
    <w:rsid w:val="1DCA4E68"/>
    <w:rsid w:val="1E6F08A8"/>
    <w:rsid w:val="1E7A43DA"/>
    <w:rsid w:val="1ECC041B"/>
    <w:rsid w:val="1EE40FA8"/>
    <w:rsid w:val="1F10559C"/>
    <w:rsid w:val="1F162DAE"/>
    <w:rsid w:val="1F256A5F"/>
    <w:rsid w:val="1F792B52"/>
    <w:rsid w:val="1FE7539E"/>
    <w:rsid w:val="20671BE0"/>
    <w:rsid w:val="20963CB8"/>
    <w:rsid w:val="20A81A1B"/>
    <w:rsid w:val="20B07FB6"/>
    <w:rsid w:val="20B646FB"/>
    <w:rsid w:val="213B74B1"/>
    <w:rsid w:val="215A2310"/>
    <w:rsid w:val="21DE318A"/>
    <w:rsid w:val="21EF5B80"/>
    <w:rsid w:val="21FD3697"/>
    <w:rsid w:val="22576990"/>
    <w:rsid w:val="22F47480"/>
    <w:rsid w:val="23DE1C48"/>
    <w:rsid w:val="240210CD"/>
    <w:rsid w:val="243A09E9"/>
    <w:rsid w:val="24BF09F7"/>
    <w:rsid w:val="25210557"/>
    <w:rsid w:val="252D53FE"/>
    <w:rsid w:val="25EC2D81"/>
    <w:rsid w:val="277057A2"/>
    <w:rsid w:val="29206EB8"/>
    <w:rsid w:val="29425A13"/>
    <w:rsid w:val="29595666"/>
    <w:rsid w:val="29874881"/>
    <w:rsid w:val="29B97387"/>
    <w:rsid w:val="29E325E0"/>
    <w:rsid w:val="29F21E63"/>
    <w:rsid w:val="2A452503"/>
    <w:rsid w:val="2BA936A8"/>
    <w:rsid w:val="2C315A5A"/>
    <w:rsid w:val="2C4B1C25"/>
    <w:rsid w:val="2C8A1BE0"/>
    <w:rsid w:val="2CB45505"/>
    <w:rsid w:val="2D986EE1"/>
    <w:rsid w:val="2D9E56F5"/>
    <w:rsid w:val="2E667F96"/>
    <w:rsid w:val="2E8226AB"/>
    <w:rsid w:val="2FD065E6"/>
    <w:rsid w:val="2FD96870"/>
    <w:rsid w:val="30580BC9"/>
    <w:rsid w:val="311E2ED7"/>
    <w:rsid w:val="312A009F"/>
    <w:rsid w:val="315619EE"/>
    <w:rsid w:val="315C449C"/>
    <w:rsid w:val="31B82709"/>
    <w:rsid w:val="31D05482"/>
    <w:rsid w:val="321B594D"/>
    <w:rsid w:val="32400B34"/>
    <w:rsid w:val="329E6876"/>
    <w:rsid w:val="333015F2"/>
    <w:rsid w:val="334B6320"/>
    <w:rsid w:val="33CB3F6A"/>
    <w:rsid w:val="33D934D4"/>
    <w:rsid w:val="33FE2F6A"/>
    <w:rsid w:val="340E07E5"/>
    <w:rsid w:val="34235BF7"/>
    <w:rsid w:val="344141C7"/>
    <w:rsid w:val="358C5FA8"/>
    <w:rsid w:val="35C15DF1"/>
    <w:rsid w:val="3605527D"/>
    <w:rsid w:val="36074A7F"/>
    <w:rsid w:val="36923549"/>
    <w:rsid w:val="36B75FBF"/>
    <w:rsid w:val="36BD0C45"/>
    <w:rsid w:val="37700013"/>
    <w:rsid w:val="378A43E5"/>
    <w:rsid w:val="37E00298"/>
    <w:rsid w:val="38692B46"/>
    <w:rsid w:val="38B302F9"/>
    <w:rsid w:val="38F12CD3"/>
    <w:rsid w:val="38F94775"/>
    <w:rsid w:val="392971ED"/>
    <w:rsid w:val="39325651"/>
    <w:rsid w:val="3A872856"/>
    <w:rsid w:val="3B3763D1"/>
    <w:rsid w:val="3C2F6E1E"/>
    <w:rsid w:val="3C4F64BA"/>
    <w:rsid w:val="3C871F09"/>
    <w:rsid w:val="3CDA245A"/>
    <w:rsid w:val="3D1E06B7"/>
    <w:rsid w:val="3EDA0523"/>
    <w:rsid w:val="40194108"/>
    <w:rsid w:val="406B5D25"/>
    <w:rsid w:val="407A6407"/>
    <w:rsid w:val="4080682C"/>
    <w:rsid w:val="4140462C"/>
    <w:rsid w:val="41A91821"/>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681B23"/>
    <w:rsid w:val="4870272E"/>
    <w:rsid w:val="48BA7E3A"/>
    <w:rsid w:val="48BC0C17"/>
    <w:rsid w:val="49127CF8"/>
    <w:rsid w:val="49D05ACE"/>
    <w:rsid w:val="49DC7715"/>
    <w:rsid w:val="4A023139"/>
    <w:rsid w:val="4A7B576F"/>
    <w:rsid w:val="4AF561A9"/>
    <w:rsid w:val="4BD7750B"/>
    <w:rsid w:val="4C4A0649"/>
    <w:rsid w:val="4C7E5ECA"/>
    <w:rsid w:val="4C876AA5"/>
    <w:rsid w:val="4C9A30A0"/>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6DC3D9F"/>
    <w:rsid w:val="576E187F"/>
    <w:rsid w:val="57B72A76"/>
    <w:rsid w:val="57C3426C"/>
    <w:rsid w:val="57CE1F93"/>
    <w:rsid w:val="588743D1"/>
    <w:rsid w:val="5887701A"/>
    <w:rsid w:val="589E3B8A"/>
    <w:rsid w:val="59C0439F"/>
    <w:rsid w:val="5A2E6001"/>
    <w:rsid w:val="5AB953B0"/>
    <w:rsid w:val="5ABE2233"/>
    <w:rsid w:val="5B8819EC"/>
    <w:rsid w:val="5BDF5D95"/>
    <w:rsid w:val="5BFE7528"/>
    <w:rsid w:val="5DC529B4"/>
    <w:rsid w:val="5E2467F1"/>
    <w:rsid w:val="5F091E5A"/>
    <w:rsid w:val="5F1A2B43"/>
    <w:rsid w:val="5FB837BB"/>
    <w:rsid w:val="60166E33"/>
    <w:rsid w:val="60CC405A"/>
    <w:rsid w:val="60F26CE9"/>
    <w:rsid w:val="61E215D8"/>
    <w:rsid w:val="621B3775"/>
    <w:rsid w:val="62364782"/>
    <w:rsid w:val="6394356A"/>
    <w:rsid w:val="63C61B2C"/>
    <w:rsid w:val="63D40BE9"/>
    <w:rsid w:val="64102431"/>
    <w:rsid w:val="64A5243A"/>
    <w:rsid w:val="64F531DE"/>
    <w:rsid w:val="653018D9"/>
    <w:rsid w:val="65373578"/>
    <w:rsid w:val="66663A9A"/>
    <w:rsid w:val="671F124A"/>
    <w:rsid w:val="677A33C6"/>
    <w:rsid w:val="67DF7FBB"/>
    <w:rsid w:val="6806684F"/>
    <w:rsid w:val="681F6961"/>
    <w:rsid w:val="68610A2F"/>
    <w:rsid w:val="68805514"/>
    <w:rsid w:val="68F04B31"/>
    <w:rsid w:val="69316E2F"/>
    <w:rsid w:val="694E2071"/>
    <w:rsid w:val="69766163"/>
    <w:rsid w:val="697A3B33"/>
    <w:rsid w:val="69D44760"/>
    <w:rsid w:val="6A520EC7"/>
    <w:rsid w:val="6AF87E20"/>
    <w:rsid w:val="6B322639"/>
    <w:rsid w:val="6C636C38"/>
    <w:rsid w:val="6DB34098"/>
    <w:rsid w:val="6DB545B6"/>
    <w:rsid w:val="6DE02FB4"/>
    <w:rsid w:val="6DE33E08"/>
    <w:rsid w:val="6DF9520F"/>
    <w:rsid w:val="6E514CED"/>
    <w:rsid w:val="6E8A3880"/>
    <w:rsid w:val="6EB563D5"/>
    <w:rsid w:val="6ED92677"/>
    <w:rsid w:val="6F225983"/>
    <w:rsid w:val="6FFC5590"/>
    <w:rsid w:val="706D1DD0"/>
    <w:rsid w:val="70856B87"/>
    <w:rsid w:val="70D527EE"/>
    <w:rsid w:val="71371440"/>
    <w:rsid w:val="715B5300"/>
    <w:rsid w:val="717B4B93"/>
    <w:rsid w:val="71D27F8A"/>
    <w:rsid w:val="72367418"/>
    <w:rsid w:val="72553024"/>
    <w:rsid w:val="73122968"/>
    <w:rsid w:val="731F5D5E"/>
    <w:rsid w:val="73C51AD5"/>
    <w:rsid w:val="741E793C"/>
    <w:rsid w:val="745E3944"/>
    <w:rsid w:val="7536402B"/>
    <w:rsid w:val="75663F3C"/>
    <w:rsid w:val="7635099D"/>
    <w:rsid w:val="77762421"/>
    <w:rsid w:val="77B56B1F"/>
    <w:rsid w:val="780F09F4"/>
    <w:rsid w:val="78A90480"/>
    <w:rsid w:val="79557F1D"/>
    <w:rsid w:val="7A364017"/>
    <w:rsid w:val="7A5C66DF"/>
    <w:rsid w:val="7A8265E1"/>
    <w:rsid w:val="7B686D42"/>
    <w:rsid w:val="7B841746"/>
    <w:rsid w:val="7B983E12"/>
    <w:rsid w:val="7C6C5AC7"/>
    <w:rsid w:val="7CBF692F"/>
    <w:rsid w:val="7CC6544B"/>
    <w:rsid w:val="7D0239FF"/>
    <w:rsid w:val="7D5E40CD"/>
    <w:rsid w:val="7DCD56F2"/>
    <w:rsid w:val="7DF21532"/>
    <w:rsid w:val="7E5F325B"/>
    <w:rsid w:val="7F001CE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9">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10">
    <w:name w:val="heading 4"/>
    <w:basedOn w:val="1"/>
    <w:next w:val="1"/>
    <w:qFormat/>
    <w:locked/>
    <w:uiPriority w:val="1"/>
    <w:pPr>
      <w:ind w:left="820"/>
      <w:outlineLvl w:val="4"/>
    </w:pPr>
    <w:rPr>
      <w:rFonts w:ascii="宋体" w:hAnsi="宋体" w:eastAsia="宋体" w:cs="宋体"/>
      <w:b/>
      <w:bCs/>
      <w:sz w:val="24"/>
      <w:szCs w:val="24"/>
      <w:lang w:val="zh-CN" w:eastAsia="zh-CN" w:bidi="zh-CN"/>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link w:val="43"/>
    <w:semiHidden/>
    <w:qFormat/>
    <w:uiPriority w:val="0"/>
    <w:pPr>
      <w:jc w:val="left"/>
    </w:pPr>
    <w:rPr>
      <w:kern w:val="0"/>
      <w:sz w:val="24"/>
      <w:szCs w:val="20"/>
    </w:rPr>
  </w:style>
  <w:style w:type="paragraph" w:styleId="12">
    <w:name w:val="Body Text"/>
    <w:basedOn w:val="1"/>
    <w:next w:val="13"/>
    <w:link w:val="34"/>
    <w:qFormat/>
    <w:uiPriority w:val="0"/>
    <w:pPr>
      <w:widowControl/>
      <w:snapToGrid w:val="0"/>
      <w:spacing w:before="60" w:after="160" w:line="259" w:lineRule="auto"/>
      <w:ind w:right="113"/>
    </w:pPr>
    <w:rPr>
      <w:kern w:val="0"/>
      <w:sz w:val="18"/>
      <w:szCs w:val="20"/>
    </w:rPr>
  </w:style>
  <w:style w:type="paragraph" w:customStyle="1" w:styleId="13">
    <w:name w:val="xl27"/>
    <w:basedOn w:val="1"/>
    <w:next w:val="1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Body Text Indent 2"/>
    <w:basedOn w:val="1"/>
    <w:next w:val="1"/>
    <w:qFormat/>
    <w:locked/>
    <w:uiPriority w:val="0"/>
    <w:pPr>
      <w:spacing w:after="120" w:line="480" w:lineRule="auto"/>
      <w:ind w:left="200"/>
    </w:pPr>
    <w:rPr>
      <w:szCs w:val="24"/>
    </w:rPr>
  </w:style>
  <w:style w:type="paragraph" w:styleId="15">
    <w:name w:val="Body Text Indent"/>
    <w:basedOn w:val="1"/>
    <w:next w:val="16"/>
    <w:link w:val="50"/>
    <w:qFormat/>
    <w:uiPriority w:val="0"/>
    <w:pPr>
      <w:spacing w:after="120"/>
      <w:ind w:left="420" w:leftChars="200"/>
    </w:pPr>
    <w:rPr>
      <w:kern w:val="0"/>
      <w:sz w:val="24"/>
      <w:szCs w:val="20"/>
    </w:rPr>
  </w:style>
  <w:style w:type="paragraph" w:customStyle="1" w:styleId="16">
    <w:name w:val="样式 正文文本缩进 + 行距: 1.5 倍行距"/>
    <w:basedOn w:val="15"/>
    <w:qFormat/>
    <w:uiPriority w:val="0"/>
    <w:pPr>
      <w:spacing w:after="120" w:line="360" w:lineRule="auto"/>
      <w:ind w:left="90" w:firstLine="560"/>
    </w:pPr>
    <w:rPr>
      <w:rFonts w:cs="宋体"/>
    </w:rPr>
  </w:style>
  <w:style w:type="paragraph" w:styleId="17">
    <w:name w:val="Date"/>
    <w:basedOn w:val="1"/>
    <w:next w:val="1"/>
    <w:link w:val="39"/>
    <w:qFormat/>
    <w:uiPriority w:val="0"/>
    <w:pPr>
      <w:ind w:left="100" w:leftChars="2500"/>
    </w:pPr>
    <w:rPr>
      <w:kern w:val="0"/>
      <w:sz w:val="24"/>
      <w:szCs w:val="20"/>
    </w:rPr>
  </w:style>
  <w:style w:type="paragraph" w:styleId="18">
    <w:name w:val="Balloon Text"/>
    <w:basedOn w:val="1"/>
    <w:link w:val="46"/>
    <w:semiHidden/>
    <w:qFormat/>
    <w:uiPriority w:val="0"/>
    <w:rPr>
      <w:kern w:val="0"/>
      <w:sz w:val="18"/>
      <w:szCs w:val="20"/>
    </w:rPr>
  </w:style>
  <w:style w:type="paragraph" w:styleId="19">
    <w:name w:val="footer"/>
    <w:basedOn w:val="1"/>
    <w:link w:val="38"/>
    <w:qFormat/>
    <w:uiPriority w:val="99"/>
    <w:pPr>
      <w:tabs>
        <w:tab w:val="center" w:pos="4153"/>
        <w:tab w:val="right" w:pos="8306"/>
      </w:tabs>
      <w:snapToGrid w:val="0"/>
      <w:jc w:val="left"/>
    </w:pPr>
    <w:rPr>
      <w:kern w:val="0"/>
      <w:sz w:val="18"/>
      <w:szCs w:val="20"/>
    </w:rPr>
  </w:style>
  <w:style w:type="paragraph" w:styleId="20">
    <w:name w:val="header"/>
    <w:basedOn w:val="1"/>
    <w:link w:val="48"/>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2"/>
    <w:basedOn w:val="1"/>
    <w:next w:val="1"/>
    <w:qFormat/>
    <w:locked/>
    <w:uiPriority w:val="39"/>
    <w:pPr>
      <w:tabs>
        <w:tab w:val="right" w:leader="dot" w:pos="8302"/>
      </w:tabs>
      <w:ind w:left="420" w:leftChars="200"/>
    </w:pPr>
    <w:rPr>
      <w:rFonts w:ascii="新宋体" w:hAnsi="新宋体" w:eastAsia="新宋体"/>
      <w:b/>
    </w:rPr>
  </w:style>
  <w:style w:type="paragraph" w:styleId="22">
    <w:name w:val="Normal (Web)"/>
    <w:basedOn w:val="1"/>
    <w:link w:val="41"/>
    <w:qFormat/>
    <w:uiPriority w:val="0"/>
    <w:pPr>
      <w:widowControl/>
      <w:spacing w:before="100" w:beforeAutospacing="1" w:after="100" w:afterAutospacing="1"/>
      <w:jc w:val="left"/>
    </w:pPr>
    <w:rPr>
      <w:rFonts w:ascii="宋体" w:hAnsi="宋体"/>
      <w:kern w:val="0"/>
      <w:sz w:val="24"/>
      <w:szCs w:val="20"/>
    </w:rPr>
  </w:style>
  <w:style w:type="paragraph" w:styleId="23">
    <w:name w:val="Title"/>
    <w:basedOn w:val="1"/>
    <w:next w:val="1"/>
    <w:qFormat/>
    <w:locked/>
    <w:uiPriority w:val="1"/>
    <w:pPr>
      <w:autoSpaceDE w:val="0"/>
      <w:autoSpaceDN w:val="0"/>
      <w:spacing w:line="1011" w:lineRule="exact"/>
      <w:ind w:left="108"/>
      <w:jc w:val="left"/>
    </w:pPr>
    <w:rPr>
      <w:rFonts w:ascii="Times New Roman" w:hAnsi="Times New Roman" w:eastAsia="Times New Roman" w:cs="Times New Roman"/>
      <w:kern w:val="0"/>
      <w:sz w:val="89"/>
      <w:szCs w:val="89"/>
      <w:lang w:eastAsia="en-US"/>
    </w:rPr>
  </w:style>
  <w:style w:type="paragraph" w:styleId="24">
    <w:name w:val="annotation subject"/>
    <w:basedOn w:val="11"/>
    <w:next w:val="11"/>
    <w:link w:val="47"/>
    <w:semiHidden/>
    <w:qFormat/>
    <w:uiPriority w:val="0"/>
    <w:rPr>
      <w:b/>
      <w:sz w:val="24"/>
      <w:szCs w:val="20"/>
    </w:rPr>
  </w:style>
  <w:style w:type="paragraph" w:styleId="25">
    <w:name w:val="Body Text First Indent 2"/>
    <w:basedOn w:val="15"/>
    <w:next w:val="1"/>
    <w:qFormat/>
    <w:locked/>
    <w:uiPriority w:val="0"/>
    <w:pPr>
      <w:spacing w:line="240" w:lineRule="auto"/>
      <w:ind w:left="420" w:firstLine="420"/>
    </w:pPr>
    <w:rPr>
      <w:rFonts w:eastAsia="宋体"/>
      <w:sz w:val="21"/>
    </w:rPr>
  </w:style>
  <w:style w:type="table" w:styleId="27">
    <w:name w:val="Table Grid"/>
    <w:basedOn w:val="2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locked/>
    <w:uiPriority w:val="0"/>
    <w:rPr>
      <w:b/>
    </w:rPr>
  </w:style>
  <w:style w:type="character" w:styleId="30">
    <w:name w:val="page number"/>
    <w:basedOn w:val="28"/>
    <w:qFormat/>
    <w:locked/>
    <w:uiPriority w:val="0"/>
  </w:style>
  <w:style w:type="character" w:styleId="31">
    <w:name w:val="FollowedHyperlink"/>
    <w:basedOn w:val="28"/>
    <w:qFormat/>
    <w:locked/>
    <w:uiPriority w:val="0"/>
    <w:rPr>
      <w:color w:val="333333"/>
      <w:u w:val="none"/>
    </w:rPr>
  </w:style>
  <w:style w:type="character" w:styleId="32">
    <w:name w:val="Hyperlink"/>
    <w:basedOn w:val="28"/>
    <w:qFormat/>
    <w:locked/>
    <w:uiPriority w:val="0"/>
    <w:rPr>
      <w:color w:val="333333"/>
      <w:u w:val="none"/>
    </w:rPr>
  </w:style>
  <w:style w:type="character" w:styleId="33">
    <w:name w:val="annotation reference"/>
    <w:semiHidden/>
    <w:qFormat/>
    <w:uiPriority w:val="0"/>
    <w:rPr>
      <w:sz w:val="21"/>
    </w:rPr>
  </w:style>
  <w:style w:type="character" w:customStyle="1" w:styleId="34">
    <w:name w:val="正文文本 Char"/>
    <w:link w:val="12"/>
    <w:qFormat/>
    <w:locked/>
    <w:uiPriority w:val="0"/>
    <w:rPr>
      <w:sz w:val="18"/>
    </w:rPr>
  </w:style>
  <w:style w:type="paragraph" w:customStyle="1" w:styleId="3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37">
    <w:name w:val="表格"/>
    <w:basedOn w:val="1"/>
    <w:next w:val="1"/>
    <w:link w:val="44"/>
    <w:qFormat/>
    <w:uiPriority w:val="0"/>
    <w:pPr>
      <w:adjustRightInd w:val="0"/>
      <w:snapToGrid w:val="0"/>
      <w:spacing w:beforeLines="10" w:afterLines="10" w:line="259" w:lineRule="auto"/>
      <w:jc w:val="center"/>
    </w:pPr>
    <w:rPr>
      <w:rFonts w:ascii="宋体"/>
      <w:kern w:val="0"/>
      <w:szCs w:val="20"/>
    </w:rPr>
  </w:style>
  <w:style w:type="character" w:customStyle="1" w:styleId="38">
    <w:name w:val="页脚 Char"/>
    <w:link w:val="19"/>
    <w:qFormat/>
    <w:locked/>
    <w:uiPriority w:val="99"/>
    <w:rPr>
      <w:sz w:val="18"/>
    </w:rPr>
  </w:style>
  <w:style w:type="character" w:customStyle="1" w:styleId="39">
    <w:name w:val="日期 Char"/>
    <w:link w:val="17"/>
    <w:qFormat/>
    <w:locked/>
    <w:uiPriority w:val="0"/>
    <w:rPr>
      <w:rFonts w:ascii="Times New Roman" w:hAnsi="Times New Roman" w:eastAsia="宋体"/>
      <w:sz w:val="24"/>
    </w:rPr>
  </w:style>
  <w:style w:type="character" w:customStyle="1" w:styleId="40">
    <w:name w:val="页脚 字符"/>
    <w:basedOn w:val="28"/>
    <w:qFormat/>
    <w:uiPriority w:val="99"/>
  </w:style>
  <w:style w:type="character" w:customStyle="1" w:styleId="41">
    <w:name w:val="普通(网站) Char"/>
    <w:link w:val="22"/>
    <w:qFormat/>
    <w:locked/>
    <w:uiPriority w:val="0"/>
    <w:rPr>
      <w:rFonts w:ascii="宋体" w:hAnsi="宋体" w:eastAsia="宋体"/>
      <w:sz w:val="24"/>
    </w:rPr>
  </w:style>
  <w:style w:type="character" w:customStyle="1" w:styleId="42">
    <w:name w:val="正文文本 字符1"/>
    <w:semiHidden/>
    <w:qFormat/>
    <w:uiPriority w:val="0"/>
    <w:rPr>
      <w:rFonts w:ascii="Times New Roman" w:hAnsi="Times New Roman" w:eastAsia="宋体"/>
      <w:sz w:val="24"/>
    </w:rPr>
  </w:style>
  <w:style w:type="character" w:customStyle="1" w:styleId="43">
    <w:name w:val="批注文字 Char"/>
    <w:link w:val="11"/>
    <w:qFormat/>
    <w:locked/>
    <w:uiPriority w:val="0"/>
    <w:rPr>
      <w:rFonts w:ascii="Times New Roman" w:hAnsi="Times New Roman" w:eastAsia="宋体"/>
      <w:sz w:val="24"/>
    </w:rPr>
  </w:style>
  <w:style w:type="character" w:customStyle="1" w:styleId="44">
    <w:name w:val="表格 Char"/>
    <w:link w:val="37"/>
    <w:qFormat/>
    <w:locked/>
    <w:uiPriority w:val="0"/>
    <w:rPr>
      <w:rFonts w:ascii="宋体"/>
      <w:sz w:val="21"/>
    </w:rPr>
  </w:style>
  <w:style w:type="character" w:customStyle="1" w:styleId="45">
    <w:name w:val="日期 字符"/>
    <w:semiHidden/>
    <w:qFormat/>
    <w:uiPriority w:val="0"/>
    <w:rPr>
      <w:rFonts w:ascii="Times New Roman" w:hAnsi="Times New Roman" w:eastAsia="宋体"/>
      <w:sz w:val="24"/>
    </w:rPr>
  </w:style>
  <w:style w:type="character" w:customStyle="1" w:styleId="46">
    <w:name w:val="批注框文本 Char"/>
    <w:link w:val="18"/>
    <w:semiHidden/>
    <w:qFormat/>
    <w:locked/>
    <w:uiPriority w:val="0"/>
    <w:rPr>
      <w:rFonts w:ascii="Times New Roman" w:hAnsi="Times New Roman" w:eastAsia="宋体"/>
      <w:sz w:val="18"/>
    </w:rPr>
  </w:style>
  <w:style w:type="character" w:customStyle="1" w:styleId="47">
    <w:name w:val="批注主题 Char"/>
    <w:link w:val="24"/>
    <w:semiHidden/>
    <w:qFormat/>
    <w:locked/>
    <w:uiPriority w:val="0"/>
    <w:rPr>
      <w:rFonts w:ascii="Times New Roman" w:hAnsi="Times New Roman" w:eastAsia="宋体"/>
      <w:b/>
      <w:kern w:val="2"/>
      <w:sz w:val="24"/>
    </w:rPr>
  </w:style>
  <w:style w:type="character" w:customStyle="1" w:styleId="48">
    <w:name w:val="页眉 Char"/>
    <w:link w:val="20"/>
    <w:qFormat/>
    <w:locked/>
    <w:uiPriority w:val="0"/>
    <w:rPr>
      <w:sz w:val="18"/>
    </w:rPr>
  </w:style>
  <w:style w:type="character" w:customStyle="1" w:styleId="49">
    <w:name w:val="批注文字 字符1"/>
    <w:semiHidden/>
    <w:qFormat/>
    <w:uiPriority w:val="0"/>
    <w:rPr>
      <w:rFonts w:ascii="Times New Roman" w:hAnsi="Times New Roman" w:eastAsia="宋体"/>
      <w:sz w:val="24"/>
    </w:rPr>
  </w:style>
  <w:style w:type="character" w:customStyle="1" w:styleId="50">
    <w:name w:val="正文文本缩进 Char"/>
    <w:link w:val="15"/>
    <w:semiHidden/>
    <w:qFormat/>
    <w:locked/>
    <w:uiPriority w:val="0"/>
    <w:rPr>
      <w:rFonts w:ascii="Times New Roman" w:hAnsi="Times New Roman" w:eastAsia="宋体"/>
      <w:sz w:val="24"/>
    </w:rPr>
  </w:style>
  <w:style w:type="paragraph" w:customStyle="1" w:styleId="51">
    <w:name w:val="Table Paragraph"/>
    <w:basedOn w:val="1"/>
    <w:qFormat/>
    <w:uiPriority w:val="1"/>
    <w:rPr>
      <w:rFonts w:ascii="宋体" w:hAnsi="宋体" w:eastAsia="宋体" w:cs="宋体"/>
      <w:lang w:val="zh-CN" w:eastAsia="zh-CN" w:bidi="zh-CN"/>
    </w:rPr>
  </w:style>
  <w:style w:type="character" w:customStyle="1" w:styleId="52">
    <w:name w:val="bzmc"/>
    <w:basedOn w:val="28"/>
    <w:qFormat/>
    <w:uiPriority w:val="0"/>
  </w:style>
  <w:style w:type="character" w:customStyle="1" w:styleId="53">
    <w:name w:val="bzmc1"/>
    <w:basedOn w:val="28"/>
    <w:qFormat/>
    <w:uiPriority w:val="0"/>
  </w:style>
  <w:style w:type="character" w:customStyle="1" w:styleId="54">
    <w:name w:val="bzmc2"/>
    <w:basedOn w:val="28"/>
    <w:qFormat/>
    <w:uiPriority w:val="0"/>
  </w:style>
  <w:style w:type="character" w:customStyle="1" w:styleId="55">
    <w:name w:val="f_r"/>
    <w:basedOn w:val="28"/>
    <w:qFormat/>
    <w:uiPriority w:val="0"/>
  </w:style>
  <w:style w:type="character" w:customStyle="1" w:styleId="56">
    <w:name w:val="sysj"/>
    <w:basedOn w:val="28"/>
    <w:qFormat/>
    <w:uiPriority w:val="0"/>
  </w:style>
  <w:style w:type="character" w:customStyle="1" w:styleId="57">
    <w:name w:val="bzrq"/>
    <w:basedOn w:val="28"/>
    <w:qFormat/>
    <w:uiPriority w:val="0"/>
  </w:style>
  <w:style w:type="character" w:customStyle="1" w:styleId="58">
    <w:name w:val="bsharetext"/>
    <w:basedOn w:val="28"/>
    <w:qFormat/>
    <w:uiPriority w:val="0"/>
  </w:style>
  <w:style w:type="character" w:customStyle="1" w:styleId="59">
    <w:name w:val="thisit"/>
    <w:basedOn w:val="28"/>
    <w:qFormat/>
    <w:uiPriority w:val="0"/>
  </w:style>
  <w:style w:type="character" w:customStyle="1" w:styleId="60">
    <w:name w:val="f_r6"/>
    <w:basedOn w:val="28"/>
    <w:qFormat/>
    <w:uiPriority w:val="0"/>
  </w:style>
  <w:style w:type="character" w:customStyle="1" w:styleId="61">
    <w:name w:val="bzrq2"/>
    <w:basedOn w:val="28"/>
    <w:qFormat/>
    <w:uiPriority w:val="0"/>
  </w:style>
  <w:style w:type="paragraph" w:customStyle="1" w:styleId="62">
    <w:name w:val="表格报告书"/>
    <w:basedOn w:val="63"/>
    <w:next w:val="63"/>
    <w:qFormat/>
    <w:uiPriority w:val="0"/>
    <w:pPr>
      <w:spacing w:line="240" w:lineRule="auto"/>
      <w:ind w:firstLine="0" w:firstLineChars="0"/>
      <w:jc w:val="center"/>
    </w:pPr>
    <w:rPr>
      <w:rFonts w:ascii="Times New Roman" w:hAnsi="Times New Roman" w:eastAsia="宋体"/>
      <w:sz w:val="21"/>
    </w:rPr>
  </w:style>
  <w:style w:type="paragraph" w:customStyle="1" w:styleId="63">
    <w:name w:val="正文报告书"/>
    <w:basedOn w:val="12"/>
    <w:qFormat/>
    <w:uiPriority w:val="0"/>
    <w:pPr>
      <w:spacing w:line="360" w:lineRule="auto"/>
      <w:ind w:firstLine="643" w:firstLineChars="200"/>
    </w:pPr>
    <w:rPr>
      <w:rFonts w:ascii="Times New Roman" w:hAnsi="Times New Roman" w:eastAsia="宋体" w:cs="Times New Roman"/>
      <w:sz w:val="24"/>
      <w:szCs w:val="20"/>
    </w:rPr>
  </w:style>
  <w:style w:type="paragraph" w:customStyle="1" w:styleId="64">
    <w:name w:val="Default"/>
    <w:qFormat/>
    <w:uiPriority w:val="0"/>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 w:type="paragraph" w:customStyle="1" w:styleId="65">
    <w:name w:val="正文1"/>
    <w:basedOn w:val="1"/>
    <w:qFormat/>
    <w:uiPriority w:val="0"/>
    <w:pPr>
      <w:spacing w:line="360" w:lineRule="auto"/>
      <w:ind w:firstLine="200" w:firstLineChars="200"/>
    </w:pPr>
    <w:rPr>
      <w:sz w:val="24"/>
      <w:szCs w:val="24"/>
    </w:rPr>
  </w:style>
  <w:style w:type="table" w:customStyle="1" w:styleId="66">
    <w:name w:val="普通表格1"/>
    <w:qFormat/>
    <w:uiPriority w:val="0"/>
  </w:style>
  <w:style w:type="paragraph" w:customStyle="1" w:styleId="67">
    <w:name w:val="标题 11"/>
    <w:basedOn w:val="68"/>
    <w:qFormat/>
    <w:uiPriority w:val="0"/>
    <w:pPr>
      <w:spacing w:before="120" w:after="160" w:line="259" w:lineRule="auto"/>
      <w:ind w:left="432" w:hanging="432"/>
    </w:pPr>
    <w:rPr>
      <w:b/>
      <w:color w:val="000000"/>
      <w:sz w:val="30"/>
      <w:szCs w:val="30"/>
    </w:rPr>
  </w:style>
  <w:style w:type="paragraph" w:customStyle="1" w:styleId="68">
    <w:name w:val="正文11"/>
    <w:qFormat/>
    <w:uiPriority w:val="0"/>
    <w:pPr>
      <w:jc w:val="both"/>
    </w:pPr>
    <w:rPr>
      <w:rFonts w:ascii="Calibri" w:hAnsiTheme="minorHAnsi" w:eastAsiaTheme="minorEastAsia" w:cstheme="minorBidi"/>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image" Target="media/image8.emf"/><Relationship Id="rId17" Type="http://schemas.openxmlformats.org/officeDocument/2006/relationships/oleObject" Target="embeddings/oleObject3.bin"/><Relationship Id="rId16" Type="http://schemas.openxmlformats.org/officeDocument/2006/relationships/image" Target="media/image7.emf"/><Relationship Id="rId15" Type="http://schemas.openxmlformats.org/officeDocument/2006/relationships/oleObject" Target="embeddings/oleObject2.bin"/><Relationship Id="rId14" Type="http://schemas.openxmlformats.org/officeDocument/2006/relationships/image" Target="media/image6.e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Pages>
  <Words>293</Words>
  <Characters>1674</Characters>
  <Lines>13</Lines>
  <Paragraphs>3</Paragraphs>
  <TotalTime>1</TotalTime>
  <ScaleCrop>false</ScaleCrop>
  <LinksUpToDate>false</LinksUpToDate>
  <CharactersWithSpaces>1964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甩墨</cp:lastModifiedBy>
  <cp:lastPrinted>2021-03-16T05:02:00Z</cp:lastPrinted>
  <dcterms:modified xsi:type="dcterms:W3CDTF">2021-06-29T02:16:14Z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6F9F76AB5E94472BB11C1F37F95C0551</vt:lpwstr>
  </property>
</Properties>
</file>