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2-1</w:t>
      </w:r>
    </w:p>
    <w:p>
      <w:pPr>
        <w:spacing w:line="348" w:lineRule="auto"/>
        <w:jc w:val="center"/>
        <w:rPr>
          <w:sz w:val="42"/>
          <w:szCs w:val="42"/>
        </w:rPr>
      </w:pPr>
      <w:r>
        <w:rPr>
          <w:sz w:val="42"/>
          <w:szCs w:val="42"/>
        </w:rPr>
        <w:t xml:space="preserve"> </w:t>
      </w:r>
    </w:p>
    <w:p>
      <w:pPr>
        <w:spacing w:line="800" w:lineRule="exact"/>
        <w:jc w:val="center"/>
        <w:rPr>
          <w:rFonts w:hint="eastAsia" w:ascii="华文中宋" w:hAnsi="华文中宋" w:eastAsia="华文中宋" w:cs="华文中宋"/>
          <w:sz w:val="48"/>
          <w:szCs w:val="48"/>
        </w:rPr>
      </w:pPr>
      <w:r>
        <w:rPr>
          <w:rFonts w:hint="eastAsia" w:ascii="华文中宋" w:hAnsi="华文中宋" w:eastAsia="华文中宋" w:cs="华文中宋"/>
          <w:sz w:val="48"/>
          <w:szCs w:val="48"/>
        </w:rPr>
        <w:t>华容县</w:t>
      </w:r>
      <w:r>
        <w:rPr>
          <w:rFonts w:hint="eastAsia" w:ascii="华文中宋" w:hAnsi="华文中宋" w:eastAsia="华文中宋" w:cs="华文中宋"/>
          <w:sz w:val="48"/>
          <w:szCs w:val="48"/>
          <w:u w:val="single"/>
        </w:rPr>
        <w:t>201</w:t>
      </w:r>
      <w:r>
        <w:rPr>
          <w:rFonts w:hint="eastAsia" w:ascii="华文中宋" w:hAnsi="华文中宋" w:eastAsia="华文中宋" w:cs="华文中宋"/>
          <w:sz w:val="48"/>
          <w:szCs w:val="48"/>
          <w:u w:val="single"/>
          <w:lang w:val="en-US" w:eastAsia="zh-CN"/>
        </w:rPr>
        <w:t>8</w:t>
      </w:r>
      <w:r>
        <w:rPr>
          <w:rFonts w:hint="eastAsia" w:ascii="华文中宋" w:hAnsi="华文中宋" w:eastAsia="华文中宋" w:cs="华文中宋"/>
          <w:sz w:val="48"/>
          <w:szCs w:val="48"/>
        </w:rPr>
        <w:t>年度部门（单位）整体支出</w:t>
      </w:r>
    </w:p>
    <w:p>
      <w:pPr>
        <w:spacing w:line="800" w:lineRule="exact"/>
        <w:jc w:val="center"/>
        <w:rPr>
          <w:rFonts w:hint="eastAsia" w:ascii="华文中宋" w:hAnsi="华文中宋" w:eastAsia="华文中宋" w:cs="华文中宋"/>
          <w:sz w:val="48"/>
          <w:szCs w:val="48"/>
        </w:rPr>
      </w:pPr>
      <w:r>
        <w:rPr>
          <w:rFonts w:hint="eastAsia" w:ascii="华文中宋" w:hAnsi="华文中宋" w:eastAsia="华文中宋" w:cs="华文中宋"/>
          <w:sz w:val="48"/>
          <w:szCs w:val="48"/>
        </w:rPr>
        <w:t>绩效评价自评报告</w:t>
      </w:r>
    </w:p>
    <w:p>
      <w:pP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beforeLines="50" w:line="348" w:lineRule="auto"/>
        <w:ind w:firstLine="542" w:firstLineChars="150"/>
        <w:rPr>
          <w:rFonts w:hint="eastAsia" w:ascii="楷体" w:hAnsi="楷体" w:eastAsia="楷体" w:cs="楷体"/>
          <w:b/>
          <w:bCs/>
          <w:sz w:val="36"/>
          <w:szCs w:val="36"/>
          <w:u w:val="single"/>
        </w:rPr>
      </w:pPr>
      <w:r>
        <w:rPr>
          <w:rFonts w:hint="eastAsia" w:ascii="楷体" w:hAnsi="楷体" w:eastAsia="楷体" w:cs="楷体"/>
          <w:b/>
          <w:bCs/>
          <w:sz w:val="36"/>
          <w:szCs w:val="36"/>
        </w:rPr>
        <w:t>部门(单位)名称：</w:t>
      </w:r>
      <w:r>
        <w:rPr>
          <w:rFonts w:hint="eastAsia" w:ascii="楷体" w:hAnsi="楷体" w:eastAsia="楷体" w:cs="楷体"/>
          <w:b/>
          <w:bCs/>
          <w:sz w:val="36"/>
          <w:szCs w:val="36"/>
          <w:u w:val="single"/>
        </w:rPr>
        <w:t xml:space="preserve">华容县政法委  </w:t>
      </w:r>
    </w:p>
    <w:p>
      <w:pPr>
        <w:spacing w:beforeLines="50" w:line="348" w:lineRule="auto"/>
        <w:ind w:firstLine="542" w:firstLineChars="150"/>
        <w:rPr>
          <w:rFonts w:hint="eastAsia" w:ascii="楷体" w:hAnsi="楷体" w:eastAsia="楷体" w:cs="楷体"/>
          <w:b/>
          <w:bCs/>
          <w:spacing w:val="20"/>
          <w:sz w:val="36"/>
          <w:szCs w:val="36"/>
        </w:rPr>
      </w:pPr>
      <w:r>
        <w:rPr>
          <w:rFonts w:hint="eastAsia" w:ascii="楷体" w:hAnsi="楷体" w:eastAsia="楷体" w:cs="楷体"/>
          <w:b/>
          <w:bCs/>
          <w:sz w:val="36"/>
          <w:szCs w:val="36"/>
        </w:rPr>
        <w:t>预</w:t>
      </w:r>
      <w:r>
        <w:rPr>
          <w:rFonts w:hint="eastAsia" w:ascii="楷体" w:hAnsi="楷体" w:eastAsia="楷体" w:cs="楷体"/>
          <w:b/>
          <w:bCs/>
          <w:spacing w:val="30"/>
          <w:sz w:val="36"/>
          <w:szCs w:val="36"/>
        </w:rPr>
        <w:t xml:space="preserve"> 算 编 码：</w:t>
      </w:r>
      <w:r>
        <w:rPr>
          <w:rFonts w:hint="eastAsia" w:ascii="楷体" w:hAnsi="楷体" w:eastAsia="楷体" w:cs="楷体"/>
          <w:b/>
          <w:bCs/>
          <w:spacing w:val="20"/>
          <w:sz w:val="36"/>
          <w:szCs w:val="36"/>
          <w:u w:val="single"/>
        </w:rPr>
        <w:t xml:space="preserve"> 114</w:t>
      </w:r>
    </w:p>
    <w:p>
      <w:pPr>
        <w:spacing w:beforeLines="50" w:line="348" w:lineRule="auto"/>
        <w:ind w:firstLine="542" w:firstLineChars="150"/>
        <w:rPr>
          <w:rFonts w:hint="eastAsia" w:ascii="楷体" w:hAnsi="楷体" w:eastAsia="楷体" w:cs="楷体"/>
          <w:b/>
          <w:bCs/>
          <w:sz w:val="36"/>
          <w:szCs w:val="36"/>
        </w:rPr>
      </w:pPr>
      <w:r>
        <w:rPr>
          <w:rFonts w:hint="eastAsia" w:ascii="楷体" w:hAnsi="楷体" w:eastAsia="楷体" w:cs="楷体"/>
          <w:b/>
          <w:bCs/>
          <w:sz w:val="36"/>
          <w:szCs w:val="36"/>
        </w:rPr>
        <w:t>评价方式：部门（单位）绩效自评</w:t>
      </w:r>
    </w:p>
    <w:p>
      <w:pPr>
        <w:spacing w:beforeLines="50" w:line="348" w:lineRule="auto"/>
        <w:ind w:firstLine="542" w:firstLineChars="150"/>
        <w:rPr>
          <w:rFonts w:hint="eastAsia" w:ascii="楷体" w:hAnsi="楷体" w:eastAsia="楷体" w:cs="楷体"/>
          <w:b/>
          <w:bCs/>
          <w:sz w:val="36"/>
          <w:szCs w:val="36"/>
        </w:rPr>
      </w:pPr>
      <w:r>
        <w:rPr>
          <w:rFonts w:hint="eastAsia" w:ascii="楷体" w:hAnsi="楷体" w:eastAsia="楷体" w:cs="楷体"/>
          <w:b/>
          <w:bCs/>
          <w:sz w:val="36"/>
          <w:szCs w:val="36"/>
        </w:rPr>
        <w:t xml:space="preserve">评价机构：部门（单位）评价组   </w:t>
      </w:r>
    </w:p>
    <w:p>
      <w:pPr>
        <w:spacing w:line="348" w:lineRule="auto"/>
        <w:ind w:firstLine="2494" w:firstLineChars="690"/>
        <w:rPr>
          <w:rFonts w:hint="eastAsia" w:ascii="楷体" w:hAnsi="楷体" w:eastAsia="楷体" w:cs="楷体"/>
          <w:b/>
          <w:bCs/>
          <w:sz w:val="36"/>
          <w:szCs w:val="36"/>
        </w:rPr>
      </w:pPr>
      <w:r>
        <w:rPr>
          <w:rFonts w:hint="eastAsia" w:ascii="楷体" w:hAnsi="楷体" w:eastAsia="楷体" w:cs="楷体"/>
          <w:b/>
          <w:bCs/>
          <w:sz w:val="36"/>
          <w:szCs w:val="36"/>
        </w:rPr>
        <w:t xml:space="preserve"> </w:t>
      </w:r>
    </w:p>
    <w:p>
      <w:pPr>
        <w:spacing w:line="348" w:lineRule="auto"/>
        <w:ind w:firstLine="2494" w:firstLineChars="690"/>
        <w:rPr>
          <w:rFonts w:hint="eastAsia" w:ascii="楷体" w:hAnsi="楷体" w:eastAsia="楷体" w:cs="楷体"/>
          <w:b/>
          <w:bCs/>
          <w:sz w:val="36"/>
          <w:szCs w:val="36"/>
        </w:rPr>
      </w:pPr>
      <w:r>
        <w:rPr>
          <w:rFonts w:hint="eastAsia" w:ascii="楷体" w:hAnsi="楷体" w:eastAsia="楷体" w:cs="楷体"/>
          <w:b/>
          <w:bCs/>
          <w:sz w:val="36"/>
          <w:szCs w:val="36"/>
        </w:rPr>
        <w:t xml:space="preserve"> </w:t>
      </w:r>
    </w:p>
    <w:p>
      <w:pPr>
        <w:spacing w:line="348" w:lineRule="auto"/>
        <w:jc w:val="center"/>
        <w:rPr>
          <w:rFonts w:hint="eastAsia" w:ascii="楷体" w:hAnsi="楷体" w:eastAsia="楷体" w:cs="楷体"/>
          <w:b/>
          <w:bCs/>
          <w:sz w:val="36"/>
          <w:szCs w:val="36"/>
        </w:rPr>
      </w:pPr>
      <w:r>
        <w:rPr>
          <w:rFonts w:hint="eastAsia" w:ascii="楷体" w:hAnsi="楷体" w:eastAsia="楷体" w:cs="楷体"/>
          <w:b/>
          <w:bCs/>
          <w:sz w:val="36"/>
          <w:szCs w:val="36"/>
        </w:rPr>
        <w:t>报告日期：201</w:t>
      </w:r>
      <w:r>
        <w:rPr>
          <w:rFonts w:hint="eastAsia" w:ascii="楷体" w:hAnsi="楷体" w:eastAsia="楷体" w:cs="楷体"/>
          <w:b/>
          <w:bCs/>
          <w:sz w:val="36"/>
          <w:szCs w:val="36"/>
          <w:lang w:val="en-US" w:eastAsia="zh-CN"/>
        </w:rPr>
        <w:t>9</w:t>
      </w:r>
      <w:r>
        <w:rPr>
          <w:rFonts w:hint="eastAsia" w:ascii="楷体" w:hAnsi="楷体" w:eastAsia="楷体" w:cs="楷体"/>
          <w:b/>
          <w:bCs/>
          <w:sz w:val="36"/>
          <w:szCs w:val="36"/>
        </w:rPr>
        <w:t>年</w:t>
      </w:r>
      <w:r>
        <w:rPr>
          <w:rFonts w:hint="eastAsia" w:ascii="楷体" w:hAnsi="楷体" w:eastAsia="楷体" w:cs="楷体"/>
          <w:b/>
          <w:bCs/>
          <w:sz w:val="36"/>
          <w:szCs w:val="36"/>
          <w:lang w:val="en-US" w:eastAsia="zh-CN"/>
        </w:rPr>
        <w:t>8</w:t>
      </w:r>
      <w:r>
        <w:rPr>
          <w:rFonts w:hint="eastAsia" w:ascii="楷体" w:hAnsi="楷体" w:eastAsia="楷体" w:cs="楷体"/>
          <w:b/>
          <w:bCs/>
          <w:sz w:val="36"/>
          <w:szCs w:val="36"/>
        </w:rPr>
        <w:t>月1</w:t>
      </w:r>
      <w:r>
        <w:rPr>
          <w:rFonts w:hint="eastAsia" w:ascii="楷体" w:hAnsi="楷体" w:eastAsia="楷体" w:cs="楷体"/>
          <w:b/>
          <w:bCs/>
          <w:sz w:val="36"/>
          <w:szCs w:val="36"/>
          <w:lang w:val="en-US" w:eastAsia="zh-CN"/>
        </w:rPr>
        <w:t>8</w:t>
      </w:r>
      <w:r>
        <w:rPr>
          <w:rFonts w:hint="eastAsia" w:ascii="楷体" w:hAnsi="楷体" w:eastAsia="楷体" w:cs="楷体"/>
          <w:b/>
          <w:bCs/>
          <w:sz w:val="36"/>
          <w:szCs w:val="36"/>
        </w:rPr>
        <w:t>日</w:t>
      </w:r>
    </w:p>
    <w:p>
      <w:pPr>
        <w:jc w:val="center"/>
        <w:textAlignment w:val="center"/>
        <w:rPr>
          <w:rFonts w:hint="eastAsia" w:ascii="楷体" w:hAnsi="楷体" w:eastAsia="楷体" w:cs="楷体"/>
          <w:b/>
          <w:bCs/>
          <w:sz w:val="36"/>
          <w:szCs w:val="36"/>
        </w:rPr>
      </w:pPr>
      <w:r>
        <w:rPr>
          <w:rFonts w:hint="eastAsia" w:ascii="楷体" w:hAnsi="楷体" w:eastAsia="楷体" w:cs="楷体"/>
          <w:b/>
          <w:bCs/>
          <w:sz w:val="36"/>
          <w:szCs w:val="36"/>
        </w:rPr>
        <w:t>华容县财政局（制）</w:t>
      </w:r>
    </w:p>
    <w:p>
      <w:pPr>
        <w:widowControl/>
        <w:jc w:val="left"/>
        <w:rPr>
          <w:rFonts w:hint="eastAsia" w:ascii="楷体" w:hAnsi="楷体" w:eastAsia="楷体" w:cs="楷体"/>
          <w:b/>
          <w:bCs/>
          <w:color w:val="000000"/>
          <w:sz w:val="32"/>
          <w:szCs w:val="32"/>
        </w:rPr>
        <w:sectPr>
          <w:pgSz w:w="11906" w:h="16838"/>
          <w:pgMar w:top="1588" w:right="1588" w:bottom="1588" w:left="1588" w:header="720" w:footer="720" w:gutter="0"/>
          <w:cols w:space="720" w:num="1"/>
          <w:docGrid w:type="lines" w:linePitch="602" w:charSpace="0"/>
        </w:sectPr>
      </w:pPr>
    </w:p>
    <w:tbl>
      <w:tblPr>
        <w:tblStyle w:val="3"/>
        <w:tblW w:w="9800" w:type="dxa"/>
        <w:jc w:val="center"/>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黑体" w:hAnsi="黑体" w:eastAsia="黑体"/>
                <w:color w:val="000000"/>
                <w:sz w:val="28"/>
                <w:szCs w:val="28"/>
              </w:rPr>
              <w:t>一、部门（单位）基本概况</w:t>
            </w:r>
          </w:p>
        </w:tc>
      </w:tr>
      <w:tr>
        <w:tblPrEx>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联系人</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张国文</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联络电话</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13762768886</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人员编制</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olor w:val="000000"/>
                <w:sz w:val="24"/>
                <w:szCs w:val="24"/>
                <w:lang w:val="en-US" w:eastAsia="zh-CN"/>
              </w:rPr>
            </w:pPr>
            <w:r>
              <w:rPr>
                <w:rFonts w:ascii="??_GB2312" w:hAnsi="??_GB2312"/>
                <w:color w:val="000000"/>
                <w:sz w:val="24"/>
                <w:szCs w:val="24"/>
              </w:rPr>
              <w:t>1</w:t>
            </w:r>
            <w:r>
              <w:rPr>
                <w:rFonts w:hint="eastAsia" w:ascii="??_GB2312" w:hAnsi="??_GB2312"/>
                <w:color w:val="000000"/>
                <w:sz w:val="24"/>
                <w:szCs w:val="24"/>
                <w:lang w:val="en-US" w:eastAsia="zh-CN"/>
              </w:rPr>
              <w:t>2</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实有人数</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24</w:t>
            </w:r>
          </w:p>
        </w:tc>
      </w:tr>
      <w:tr>
        <w:tblPrEx>
          <w:tblCellMar>
            <w:top w:w="0" w:type="dxa"/>
            <w:left w:w="15" w:type="dxa"/>
            <w:bottom w:w="0" w:type="dxa"/>
            <w:right w:w="15" w:type="dxa"/>
          </w:tblCellMar>
        </w:tblPrEx>
        <w:trPr>
          <w:trHeight w:val="161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职能职责概述</w:t>
            </w:r>
          </w:p>
        </w:tc>
        <w:tc>
          <w:tcPr>
            <w:tcW w:w="8146" w:type="dxa"/>
            <w:gridSpan w:val="15"/>
            <w:tcBorders>
              <w:top w:val="single" w:color="000000" w:sz="4" w:space="0"/>
              <w:left w:val="nil"/>
              <w:bottom w:val="single" w:color="000000" w:sz="4" w:space="0"/>
              <w:right w:val="single" w:color="000000" w:sz="4" w:space="0"/>
            </w:tcBorders>
            <w:vAlign w:val="center"/>
          </w:tcPr>
          <w:p>
            <w:pPr>
              <w:numPr>
                <w:ilvl w:val="0"/>
                <w:numId w:val="0"/>
              </w:numPr>
              <w:spacing w:line="320" w:lineRule="exact"/>
              <w:ind w:firstLine="560" w:firstLineChars="200"/>
              <w:jc w:val="left"/>
              <w:textAlignment w:val="center"/>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1、深入贯彻习近平新时代中国特色社会主义思想，深入贯彻党的路线方针政策和决策部署，统一政法各部门思想和行动，坚决对政法工作的绝对领导，坚决维护党中央权威和集中统一领导。</w:t>
            </w:r>
          </w:p>
          <w:p>
            <w:pPr>
              <w:numPr>
                <w:ilvl w:val="0"/>
                <w:numId w:val="0"/>
              </w:numPr>
              <w:spacing w:line="320" w:lineRule="exact"/>
              <w:ind w:firstLine="560" w:firstLineChars="200"/>
              <w:jc w:val="left"/>
              <w:textAlignment w:val="center"/>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2、深入贯彻党中央决定和省委、市委、县委决策，对全县政法工作研究提出全局性部署，推进平安华容、法治华容建设，加强过硬队伍建设，深化智能化建设，坚决维护国家政治安全，确保社会大局稳定、促进社会公平正义，保障人民安居乐业。</w:t>
            </w:r>
          </w:p>
          <w:p>
            <w:pPr>
              <w:numPr>
                <w:ilvl w:val="0"/>
                <w:numId w:val="0"/>
              </w:numPr>
              <w:spacing w:line="320" w:lineRule="exact"/>
              <w:ind w:firstLine="560" w:firstLineChars="200"/>
              <w:jc w:val="left"/>
              <w:textAlignment w:val="center"/>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3、了解和掌握分析研判政法工作情况动态，分析社会稳定形势，创新完善多部门参与的综治维稳工作机制，协调推动预防、化解影响稳定的社会矛盾和风险，协调应对和处置重大突发事件，牵头开展涉疆服务管理工作。</w:t>
            </w:r>
          </w:p>
          <w:p>
            <w:pPr>
              <w:numPr>
                <w:ilvl w:val="0"/>
                <w:numId w:val="0"/>
              </w:numPr>
              <w:spacing w:line="320" w:lineRule="exact"/>
              <w:ind w:firstLine="560" w:firstLineChars="200"/>
              <w:jc w:val="left"/>
              <w:textAlignment w:val="center"/>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4、加强对政法工作的自查，统筹协调社会治安综合治理、维护社会稳定、反邪教有关法律法规政策的实施工作。</w:t>
            </w:r>
          </w:p>
          <w:p>
            <w:pPr>
              <w:numPr>
                <w:ilvl w:val="0"/>
                <w:numId w:val="0"/>
              </w:numPr>
              <w:spacing w:line="320" w:lineRule="exact"/>
              <w:ind w:firstLine="560" w:firstLineChars="200"/>
              <w:jc w:val="left"/>
              <w:textAlignment w:val="center"/>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5、组织开展政法领域的调查研究，研究拟订政法工作的重要措施，及时向县委提出建议，参与政法领域有关规范性文件的起草、修改工作。</w:t>
            </w:r>
          </w:p>
          <w:p>
            <w:pPr>
              <w:numPr>
                <w:ilvl w:val="0"/>
                <w:numId w:val="0"/>
              </w:numPr>
              <w:spacing w:line="320" w:lineRule="exact"/>
              <w:ind w:firstLine="560" w:firstLineChars="200"/>
              <w:jc w:val="left"/>
              <w:textAlignment w:val="center"/>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6、掌握分析政法舆情动态，指导协调政法部门媒体网络宣传工作，指导政法部门做好涉及政法工作的重大宣传工作。</w:t>
            </w:r>
          </w:p>
          <w:p>
            <w:pPr>
              <w:numPr>
                <w:ilvl w:val="0"/>
                <w:numId w:val="0"/>
              </w:numPr>
              <w:spacing w:line="320" w:lineRule="exact"/>
              <w:ind w:firstLine="560" w:firstLineChars="200"/>
              <w:jc w:val="left"/>
              <w:textAlignment w:val="center"/>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7、监督和支持政法各部门依法行使职权，指导和协调政法各部门密切配合，研究和协调重大、疑难案件，推进严格执法、公正司法。</w:t>
            </w:r>
          </w:p>
          <w:p>
            <w:pPr>
              <w:numPr>
                <w:ilvl w:val="0"/>
                <w:numId w:val="0"/>
              </w:numPr>
              <w:spacing w:line="320" w:lineRule="exact"/>
              <w:ind w:firstLine="560" w:firstLineChars="200"/>
              <w:jc w:val="left"/>
              <w:textAlignment w:val="center"/>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8、组织研究政法改革中带有方向性、倾向性和普遍性的重大问题，深化政法改革。</w:t>
            </w:r>
          </w:p>
          <w:p>
            <w:pPr>
              <w:numPr>
                <w:ilvl w:val="0"/>
                <w:numId w:val="0"/>
              </w:numPr>
              <w:spacing w:line="320" w:lineRule="exact"/>
              <w:ind w:firstLine="560" w:firstLineChars="200"/>
              <w:jc w:val="left"/>
              <w:textAlignment w:val="center"/>
              <w:rPr>
                <w:rFonts w:hint="eastAsia" w:ascii="??_GB2312" w:hAnsi="??_GB2312"/>
                <w:color w:val="000000"/>
                <w:sz w:val="24"/>
                <w:szCs w:val="24"/>
                <w:lang w:val="en-US" w:eastAsia="zh-CN"/>
              </w:rPr>
            </w:pPr>
            <w:r>
              <w:rPr>
                <w:rFonts w:hint="eastAsia" w:ascii="楷体" w:hAnsi="楷体" w:eastAsia="楷体" w:cs="楷体"/>
                <w:b w:val="0"/>
                <w:bCs w:val="0"/>
                <w:color w:val="000000"/>
                <w:sz w:val="28"/>
                <w:szCs w:val="28"/>
                <w:lang w:val="en-US" w:eastAsia="zh-CN"/>
              </w:rPr>
              <w:t>9、指导推动政法系统党的建设和政法队伍建设。</w:t>
            </w:r>
          </w:p>
        </w:tc>
      </w:tr>
      <w:tr>
        <w:tblPrEx>
          <w:tblCellMar>
            <w:top w:w="0" w:type="dxa"/>
            <w:left w:w="15" w:type="dxa"/>
            <w:bottom w:w="0" w:type="dxa"/>
            <w:right w:w="15"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年度主要</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工作内容</w:t>
            </w:r>
          </w:p>
        </w:tc>
        <w:tc>
          <w:tcPr>
            <w:tcW w:w="8146" w:type="dxa"/>
            <w:gridSpan w:val="1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Arial" w:eastAsia="仿宋_GB2312" w:cs="仿宋_GB2312"/>
                <w:color w:val="000000"/>
                <w:sz w:val="24"/>
                <w:szCs w:val="24"/>
                <w:shd w:val="clear" w:color="auto" w:fill="FFFFFF"/>
              </w:rPr>
            </w:pPr>
            <w:r>
              <w:rPr>
                <w:rFonts w:ascii="仿宋_GB2312" w:hAnsi="Arial" w:eastAsia="仿宋_GB2312" w:cs="仿宋_GB2312"/>
                <w:color w:val="000000"/>
                <w:sz w:val="24"/>
                <w:szCs w:val="24"/>
                <w:shd w:val="clear" w:color="auto" w:fill="FFFFFF"/>
              </w:rPr>
              <w:t>——</w:t>
            </w:r>
            <w:r>
              <w:rPr>
                <w:rFonts w:hint="eastAsia" w:ascii="仿宋_GB2312" w:hAnsi="Arial" w:eastAsia="仿宋_GB2312" w:cs="仿宋_GB2312"/>
                <w:color w:val="000000"/>
                <w:sz w:val="24"/>
                <w:szCs w:val="24"/>
                <w:shd w:val="clear" w:color="auto" w:fill="FFFFFF"/>
              </w:rPr>
              <w:t>突出主责主业，信访维稳形势总体平稳可控。</w:t>
            </w:r>
          </w:p>
          <w:p>
            <w:pPr>
              <w:spacing w:line="320" w:lineRule="exact"/>
              <w:jc w:val="left"/>
              <w:textAlignment w:val="center"/>
              <w:rPr>
                <w:rFonts w:ascii="仿宋_GB2312" w:hAnsi="Arial" w:eastAsia="仿宋_GB2312" w:cs="仿宋_GB2312"/>
                <w:color w:val="000000"/>
                <w:sz w:val="24"/>
                <w:szCs w:val="24"/>
                <w:shd w:val="clear" w:color="auto" w:fill="FFFFFF"/>
              </w:rPr>
            </w:pPr>
            <w:r>
              <w:rPr>
                <w:rFonts w:ascii="仿宋_GB2312" w:hAnsi="Arial" w:eastAsia="仿宋_GB2312" w:cs="仿宋_GB2312"/>
                <w:color w:val="000000"/>
                <w:sz w:val="24"/>
                <w:szCs w:val="24"/>
                <w:shd w:val="clear" w:color="auto" w:fill="FFFFFF"/>
              </w:rPr>
              <w:t>——</w:t>
            </w:r>
            <w:r>
              <w:rPr>
                <w:rFonts w:hint="eastAsia" w:ascii="仿宋_GB2312" w:hAnsi="Arial" w:eastAsia="仿宋_GB2312" w:cs="仿宋_GB2312"/>
                <w:color w:val="000000"/>
                <w:sz w:val="24"/>
                <w:szCs w:val="24"/>
                <w:shd w:val="clear" w:color="auto" w:fill="FFFFFF"/>
              </w:rPr>
              <w:t>突出实干担当，服务保障更加坚实有力。</w:t>
            </w:r>
          </w:p>
          <w:p>
            <w:pPr>
              <w:spacing w:line="320" w:lineRule="exact"/>
              <w:jc w:val="left"/>
              <w:textAlignment w:val="center"/>
              <w:rPr>
                <w:rFonts w:ascii="仿宋_GB2312" w:hAnsi="Arial" w:eastAsia="仿宋_GB2312" w:cs="仿宋_GB2312"/>
                <w:color w:val="000000"/>
                <w:sz w:val="24"/>
                <w:szCs w:val="24"/>
                <w:shd w:val="clear" w:color="auto" w:fill="FFFFFF"/>
              </w:rPr>
            </w:pPr>
            <w:r>
              <w:rPr>
                <w:rFonts w:ascii="仿宋_GB2312" w:hAnsi="Arial" w:eastAsia="仿宋_GB2312" w:cs="仿宋_GB2312"/>
                <w:color w:val="000000"/>
                <w:sz w:val="24"/>
                <w:szCs w:val="24"/>
                <w:shd w:val="clear" w:color="auto" w:fill="FFFFFF"/>
              </w:rPr>
              <w:t>——</w:t>
            </w:r>
            <w:r>
              <w:rPr>
                <w:rFonts w:hint="eastAsia" w:ascii="仿宋_GB2312" w:hAnsi="Arial" w:eastAsia="仿宋_GB2312" w:cs="仿宋_GB2312"/>
                <w:color w:val="000000"/>
                <w:sz w:val="24"/>
                <w:szCs w:val="24"/>
                <w:shd w:val="clear" w:color="auto" w:fill="FFFFFF"/>
              </w:rPr>
              <w:t>突出综合治理，群众安全感满意度显著提升。</w:t>
            </w:r>
          </w:p>
          <w:p>
            <w:pPr>
              <w:spacing w:line="320" w:lineRule="exact"/>
              <w:jc w:val="left"/>
              <w:textAlignment w:val="center"/>
              <w:rPr>
                <w:rFonts w:ascii="仿宋_GB2312" w:hAnsi="Arial" w:eastAsia="仿宋_GB2312" w:cs="仿宋_GB2312"/>
                <w:color w:val="000000"/>
                <w:sz w:val="24"/>
                <w:szCs w:val="24"/>
                <w:shd w:val="clear" w:color="auto" w:fill="FFFFFF"/>
              </w:rPr>
            </w:pPr>
            <w:r>
              <w:rPr>
                <w:rFonts w:ascii="仿宋_GB2312" w:hAnsi="Arial" w:eastAsia="仿宋_GB2312" w:cs="仿宋_GB2312"/>
                <w:color w:val="000000"/>
                <w:sz w:val="24"/>
                <w:szCs w:val="24"/>
                <w:shd w:val="clear" w:color="auto" w:fill="FFFFFF"/>
              </w:rPr>
              <w:t>——</w:t>
            </w:r>
            <w:r>
              <w:rPr>
                <w:rFonts w:hint="eastAsia" w:ascii="仿宋_GB2312" w:hAnsi="Arial" w:eastAsia="仿宋_GB2312" w:cs="仿宋_GB2312"/>
                <w:color w:val="000000"/>
                <w:sz w:val="24"/>
                <w:szCs w:val="24"/>
                <w:shd w:val="clear" w:color="auto" w:fill="FFFFFF"/>
              </w:rPr>
              <w:t>突出基础建设，安全稳定防线更加坚固。打造过硬队伍。</w:t>
            </w:r>
          </w:p>
          <w:p>
            <w:pPr>
              <w:spacing w:line="320" w:lineRule="exact"/>
              <w:jc w:val="left"/>
              <w:textAlignment w:val="center"/>
              <w:rPr>
                <w:rFonts w:ascii="仿宋_GB2312" w:hAnsi="Arial" w:eastAsia="仿宋_GB2312" w:cs="仿宋_GB2312"/>
                <w:color w:val="000000"/>
                <w:sz w:val="24"/>
                <w:szCs w:val="24"/>
                <w:shd w:val="clear" w:color="auto" w:fill="FFFFFF"/>
              </w:rPr>
            </w:pPr>
            <w:r>
              <w:rPr>
                <w:rFonts w:ascii="仿宋_GB2312" w:hAnsi="Arial" w:eastAsia="仿宋_GB2312" w:cs="仿宋_GB2312"/>
                <w:color w:val="000000"/>
                <w:sz w:val="24"/>
                <w:szCs w:val="24"/>
                <w:shd w:val="clear" w:color="auto" w:fill="FFFFFF"/>
              </w:rPr>
              <w:t>——</w:t>
            </w:r>
            <w:r>
              <w:rPr>
                <w:rFonts w:hint="eastAsia" w:ascii="仿宋_GB2312" w:hAnsi="Arial" w:eastAsia="仿宋_GB2312" w:cs="仿宋_GB2312"/>
                <w:color w:val="000000"/>
                <w:sz w:val="24"/>
                <w:szCs w:val="24"/>
                <w:shd w:val="clear" w:color="auto" w:fill="FFFFFF"/>
              </w:rPr>
              <w:t>突出综合治理，群众安全感满意度显著提升。</w:t>
            </w:r>
          </w:p>
          <w:p>
            <w:pPr>
              <w:spacing w:line="320" w:lineRule="exact"/>
              <w:jc w:val="left"/>
              <w:textAlignment w:val="center"/>
              <w:rPr>
                <w:rFonts w:ascii="??_GB2312" w:hAnsi="??_GB2312"/>
                <w:color w:val="000000"/>
                <w:sz w:val="24"/>
                <w:szCs w:val="24"/>
              </w:rPr>
            </w:pPr>
          </w:p>
        </w:tc>
      </w:tr>
      <w:tr>
        <w:tblPrEx>
          <w:tblCellMar>
            <w:top w:w="0" w:type="dxa"/>
            <w:left w:w="15" w:type="dxa"/>
            <w:bottom w:w="0" w:type="dxa"/>
            <w:right w:w="15"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pacing w:val="-6"/>
                <w:sz w:val="24"/>
                <w:szCs w:val="24"/>
              </w:rPr>
            </w:pPr>
            <w:r>
              <w:rPr>
                <w:rFonts w:hint="eastAsia" w:ascii="??_GB2312" w:hAnsi="??_GB2312"/>
                <w:color w:val="000000"/>
                <w:spacing w:val="-6"/>
                <w:sz w:val="24"/>
                <w:szCs w:val="24"/>
              </w:rPr>
              <w:t>年度部门（单位）总体运行情况及取得的成绩</w:t>
            </w:r>
          </w:p>
        </w:tc>
        <w:tc>
          <w:tcPr>
            <w:tcW w:w="8146" w:type="dxa"/>
            <w:gridSpan w:val="15"/>
            <w:tcBorders>
              <w:top w:val="single" w:color="000000" w:sz="4" w:space="0"/>
              <w:left w:val="nil"/>
              <w:bottom w:val="single" w:color="000000" w:sz="4" w:space="0"/>
              <w:right w:val="single" w:color="000000" w:sz="4" w:space="0"/>
            </w:tcBorders>
            <w:vAlign w:val="center"/>
          </w:tcPr>
          <w:p>
            <w:pPr>
              <w:spacing w:line="320" w:lineRule="exact"/>
              <w:ind w:firstLine="480" w:firstLineChars="200"/>
              <w:jc w:val="left"/>
              <w:textAlignment w:val="center"/>
              <w:rPr>
                <w:rFonts w:ascii="??_GB2312" w:hAnsi="??_GB2312"/>
                <w:color w:val="000000"/>
                <w:sz w:val="21"/>
                <w:szCs w:val="21"/>
              </w:rPr>
            </w:pPr>
            <w:r>
              <w:rPr>
                <w:rFonts w:hint="eastAsia" w:ascii="仿宋" w:hAnsi="仿宋" w:eastAsia="仿宋" w:cs="仿宋"/>
                <w:color w:val="000000"/>
                <w:sz w:val="24"/>
                <w:szCs w:val="24"/>
                <w:lang w:val="en-US" w:eastAsia="zh-CN"/>
              </w:rPr>
              <w:t>2018年，</w:t>
            </w:r>
            <w:r>
              <w:rPr>
                <w:rFonts w:hint="eastAsia" w:ascii="仿宋" w:hAnsi="仿宋" w:eastAsia="仿宋" w:cs="仿宋"/>
                <w:color w:val="000000"/>
                <w:sz w:val="24"/>
                <w:szCs w:val="24"/>
                <w:lang w:eastAsia="zh-CN"/>
              </w:rPr>
              <w:t>我县被评为第四批全国法治县创建活动先进单位，连续多年保持全省平安县称号，获评全省“三调联动解纠纷、防控风险促发展”专项调解活动先进集体，华容河法治文化广场获评第三批全省法治文化示范项目，马鞍山实验学校获评省级平安学校创建示范单位，万庾镇万庾村居民张丽容同志被推选为湖南省见义勇为英雄；县公安局获评全省公安机关扫黑除恶工作成绩突出单位，看守所保持全国一级看守所称号，城中派出所获评全省优秀基层所，督察大队获评全省公安警务督察工作成绩突出集体</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县检察院先后被评为</w:t>
            </w:r>
            <w:r>
              <w:rPr>
                <w:rFonts w:hint="eastAsia" w:ascii="仿宋" w:hAnsi="仿宋" w:eastAsia="仿宋" w:cs="仿宋"/>
                <w:b w:val="0"/>
                <w:bCs w:val="0"/>
                <w:color w:val="000000"/>
                <w:sz w:val="24"/>
                <w:szCs w:val="24"/>
                <w:lang w:eastAsia="zh-CN"/>
              </w:rPr>
              <w:t>全国检察宣传先进单位、</w:t>
            </w:r>
            <w:r>
              <w:rPr>
                <w:rFonts w:hint="eastAsia" w:ascii="仿宋" w:hAnsi="仿宋" w:eastAsia="仿宋" w:cs="仿宋"/>
                <w:color w:val="000000"/>
                <w:sz w:val="24"/>
                <w:szCs w:val="24"/>
                <w:lang w:eastAsia="zh-CN"/>
              </w:rPr>
              <w:t>全省公益诉讼先进单位、全省政法系统文艺之星、全省读书风气最盛检察院，保持省级文明标兵单位称号；县法院在全省</w:t>
            </w:r>
            <w:r>
              <w:rPr>
                <w:rFonts w:hint="eastAsia" w:ascii="仿宋" w:hAnsi="仿宋" w:eastAsia="仿宋" w:cs="仿宋"/>
                <w:color w:val="000000"/>
                <w:sz w:val="24"/>
                <w:szCs w:val="24"/>
                <w:lang w:val="en-US" w:eastAsia="zh-CN"/>
              </w:rPr>
              <w:t>125家法院综合考评</w:t>
            </w:r>
            <w:r>
              <w:rPr>
                <w:rFonts w:hint="eastAsia" w:ascii="仿宋" w:hAnsi="仿宋" w:eastAsia="仿宋" w:cs="仿宋"/>
                <w:color w:val="000000"/>
                <w:sz w:val="24"/>
                <w:szCs w:val="24"/>
                <w:lang w:eastAsia="zh-CN"/>
              </w:rPr>
              <w:t>中排名第</w:t>
            </w:r>
            <w:r>
              <w:rPr>
                <w:rFonts w:hint="eastAsia" w:ascii="仿宋" w:hAnsi="仿宋" w:eastAsia="仿宋" w:cs="仿宋"/>
                <w:color w:val="000000"/>
                <w:sz w:val="24"/>
                <w:szCs w:val="24"/>
                <w:lang w:val="en-US" w:eastAsia="zh-CN"/>
              </w:rPr>
              <w:t>25位，法检两院在市院绩效考核中均排名第一</w:t>
            </w:r>
            <w:r>
              <w:rPr>
                <w:rFonts w:hint="eastAsia" w:ascii="仿宋" w:hAnsi="仿宋" w:eastAsia="仿宋" w:cs="仿宋"/>
                <w:color w:val="000000"/>
                <w:sz w:val="24"/>
                <w:szCs w:val="24"/>
                <w:lang w:eastAsia="zh-CN"/>
              </w:rPr>
              <w:t xml:space="preserve">；县森林公安局被省局授予集体嘉奖；县消防大队被国家应急管理部消防局评为“改革转制教育整训先进大队”。 </w:t>
            </w:r>
          </w:p>
        </w:tc>
      </w:tr>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黑体" w:hAnsi="黑体" w:eastAsia="黑体"/>
                <w:color w:val="000000"/>
                <w:sz w:val="28"/>
                <w:szCs w:val="28"/>
              </w:rPr>
              <w:t>二、部门（单位）收支情况</w:t>
            </w:r>
          </w:p>
        </w:tc>
      </w:tr>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b/>
                <w:bCs/>
                <w:color w:val="000000"/>
                <w:sz w:val="24"/>
                <w:szCs w:val="24"/>
              </w:rPr>
              <w:t>年度收入情况（万元）</w:t>
            </w:r>
          </w:p>
        </w:tc>
      </w:tr>
      <w:tr>
        <w:tblPrEx>
          <w:tblCellMar>
            <w:top w:w="0" w:type="dxa"/>
            <w:left w:w="15" w:type="dxa"/>
            <w:bottom w:w="0" w:type="dxa"/>
            <w:right w:w="15" w:type="dxa"/>
          </w:tblCellMar>
        </w:tblPrEx>
        <w:trPr>
          <w:trHeight w:val="567"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收入合计</w:t>
            </w:r>
          </w:p>
        </w:tc>
        <w:tc>
          <w:tcPr>
            <w:tcW w:w="7020"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r>
      <w:tr>
        <w:trPr>
          <w:trHeight w:val="101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上年结转</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公共财</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政拨款</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政府基金拨款</w:t>
            </w: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纳入专户管理的非税收入拨款</w:t>
            </w: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其他</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收入</w:t>
            </w:r>
          </w:p>
        </w:tc>
      </w:tr>
      <w:tr>
        <w:tblPrEx>
          <w:tblCellMar>
            <w:top w:w="0" w:type="dxa"/>
            <w:left w:w="15" w:type="dxa"/>
            <w:bottom w:w="0" w:type="dxa"/>
            <w:right w:w="15"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512.92</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512.92</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r>
      <w:tr>
        <w:tblPrEx>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_GB2312" w:hAnsi="??_GB2312"/>
                <w:sz w:val="24"/>
                <w:szCs w:val="24"/>
              </w:rPr>
            </w:pPr>
            <w:r>
              <w:rPr>
                <w:rFonts w:ascii="??_GB2312" w:hAnsi="??_GB2312"/>
                <w:sz w:val="24"/>
                <w:szCs w:val="24"/>
              </w:rPr>
              <w:t>1</w:t>
            </w:r>
            <w:r>
              <w:rPr>
                <w:rFonts w:hint="eastAsia" w:ascii="??_GB2312" w:hAnsi="??_GB2312"/>
                <w:sz w:val="24"/>
                <w:szCs w:val="24"/>
              </w:rPr>
              <w:t>、局机关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512.92</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512.92</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r>
      <w:tr>
        <w:tblPrEx>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_GB2312" w:hAnsi="??_GB2312"/>
                <w:sz w:val="24"/>
                <w:szCs w:val="24"/>
              </w:rPr>
            </w:pPr>
            <w:r>
              <w:rPr>
                <w:rFonts w:ascii="??_GB2312" w:hAnsi="??_GB2312"/>
                <w:sz w:val="24"/>
                <w:szCs w:val="24"/>
              </w:rPr>
              <w:t>2</w:t>
            </w:r>
            <w:r>
              <w:rPr>
                <w:rFonts w:hint="eastAsia" w:ascii="??_GB2312" w:hAnsi="??_GB2312"/>
                <w:sz w:val="24"/>
                <w:szCs w:val="24"/>
              </w:rPr>
              <w:t>、二级机构</w:t>
            </w:r>
            <w:r>
              <w:rPr>
                <w:rFonts w:ascii="??_GB2312" w:hAnsi="??_GB2312"/>
                <w:sz w:val="24"/>
                <w:szCs w:val="24"/>
              </w:rPr>
              <w:t>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r>
      <w:tr>
        <w:tblPrEx>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_GB2312" w:hAnsi="??_GB2312"/>
                <w:sz w:val="24"/>
                <w:szCs w:val="24"/>
              </w:rPr>
            </w:pPr>
            <w:r>
              <w:rPr>
                <w:rFonts w:ascii="??_GB2312" w:hAnsi="??_GB2312"/>
                <w:sz w:val="24"/>
                <w:szCs w:val="24"/>
              </w:rPr>
              <w:t>3</w:t>
            </w:r>
            <w:r>
              <w:rPr>
                <w:rFonts w:hint="eastAsia" w:ascii="??_GB2312" w:hAnsi="??_GB2312"/>
                <w:sz w:val="24"/>
                <w:szCs w:val="24"/>
              </w:rPr>
              <w:t>、二级机构</w:t>
            </w:r>
            <w:r>
              <w:rPr>
                <w:rFonts w:ascii="??_GB2312" w:hAnsi="??_GB2312"/>
                <w:sz w:val="24"/>
                <w:szCs w:val="24"/>
              </w:rPr>
              <w:t>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r>
      <w:tr>
        <w:tblPrEx>
          <w:tblCellMar>
            <w:top w:w="0" w:type="dxa"/>
            <w:left w:w="15" w:type="dxa"/>
            <w:bottom w:w="0" w:type="dxa"/>
            <w:right w:w="15"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b/>
                <w:bCs/>
                <w:color w:val="000000"/>
                <w:sz w:val="24"/>
                <w:szCs w:val="24"/>
              </w:rPr>
              <w:t>部门（单位）年度支出和结余情况（万元）</w:t>
            </w:r>
          </w:p>
        </w:tc>
      </w:tr>
      <w:tr>
        <w:tblPrEx>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napToGrid w:val="0"/>
              <w:spacing w:line="320" w:lineRule="exact"/>
              <w:jc w:val="center"/>
              <w:rPr>
                <w:rFonts w:ascii="??_GB2312" w:hAnsi="??_GB2312"/>
                <w:sz w:val="24"/>
                <w:szCs w:val="24"/>
              </w:rPr>
            </w:pPr>
            <w:r>
              <w:rPr>
                <w:rFonts w:hint="eastAsia" w:ascii="??_GB2312" w:hAnsi="??_GB2312"/>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支出合计</w:t>
            </w:r>
          </w:p>
        </w:tc>
        <w:tc>
          <w:tcPr>
            <w:tcW w:w="5675" w:type="dxa"/>
            <w:gridSpan w:val="9"/>
            <w:tcBorders>
              <w:top w:val="single" w:color="000000" w:sz="4" w:space="0"/>
              <w:left w:val="nil"/>
              <w:bottom w:val="single" w:color="auto"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c>
          <w:tcPr>
            <w:tcW w:w="1345" w:type="dxa"/>
            <w:gridSpan w:val="4"/>
            <w:tcBorders>
              <w:top w:val="single" w:color="000000" w:sz="4" w:space="0"/>
              <w:left w:val="nil"/>
              <w:bottom w:val="single" w:color="auto"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结余</w:t>
            </w:r>
          </w:p>
        </w:tc>
      </w:tr>
      <w:tr>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1355"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基本支出</w:t>
            </w:r>
          </w:p>
        </w:tc>
        <w:tc>
          <w:tcPr>
            <w:tcW w:w="3240" w:type="dxa"/>
            <w:gridSpan w:val="6"/>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c>
          <w:tcPr>
            <w:tcW w:w="1080" w:type="dxa"/>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项目支出</w:t>
            </w:r>
          </w:p>
        </w:tc>
        <w:tc>
          <w:tcPr>
            <w:tcW w:w="720" w:type="dxa"/>
            <w:gridSpan w:val="3"/>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当年结余</w:t>
            </w:r>
          </w:p>
        </w:tc>
        <w:tc>
          <w:tcPr>
            <w:tcW w:w="625" w:type="dxa"/>
            <w:vMerge w:val="restart"/>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累计结余</w:t>
            </w:r>
          </w:p>
        </w:tc>
      </w:tr>
      <w:tr>
        <w:tblPrEx>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1355"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人员支出</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公用支出</w:t>
            </w:r>
          </w:p>
        </w:tc>
        <w:tc>
          <w:tcPr>
            <w:tcW w:w="1080" w:type="dxa"/>
            <w:vMerge w:val="continue"/>
            <w:tcBorders>
              <w:top w:val="single" w:color="auto"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720" w:type="dxa"/>
            <w:gridSpan w:val="3"/>
            <w:vMerge w:val="continue"/>
            <w:tcBorders>
              <w:top w:val="single" w:color="auto"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625" w:type="dxa"/>
            <w:vMerge w:val="continue"/>
            <w:tcBorders>
              <w:top w:val="single" w:color="auto"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r>
      <w:tr>
        <w:tblPrEx>
          <w:tblCellMar>
            <w:top w:w="0" w:type="dxa"/>
            <w:left w:w="15" w:type="dxa"/>
            <w:bottom w:w="0" w:type="dxa"/>
            <w:right w:w="15"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hint="eastAsia" w:ascii="??_GB2312" w:hAnsi="??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512.92</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270</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168.77</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101.23</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242.92</w:t>
            </w: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color w:val="000000"/>
                <w:sz w:val="24"/>
                <w:szCs w:val="24"/>
              </w:rPr>
            </w:pPr>
            <w:r>
              <w:rPr>
                <w:rFonts w:ascii="??_GB2312" w:hAnsi="??_GB2312"/>
                <w:sz w:val="24"/>
                <w:szCs w:val="24"/>
              </w:rPr>
              <w:t>1</w:t>
            </w:r>
            <w:r>
              <w:rPr>
                <w:rFonts w:hint="eastAsia" w:ascii="??_GB2312" w:hAnsi="??_GB2312"/>
                <w:sz w:val="24"/>
                <w:szCs w:val="24"/>
              </w:rPr>
              <w:t>、局机关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512.92</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270</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s="Times New Roman"/>
                <w:color w:val="000000"/>
                <w:kern w:val="2"/>
                <w:sz w:val="24"/>
                <w:szCs w:val="24"/>
                <w:lang w:val="en-US" w:eastAsia="zh-CN" w:bidi="ar-SA"/>
              </w:rPr>
            </w:pPr>
            <w:r>
              <w:rPr>
                <w:rFonts w:hint="eastAsia" w:ascii="??_GB2312" w:hAnsi="??_GB2312"/>
                <w:color w:val="000000"/>
                <w:sz w:val="24"/>
                <w:szCs w:val="24"/>
                <w:lang w:val="en-US" w:eastAsia="zh-CN"/>
              </w:rPr>
              <w:t>168.77</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s="Times New Roman"/>
                <w:color w:val="000000"/>
                <w:kern w:val="2"/>
                <w:sz w:val="24"/>
                <w:szCs w:val="24"/>
                <w:lang w:val="en-US" w:eastAsia="zh-CN" w:bidi="ar-SA"/>
              </w:rPr>
            </w:pPr>
            <w:r>
              <w:rPr>
                <w:rFonts w:hint="eastAsia" w:ascii="??_GB2312" w:hAnsi="??_GB2312"/>
                <w:color w:val="000000"/>
                <w:sz w:val="24"/>
                <w:szCs w:val="24"/>
                <w:lang w:val="en-US" w:eastAsia="zh-CN"/>
              </w:rPr>
              <w:t>101.23</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lang w:val="en-US" w:eastAsia="zh-CN"/>
              </w:rPr>
              <w:t>242.92</w:t>
            </w: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color w:val="000000"/>
                <w:sz w:val="24"/>
                <w:szCs w:val="24"/>
              </w:rPr>
            </w:pPr>
            <w:r>
              <w:rPr>
                <w:rFonts w:ascii="??_GB2312" w:hAnsi="??_GB2312"/>
                <w:sz w:val="24"/>
                <w:szCs w:val="24"/>
              </w:rPr>
              <w:t>2</w:t>
            </w:r>
            <w:r>
              <w:rPr>
                <w:rFonts w:hint="eastAsia" w:ascii="??_GB2312" w:hAnsi="??_GB2312"/>
                <w:sz w:val="24"/>
                <w:szCs w:val="24"/>
              </w:rPr>
              <w:t>、二级机构</w:t>
            </w:r>
            <w:r>
              <w:rPr>
                <w:rFonts w:ascii="??_GB2312" w:hAnsi="??_GB2312"/>
                <w:sz w:val="24"/>
                <w:szCs w:val="24"/>
              </w:rPr>
              <w:t>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color w:val="000000"/>
                <w:sz w:val="24"/>
                <w:szCs w:val="24"/>
              </w:rPr>
            </w:pPr>
            <w:r>
              <w:rPr>
                <w:rFonts w:ascii="??_GB2312" w:hAnsi="??_GB2312"/>
                <w:sz w:val="24"/>
                <w:szCs w:val="24"/>
              </w:rPr>
              <w:t>3</w:t>
            </w:r>
            <w:r>
              <w:rPr>
                <w:rFonts w:hint="eastAsia" w:ascii="??_GB2312" w:hAnsi="??_GB2312"/>
                <w:sz w:val="24"/>
                <w:szCs w:val="24"/>
              </w:rPr>
              <w:t>、二级机构</w:t>
            </w:r>
            <w:r>
              <w:rPr>
                <w:rFonts w:ascii="??_GB2312" w:hAnsi="??_GB2312"/>
                <w:sz w:val="24"/>
                <w:szCs w:val="24"/>
              </w:rPr>
              <w:t>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_GB2312" w:hAnsi="??_GB2312"/>
                <w:sz w:val="24"/>
                <w:szCs w:val="24"/>
              </w:rPr>
            </w:pPr>
            <w:r>
              <w:rPr>
                <w:rFonts w:hint="eastAsia" w:ascii="??_GB2312" w:hAnsi="??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三公经费</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合计</w:t>
            </w:r>
          </w:p>
        </w:tc>
        <w:tc>
          <w:tcPr>
            <w:tcW w:w="7020"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r>
      <w:tr>
        <w:tblPrEx>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公务接待费</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公务用车运维费</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公务用车购置费</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因公出国费</w:t>
            </w:r>
          </w:p>
        </w:tc>
      </w:tr>
      <w:tr>
        <w:tblPrEx>
          <w:tblCellMar>
            <w:top w:w="0" w:type="dxa"/>
            <w:left w:w="15" w:type="dxa"/>
            <w:bottom w:w="0" w:type="dxa"/>
            <w:right w:w="15"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hint="eastAsia" w:ascii="??_GB2312" w:hAnsi="??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3.95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olor w:val="000000"/>
                <w:sz w:val="24"/>
                <w:szCs w:val="24"/>
                <w:lang w:val="en-US" w:eastAsia="zh-CN"/>
              </w:rPr>
            </w:pPr>
            <w:r>
              <w:rPr>
                <w:rFonts w:hint="eastAsia" w:ascii="??_GB2312" w:hAnsi="??_GB2312"/>
                <w:color w:val="000000"/>
                <w:sz w:val="24"/>
                <w:szCs w:val="24"/>
                <w:lang w:val="en-US" w:eastAsia="zh-CN"/>
              </w:rPr>
              <w:t>3.95</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olor w:val="000000"/>
                <w:sz w:val="22"/>
                <w:szCs w:val="22"/>
                <w:lang w:val="en-US" w:eastAsia="zh-CN"/>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1</w:t>
            </w:r>
            <w:r>
              <w:rPr>
                <w:rFonts w:hint="eastAsia" w:ascii="??_GB2312" w:hAnsi="??_GB2312"/>
                <w:sz w:val="24"/>
                <w:szCs w:val="24"/>
              </w:rPr>
              <w:t>、局机关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_GB2312" w:hAnsi="??_GB2312" w:eastAsia="宋体" w:cs="Times New Roman"/>
                <w:color w:val="000000"/>
                <w:kern w:val="2"/>
                <w:sz w:val="24"/>
                <w:szCs w:val="24"/>
                <w:lang w:val="en-US" w:eastAsia="zh-CN" w:bidi="ar-SA"/>
              </w:rPr>
            </w:pPr>
            <w:r>
              <w:rPr>
                <w:rFonts w:hint="eastAsia" w:ascii="??_GB2312" w:hAnsi="??_GB2312"/>
                <w:color w:val="000000"/>
                <w:sz w:val="24"/>
                <w:szCs w:val="24"/>
                <w:lang w:val="en-US" w:eastAsia="zh-CN"/>
              </w:rPr>
              <w:t>3.95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_GB2312" w:hAnsi="??_GB2312" w:eastAsia="宋体" w:cs="Times New Roman"/>
                <w:color w:val="000000"/>
                <w:kern w:val="2"/>
                <w:sz w:val="24"/>
                <w:szCs w:val="24"/>
                <w:lang w:val="en-US" w:eastAsia="zh-CN" w:bidi="ar-SA"/>
              </w:rPr>
            </w:pPr>
            <w:r>
              <w:rPr>
                <w:rFonts w:hint="eastAsia" w:ascii="??_GB2312" w:hAnsi="??_GB2312"/>
                <w:color w:val="000000"/>
                <w:sz w:val="24"/>
                <w:szCs w:val="24"/>
                <w:lang w:val="en-US" w:eastAsia="zh-CN"/>
              </w:rPr>
              <w:t>3.95</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2</w:t>
            </w:r>
            <w:r>
              <w:rPr>
                <w:rFonts w:hint="eastAsia" w:ascii="??_GB2312" w:hAnsi="??_GB2312"/>
                <w:sz w:val="24"/>
                <w:szCs w:val="24"/>
              </w:rPr>
              <w:t>、二级机构</w:t>
            </w:r>
            <w:r>
              <w:rPr>
                <w:rFonts w:ascii="??_GB2312" w:hAnsi="??_GB2312"/>
                <w:sz w:val="24"/>
                <w:szCs w:val="24"/>
              </w:rPr>
              <w:t>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3</w:t>
            </w:r>
            <w:r>
              <w:rPr>
                <w:rFonts w:hint="eastAsia" w:ascii="??_GB2312" w:hAnsi="??_GB2312"/>
                <w:sz w:val="24"/>
                <w:szCs w:val="24"/>
              </w:rPr>
              <w:t>、二级机构</w:t>
            </w:r>
            <w:r>
              <w:rPr>
                <w:rFonts w:ascii="??_GB2312" w:hAnsi="??_GB2312"/>
                <w:sz w:val="24"/>
                <w:szCs w:val="24"/>
              </w:rPr>
              <w:t>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_GB2312" w:hAnsi="??_GB2312"/>
                <w:sz w:val="24"/>
                <w:szCs w:val="24"/>
              </w:rPr>
            </w:pPr>
            <w:r>
              <w:rPr>
                <w:rFonts w:hint="eastAsia" w:ascii="??_GB2312" w:hAnsi="??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固定资产</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合计</w:t>
            </w:r>
          </w:p>
        </w:tc>
        <w:tc>
          <w:tcPr>
            <w:tcW w:w="6079" w:type="dxa"/>
            <w:gridSpan w:val="11"/>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c>
          <w:tcPr>
            <w:tcW w:w="941"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其他</w:t>
            </w:r>
          </w:p>
        </w:tc>
      </w:tr>
      <w:tr>
        <w:tblPrEx>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在用固定资产</w:t>
            </w:r>
          </w:p>
        </w:tc>
        <w:tc>
          <w:tcPr>
            <w:tcW w:w="3644" w:type="dxa"/>
            <w:gridSpan w:val="7"/>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出租固定资产</w:t>
            </w:r>
          </w:p>
        </w:tc>
        <w:tc>
          <w:tcPr>
            <w:tcW w:w="941"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r>
      <w:tr>
        <w:tblPrEx>
          <w:tblCellMar>
            <w:top w:w="0" w:type="dxa"/>
            <w:left w:w="15" w:type="dxa"/>
            <w:bottom w:w="0" w:type="dxa"/>
            <w:right w:w="15"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hint="eastAsia" w:ascii="??_GB2312" w:hAnsi="??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_GB2312" w:hAnsi="??_GB2312" w:eastAsia="宋体"/>
                <w:color w:val="000000"/>
                <w:sz w:val="24"/>
                <w:szCs w:val="24"/>
                <w:lang w:val="en-US" w:eastAsia="zh-CN"/>
              </w:rPr>
            </w:pPr>
            <w:r>
              <w:rPr>
                <w:rFonts w:hint="eastAsia" w:ascii="??_GB2312" w:hAnsi="??_GB2312"/>
                <w:color w:val="000000"/>
                <w:sz w:val="24"/>
                <w:szCs w:val="24"/>
                <w:lang w:val="en-US" w:eastAsia="zh-CN"/>
              </w:rPr>
              <w:t>142万</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lang w:val="en-US" w:eastAsia="zh-CN"/>
              </w:rPr>
              <w:t>142万</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1</w:t>
            </w:r>
            <w:r>
              <w:rPr>
                <w:rFonts w:hint="eastAsia" w:ascii="??_GB2312" w:hAnsi="??_GB2312"/>
                <w:sz w:val="24"/>
                <w:szCs w:val="24"/>
              </w:rPr>
              <w:t>、局机关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lang w:val="en-US" w:eastAsia="zh-CN"/>
              </w:rPr>
              <w:t>142万</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lang w:val="en-US" w:eastAsia="zh-CN"/>
              </w:rPr>
              <w:t>142万</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2</w:t>
            </w:r>
            <w:r>
              <w:rPr>
                <w:rFonts w:hint="eastAsia" w:ascii="??_GB2312" w:hAnsi="??_GB2312"/>
                <w:sz w:val="24"/>
                <w:szCs w:val="24"/>
              </w:rPr>
              <w:t>、二级机构</w:t>
            </w:r>
            <w:r>
              <w:rPr>
                <w:rFonts w:ascii="??_GB2312" w:hAnsi="??_GB2312"/>
                <w:sz w:val="24"/>
                <w:szCs w:val="24"/>
              </w:rPr>
              <w:t>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3</w:t>
            </w:r>
            <w:r>
              <w:rPr>
                <w:rFonts w:hint="eastAsia" w:ascii="??_GB2312" w:hAnsi="??_GB2312"/>
                <w:sz w:val="24"/>
                <w:szCs w:val="24"/>
              </w:rPr>
              <w:t>、二级机构</w:t>
            </w:r>
            <w:r>
              <w:rPr>
                <w:rFonts w:ascii="??_GB2312" w:hAnsi="??_GB2312"/>
                <w:sz w:val="24"/>
                <w:szCs w:val="24"/>
              </w:rPr>
              <w:t>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黑体" w:hAnsi="黑体" w:eastAsia="黑体"/>
                <w:color w:val="000000"/>
                <w:sz w:val="28"/>
                <w:szCs w:val="28"/>
              </w:rPr>
              <w:t>三、部门（单位）整体支出绩效自评情况</w:t>
            </w:r>
          </w:p>
        </w:tc>
      </w:tr>
      <w:tr>
        <w:tblPrEx>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整体支出绩效定性目标及实施计划完成情况</w:t>
            </w:r>
          </w:p>
        </w:tc>
        <w:tc>
          <w:tcPr>
            <w:tcW w:w="37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预期目标</w:t>
            </w:r>
          </w:p>
        </w:tc>
        <w:tc>
          <w:tcPr>
            <w:tcW w:w="4585" w:type="dxa"/>
            <w:gridSpan w:val="9"/>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实际完成</w:t>
            </w:r>
          </w:p>
        </w:tc>
      </w:tr>
      <w:tr>
        <w:trPr>
          <w:trHeight w:val="1172"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3774" w:type="dxa"/>
            <w:gridSpan w:val="7"/>
            <w:tcBorders>
              <w:top w:val="single" w:color="000000" w:sz="4" w:space="0"/>
              <w:left w:val="nil"/>
              <w:bottom w:val="single" w:color="000000" w:sz="4" w:space="0"/>
              <w:right w:val="single" w:color="000000" w:sz="4" w:space="0"/>
            </w:tcBorders>
            <w:vAlign w:val="center"/>
          </w:tcPr>
          <w:p>
            <w:pPr>
              <w:widowControl/>
              <w:shd w:val="clear" w:color="auto" w:fill="FFFFFF"/>
              <w:spacing w:before="100" w:after="206" w:line="280" w:lineRule="atLeast"/>
              <w:textAlignment w:val="center"/>
              <w:rPr>
                <w:rFonts w:ascii="宋体" w:cs="宋体"/>
                <w:color w:val="000000"/>
                <w:kern w:val="0"/>
                <w:shd w:val="clear" w:color="auto" w:fill="FFFFFF"/>
              </w:rPr>
            </w:pPr>
            <w:r>
              <w:rPr>
                <w:rFonts w:hint="eastAsia" w:ascii="宋体" w:hAnsi="宋体" w:cs="宋体"/>
                <w:color w:val="000000"/>
                <w:kern w:val="0"/>
                <w:shd w:val="clear" w:color="auto" w:fill="FFFFFF"/>
              </w:rPr>
              <w:t>人员支出：</w:t>
            </w:r>
            <w:r>
              <w:rPr>
                <w:rFonts w:hint="eastAsia" w:ascii="宋体" w:hAnsi="宋体" w:cs="宋体"/>
                <w:color w:val="000000"/>
                <w:kern w:val="0"/>
                <w:shd w:val="clear" w:color="auto" w:fill="FFFFFF"/>
                <w:lang w:val="en-US" w:eastAsia="zh-CN"/>
              </w:rPr>
              <w:t>168.77</w:t>
            </w:r>
            <w:r>
              <w:rPr>
                <w:rFonts w:hint="eastAsia" w:ascii="宋体" w:hAnsi="宋体" w:cs="宋体"/>
                <w:color w:val="000000"/>
                <w:kern w:val="0"/>
                <w:shd w:val="clear" w:color="auto" w:fill="FFFFFF"/>
              </w:rPr>
              <w:t>万元</w:t>
            </w:r>
          </w:p>
          <w:p>
            <w:pPr>
              <w:widowControl/>
              <w:shd w:val="clear" w:color="auto" w:fill="FFFFFF"/>
              <w:spacing w:before="100" w:after="206" w:line="280" w:lineRule="atLeast"/>
              <w:textAlignment w:val="center"/>
              <w:rPr>
                <w:rFonts w:ascii="Calibri" w:hAnsi="Calibri" w:cs="宋体"/>
                <w:color w:val="000000"/>
                <w:kern w:val="0"/>
              </w:rPr>
            </w:pPr>
            <w:r>
              <w:rPr>
                <w:rFonts w:hint="eastAsia" w:ascii="宋体" w:hAnsi="宋体" w:cs="宋体"/>
                <w:color w:val="000000"/>
                <w:kern w:val="0"/>
                <w:shd w:val="clear" w:color="auto" w:fill="FFFFFF"/>
              </w:rPr>
              <w:t>公用支出：</w:t>
            </w:r>
            <w:r>
              <w:rPr>
                <w:rFonts w:hint="eastAsia" w:ascii="宋体" w:hAnsi="宋体" w:cs="宋体"/>
                <w:color w:val="000000"/>
                <w:kern w:val="0"/>
                <w:shd w:val="clear" w:color="auto" w:fill="FFFFFF"/>
                <w:lang w:val="en-US" w:eastAsia="zh-CN"/>
              </w:rPr>
              <w:t xml:space="preserve">101.23 </w:t>
            </w:r>
            <w:r>
              <w:rPr>
                <w:rFonts w:hint="eastAsia" w:ascii="宋体" w:hAnsi="宋体" w:cs="宋体"/>
                <w:color w:val="000000"/>
                <w:kern w:val="0"/>
                <w:shd w:val="clear" w:color="auto" w:fill="FFFFFF"/>
              </w:rPr>
              <w:t>万元</w:t>
            </w:r>
          </w:p>
          <w:p>
            <w:pPr>
              <w:spacing w:line="320" w:lineRule="exact"/>
              <w:jc w:val="left"/>
              <w:textAlignment w:val="center"/>
              <w:rPr>
                <w:rFonts w:ascii="??_GB2312" w:hAnsi="??_GB2312"/>
                <w:color w:val="000000"/>
                <w:sz w:val="24"/>
                <w:szCs w:val="24"/>
              </w:rPr>
            </w:pPr>
          </w:p>
        </w:tc>
        <w:tc>
          <w:tcPr>
            <w:tcW w:w="4585" w:type="dxa"/>
            <w:gridSpan w:val="9"/>
            <w:tcBorders>
              <w:top w:val="single" w:color="000000" w:sz="4" w:space="0"/>
              <w:left w:val="nil"/>
              <w:bottom w:val="single" w:color="000000" w:sz="4" w:space="0"/>
              <w:right w:val="single" w:color="000000" w:sz="4" w:space="0"/>
            </w:tcBorders>
            <w:vAlign w:val="center"/>
          </w:tcPr>
          <w:p>
            <w:pPr>
              <w:widowControl/>
              <w:shd w:val="clear" w:color="auto" w:fill="FFFFFF"/>
              <w:spacing w:before="100" w:after="206" w:line="280" w:lineRule="atLeast"/>
              <w:textAlignment w:val="center"/>
              <w:rPr>
                <w:rFonts w:ascii="Calibri" w:hAnsi="Calibri" w:cs="宋体"/>
                <w:color w:val="000000"/>
                <w:kern w:val="0"/>
              </w:rPr>
            </w:pPr>
            <w:r>
              <w:rPr>
                <w:rFonts w:hint="eastAsia" w:ascii="宋体" w:hAnsi="宋体" w:cs="宋体"/>
                <w:color w:val="000000"/>
                <w:kern w:val="0"/>
                <w:shd w:val="clear" w:color="auto" w:fill="FFFFFF"/>
              </w:rPr>
              <w:t>及时完成</w:t>
            </w:r>
          </w:p>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整体支出</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绩效定量目标及实施计划完成情况</w:t>
            </w:r>
          </w:p>
        </w:tc>
        <w:tc>
          <w:tcPr>
            <w:tcW w:w="2966"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评价内容</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绩效目标</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完成情况</w:t>
            </w:r>
          </w:p>
        </w:tc>
      </w:tr>
      <w:tr>
        <w:tblPrEx>
          <w:tblCellMar>
            <w:top w:w="0" w:type="dxa"/>
            <w:left w:w="15" w:type="dxa"/>
            <w:bottom w:w="0" w:type="dxa"/>
            <w:right w:w="15" w:type="dxa"/>
          </w:tblCellMar>
        </w:tblPrEx>
        <w:trPr>
          <w:trHeight w:val="633"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产出目标</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（部门工作实绩，包含上级部门和县委县政府布置的重点工作、实事任务等，根据部门实际进行调整细化）</w:t>
            </w: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质量指标</w:t>
            </w: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社会工资水平</w:t>
            </w:r>
          </w:p>
        </w:tc>
        <w:tc>
          <w:tcPr>
            <w:tcW w:w="2684" w:type="dxa"/>
            <w:gridSpan w:val="6"/>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中等</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满足基本运转人均额</w:t>
            </w:r>
          </w:p>
        </w:tc>
        <w:tc>
          <w:tcPr>
            <w:tcW w:w="2684" w:type="dxa"/>
            <w:gridSpan w:val="6"/>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中等</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数量指标</w:t>
            </w: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财政供养人员</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在职人员数</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时效指标</w:t>
            </w: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ascii="??_GB2312" w:hAnsi="??_GB2312"/>
                <w:color w:val="000000"/>
                <w:sz w:val="24"/>
                <w:szCs w:val="24"/>
              </w:rPr>
              <w:t>201</w:t>
            </w:r>
            <w:r>
              <w:rPr>
                <w:rFonts w:hint="eastAsia" w:ascii="??_GB2312" w:hAnsi="??_GB2312"/>
                <w:color w:val="000000"/>
                <w:sz w:val="24"/>
                <w:szCs w:val="24"/>
                <w:lang w:val="en-US" w:eastAsia="zh-CN"/>
              </w:rPr>
              <w:t>8</w:t>
            </w:r>
            <w:r>
              <w:rPr>
                <w:rFonts w:hint="eastAsia" w:ascii="??_GB2312" w:hAnsi="??_GB2312"/>
                <w:color w:val="000000"/>
                <w:sz w:val="24"/>
                <w:szCs w:val="24"/>
              </w:rPr>
              <w:t>年度</w:t>
            </w:r>
          </w:p>
        </w:tc>
        <w:tc>
          <w:tcPr>
            <w:tcW w:w="2684" w:type="dxa"/>
            <w:gridSpan w:val="6"/>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ascii="??_GB2312" w:hAnsi="??_GB2312"/>
                <w:color w:val="000000"/>
                <w:sz w:val="24"/>
                <w:szCs w:val="24"/>
              </w:rPr>
              <w:t>1-12</w:t>
            </w:r>
            <w:r>
              <w:rPr>
                <w:rFonts w:hint="eastAsia" w:ascii="??_GB2312" w:hAnsi="??_GB2312"/>
                <w:color w:val="000000"/>
                <w:sz w:val="24"/>
                <w:szCs w:val="24"/>
              </w:rPr>
              <w:t>月</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ascii="??_GB2312" w:hAnsi="??_GB2312"/>
                <w:color w:val="000000"/>
                <w:sz w:val="24"/>
                <w:szCs w:val="24"/>
              </w:rPr>
              <w:t>201</w:t>
            </w:r>
            <w:r>
              <w:rPr>
                <w:rFonts w:hint="eastAsia" w:ascii="??_GB2312" w:hAnsi="??_GB2312"/>
                <w:color w:val="000000"/>
                <w:sz w:val="24"/>
                <w:szCs w:val="24"/>
                <w:lang w:val="en-US" w:eastAsia="zh-CN"/>
              </w:rPr>
              <w:t>8</w:t>
            </w:r>
            <w:r>
              <w:rPr>
                <w:rFonts w:hint="eastAsia" w:ascii="??_GB2312" w:hAnsi="??_GB2312"/>
                <w:color w:val="000000"/>
                <w:sz w:val="24"/>
                <w:szCs w:val="24"/>
              </w:rPr>
              <w:t>年度</w:t>
            </w:r>
          </w:p>
        </w:tc>
        <w:tc>
          <w:tcPr>
            <w:tcW w:w="2684" w:type="dxa"/>
            <w:gridSpan w:val="6"/>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ascii="??_GB2312" w:hAnsi="??_GB2312"/>
                <w:color w:val="000000"/>
                <w:sz w:val="24"/>
                <w:szCs w:val="24"/>
              </w:rPr>
              <w:t>1-12</w:t>
            </w:r>
            <w:r>
              <w:rPr>
                <w:rFonts w:hint="eastAsia" w:ascii="??_GB2312" w:hAnsi="??_GB2312"/>
                <w:color w:val="000000"/>
                <w:sz w:val="24"/>
                <w:szCs w:val="24"/>
              </w:rPr>
              <w:t>月</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成本指标</w:t>
            </w: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人员费用金额</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hint="eastAsia" w:ascii="??_GB2312" w:hAnsi="??_GB2312"/>
                <w:b/>
                <w:bCs/>
                <w:color w:val="000000"/>
                <w:sz w:val="24"/>
                <w:szCs w:val="24"/>
                <w:lang w:val="en-US" w:eastAsia="zh-CN"/>
              </w:rPr>
              <w:t>168.77</w:t>
            </w:r>
            <w:r>
              <w:rPr>
                <w:rFonts w:hint="eastAsia" w:ascii="??_GB2312" w:hAnsi="??_GB2312"/>
                <w:b/>
                <w:bCs/>
                <w:color w:val="000000"/>
                <w:sz w:val="24"/>
                <w:szCs w:val="24"/>
              </w:rPr>
              <w:t>万无</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公用费用金额</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hint="eastAsia" w:ascii="??_GB2312" w:hAnsi="??_GB2312"/>
                <w:b/>
                <w:bCs/>
                <w:color w:val="000000"/>
                <w:sz w:val="24"/>
                <w:szCs w:val="24"/>
                <w:lang w:val="en-US" w:eastAsia="zh-CN"/>
              </w:rPr>
              <w:t>101.23</w:t>
            </w:r>
            <w:r>
              <w:rPr>
                <w:rFonts w:hint="eastAsia" w:ascii="??_GB2312" w:hAnsi="??_GB2312"/>
                <w:b/>
                <w:bCs/>
                <w:color w:val="000000"/>
                <w:sz w:val="24"/>
                <w:szCs w:val="24"/>
              </w:rPr>
              <w:t>万元</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效益目标</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（预期实现的效益）</w:t>
            </w: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社会效益</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维持机关干部队伍</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维持社会稳定</w:t>
            </w:r>
          </w:p>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hint="eastAsia" w:ascii="??_GB2312" w:hAnsi="??_GB2312"/>
                <w:b/>
                <w:bCs/>
                <w:color w:val="000000"/>
                <w:sz w:val="24"/>
                <w:szCs w:val="24"/>
              </w:rPr>
              <w:t>上等</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经济效益</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工作人员工作水平</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促进社会健康发展</w:t>
            </w:r>
          </w:p>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hint="eastAsia" w:ascii="??_GB2312" w:hAnsi="??_GB2312"/>
                <w:b/>
                <w:bCs/>
                <w:color w:val="000000"/>
                <w:sz w:val="24"/>
                <w:szCs w:val="24"/>
              </w:rPr>
              <w:t>上等</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生态效益</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维持系统工作健康发展：</w:t>
            </w:r>
          </w:p>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hint="eastAsia" w:ascii="??_GB2312" w:hAnsi="??_GB2312"/>
                <w:b/>
                <w:bCs/>
                <w:color w:val="000000"/>
                <w:sz w:val="24"/>
                <w:szCs w:val="24"/>
              </w:rPr>
              <w:t>上等</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社会公众或服务对象满意度</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群众满意，</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社会认可</w:t>
            </w:r>
          </w:p>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ascii="??_GB2312" w:hAnsi="??_GB2312"/>
                <w:b/>
                <w:bCs/>
                <w:color w:val="000000"/>
                <w:sz w:val="24"/>
                <w:szCs w:val="24"/>
              </w:rPr>
              <w:t>100%</w:t>
            </w:r>
          </w:p>
        </w:tc>
      </w:tr>
      <w:tr>
        <w:tblPrEx>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绩效自评综合得分</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96</w:t>
            </w:r>
          </w:p>
        </w:tc>
      </w:tr>
      <w:tr>
        <w:tblPrEx>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评价等次</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优</w:t>
            </w:r>
          </w:p>
        </w:tc>
      </w:tr>
      <w:tr>
        <w:tblPrEx>
          <w:tblCellMar>
            <w:top w:w="0" w:type="dxa"/>
            <w:left w:w="15" w:type="dxa"/>
            <w:bottom w:w="0" w:type="dxa"/>
            <w:right w:w="15"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黑体" w:hAnsi="黑体" w:eastAsia="黑体"/>
                <w:color w:val="000000"/>
                <w:sz w:val="28"/>
                <w:szCs w:val="28"/>
              </w:rPr>
              <w:t>四、评价人员</w:t>
            </w:r>
          </w:p>
        </w:tc>
      </w:tr>
      <w:tr>
        <w:tblPrEx>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姓</w:t>
            </w:r>
            <w:r>
              <w:rPr>
                <w:rFonts w:ascii="??_GB2312" w:hAnsi="??_GB2312"/>
                <w:color w:val="000000"/>
                <w:sz w:val="24"/>
                <w:szCs w:val="24"/>
              </w:rPr>
              <w:t xml:space="preserve">  </w:t>
            </w:r>
            <w:r>
              <w:rPr>
                <w:rFonts w:hint="eastAsia" w:ascii="??_GB2312" w:hAnsi="??_GB2312"/>
                <w:color w:val="000000"/>
                <w:sz w:val="24"/>
                <w:szCs w:val="24"/>
              </w:rPr>
              <w:t>名</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职务</w:t>
            </w:r>
            <w:r>
              <w:rPr>
                <w:rFonts w:ascii="??_GB2312" w:hAnsi="??_GB2312"/>
                <w:color w:val="000000"/>
                <w:sz w:val="24"/>
                <w:szCs w:val="24"/>
              </w:rPr>
              <w:t>/</w:t>
            </w:r>
            <w:r>
              <w:rPr>
                <w:rFonts w:hint="eastAsia" w:ascii="??_GB2312" w:hAnsi="??_GB2312"/>
                <w:color w:val="000000"/>
                <w:sz w:val="24"/>
                <w:szCs w:val="24"/>
              </w:rPr>
              <w:t>职称</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单</w:t>
            </w:r>
            <w:r>
              <w:rPr>
                <w:rFonts w:ascii="??_GB2312" w:hAnsi="??_GB2312"/>
                <w:color w:val="000000"/>
                <w:sz w:val="24"/>
                <w:szCs w:val="24"/>
              </w:rPr>
              <w:t xml:space="preserve">  </w:t>
            </w:r>
            <w:r>
              <w:rPr>
                <w:rFonts w:hint="eastAsia" w:ascii="??_GB2312" w:hAnsi="??_GB2312"/>
                <w:color w:val="000000"/>
                <w:sz w:val="24"/>
                <w:szCs w:val="24"/>
              </w:rPr>
              <w:t>位</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签</w:t>
            </w:r>
            <w:r>
              <w:rPr>
                <w:rFonts w:ascii="??_GB2312" w:hAnsi="??_GB2312"/>
                <w:color w:val="000000"/>
                <w:sz w:val="24"/>
                <w:szCs w:val="24"/>
              </w:rPr>
              <w:t xml:space="preserve">  </w:t>
            </w:r>
            <w:r>
              <w:rPr>
                <w:rFonts w:hint="eastAsia" w:ascii="??_GB2312" w:hAnsi="??_GB2312"/>
                <w:color w:val="000000"/>
                <w:sz w:val="24"/>
                <w:szCs w:val="24"/>
              </w:rPr>
              <w:t>字</w:t>
            </w:r>
          </w:p>
        </w:tc>
      </w:tr>
      <w:tr>
        <w:tblPrEx>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lang w:val="en-US" w:eastAsia="zh-CN"/>
              </w:rPr>
              <w:t>双永华</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lang w:eastAsia="zh-CN"/>
              </w:rPr>
              <w:t>副书记</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lang w:eastAsia="zh-CN"/>
              </w:rPr>
              <w:t>县政法委</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olor w:val="000000"/>
                <w:sz w:val="24"/>
                <w:szCs w:val="24"/>
                <w:lang w:val="en-US" w:eastAsia="zh-CN"/>
              </w:rPr>
            </w:pPr>
            <w:r>
              <w:rPr>
                <w:rFonts w:hint="eastAsia" w:ascii="??_GB2312" w:hAnsi="??_GB2312"/>
                <w:color w:val="000000"/>
                <w:sz w:val="24"/>
                <w:szCs w:val="24"/>
                <w:lang w:val="en-US" w:eastAsia="zh-CN"/>
              </w:rPr>
              <w:t>王刚</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olor w:val="000000"/>
                <w:sz w:val="24"/>
                <w:szCs w:val="24"/>
                <w:lang w:eastAsia="zh-CN"/>
              </w:rPr>
            </w:pPr>
            <w:r>
              <w:rPr>
                <w:rFonts w:hint="eastAsia" w:ascii="??_GB2312" w:hAnsi="??_GB2312"/>
                <w:color w:val="000000"/>
                <w:sz w:val="24"/>
                <w:szCs w:val="24"/>
                <w:lang w:eastAsia="zh-CN"/>
              </w:rPr>
              <w:t>副书记</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lang w:eastAsia="zh-CN"/>
              </w:rPr>
              <w:t>县政法委</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张国文</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s="Times New Roman"/>
                <w:color w:val="000000"/>
                <w:kern w:val="2"/>
                <w:sz w:val="24"/>
                <w:szCs w:val="24"/>
                <w:lang w:val="en-US" w:eastAsia="zh-CN" w:bidi="ar-SA"/>
              </w:rPr>
            </w:pPr>
            <w:r>
              <w:rPr>
                <w:rFonts w:hint="eastAsia" w:ascii="??_GB2312" w:hAnsi="??_GB2312"/>
                <w:color w:val="000000"/>
                <w:sz w:val="24"/>
                <w:szCs w:val="24"/>
              </w:rPr>
              <w:t>会</w:t>
            </w:r>
            <w:r>
              <w:rPr>
                <w:rFonts w:ascii="??_GB2312" w:hAnsi="??_GB2312"/>
                <w:color w:val="000000"/>
                <w:sz w:val="24"/>
                <w:szCs w:val="24"/>
              </w:rPr>
              <w:t xml:space="preserve">  </w:t>
            </w:r>
            <w:r>
              <w:rPr>
                <w:rFonts w:hint="eastAsia" w:ascii="??_GB2312" w:hAnsi="??_GB2312"/>
                <w:color w:val="000000"/>
                <w:sz w:val="24"/>
                <w:szCs w:val="24"/>
              </w:rPr>
              <w:t>计</w:t>
            </w:r>
          </w:p>
        </w:tc>
        <w:tc>
          <w:tcPr>
            <w:tcW w:w="1479" w:type="dxa"/>
            <w:tcBorders>
              <w:top w:val="single" w:color="000000" w:sz="4" w:space="0"/>
              <w:left w:val="nil"/>
              <w:bottom w:val="single" w:color="000000" w:sz="4" w:space="0"/>
              <w:right w:val="single" w:color="000000"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ascii="??_GB2312" w:hAnsi="??_GB2312"/>
                <w:color w:val="000000"/>
                <w:sz w:val="24"/>
                <w:szCs w:val="24"/>
              </w:rPr>
              <w:t>县政法委</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CellMar>
            <w:top w:w="0" w:type="dxa"/>
            <w:left w:w="15" w:type="dxa"/>
            <w:bottom w:w="0" w:type="dxa"/>
            <w:right w:w="15"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评价组组长（签字）：</w:t>
            </w: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r>
              <w:rPr>
                <w:rFonts w:ascii="??_GB2312" w:hAnsi="??_GB2312"/>
                <w:color w:val="000000"/>
                <w:sz w:val="24"/>
                <w:szCs w:val="24"/>
              </w:rPr>
              <w:t xml:space="preserve">                                                               </w:t>
            </w:r>
            <w:r>
              <w:rPr>
                <w:rFonts w:hint="eastAsia" w:ascii="??_GB2312" w:hAnsi="??_GB2312"/>
                <w:color w:val="000000"/>
                <w:sz w:val="24"/>
                <w:szCs w:val="24"/>
              </w:rPr>
              <w:t>年</w:t>
            </w:r>
            <w:r>
              <w:rPr>
                <w:rFonts w:ascii="??_GB2312" w:hAnsi="??_GB2312"/>
                <w:color w:val="000000"/>
                <w:sz w:val="24"/>
                <w:szCs w:val="24"/>
              </w:rPr>
              <w:t xml:space="preserve">    </w:t>
            </w:r>
            <w:r>
              <w:rPr>
                <w:rFonts w:hint="eastAsia" w:ascii="??_GB2312" w:hAnsi="??_GB2312"/>
                <w:color w:val="000000"/>
                <w:sz w:val="24"/>
                <w:szCs w:val="24"/>
              </w:rPr>
              <w:t>月</w:t>
            </w:r>
            <w:r>
              <w:rPr>
                <w:rFonts w:ascii="??_GB2312" w:hAnsi="??_GB2312"/>
                <w:color w:val="000000"/>
                <w:sz w:val="24"/>
                <w:szCs w:val="24"/>
              </w:rPr>
              <w:t xml:space="preserve">    </w:t>
            </w:r>
            <w:r>
              <w:rPr>
                <w:rFonts w:hint="eastAsia" w:ascii="??_GB2312" w:hAnsi="??_GB2312"/>
                <w:color w:val="000000"/>
                <w:sz w:val="24"/>
                <w:szCs w:val="24"/>
              </w:rPr>
              <w:t>日</w:t>
            </w:r>
          </w:p>
        </w:tc>
      </w:tr>
      <w:tr>
        <w:tblPrEx>
          <w:tblCellMar>
            <w:top w:w="0" w:type="dxa"/>
            <w:left w:w="15" w:type="dxa"/>
            <w:bottom w:w="0" w:type="dxa"/>
            <w:right w:w="15"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部门（单位）意见：</w:t>
            </w: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r>
              <w:rPr>
                <w:rFonts w:ascii="??_GB2312" w:hAnsi="??_GB2312"/>
                <w:color w:val="000000"/>
                <w:sz w:val="24"/>
                <w:szCs w:val="24"/>
              </w:rPr>
              <w:t xml:space="preserve">                                         </w:t>
            </w:r>
            <w:r>
              <w:rPr>
                <w:rFonts w:hint="eastAsia" w:ascii="??_GB2312" w:hAnsi="??_GB2312"/>
                <w:color w:val="000000"/>
                <w:sz w:val="24"/>
                <w:szCs w:val="24"/>
              </w:rPr>
              <w:t>部门（单位）负责人（签章）：</w:t>
            </w:r>
          </w:p>
          <w:p>
            <w:pPr>
              <w:spacing w:line="320" w:lineRule="exact"/>
              <w:jc w:val="left"/>
              <w:textAlignment w:val="center"/>
              <w:rPr>
                <w:rFonts w:ascii="??_GB2312" w:hAnsi="??_GB2312"/>
                <w:color w:val="000000"/>
                <w:sz w:val="24"/>
                <w:szCs w:val="24"/>
              </w:rPr>
            </w:pPr>
            <w:r>
              <w:rPr>
                <w:rFonts w:ascii="??_GB2312" w:hAnsi="??_GB2312"/>
                <w:color w:val="000000"/>
                <w:sz w:val="24"/>
                <w:szCs w:val="24"/>
              </w:rPr>
              <w:t xml:space="preserve">                                                               </w:t>
            </w:r>
            <w:r>
              <w:rPr>
                <w:rFonts w:hint="eastAsia" w:ascii="??_GB2312" w:hAnsi="??_GB2312"/>
                <w:color w:val="000000"/>
                <w:sz w:val="24"/>
                <w:szCs w:val="24"/>
              </w:rPr>
              <w:t>年</w:t>
            </w:r>
            <w:r>
              <w:rPr>
                <w:rFonts w:ascii="??_GB2312" w:hAnsi="??_GB2312"/>
                <w:color w:val="000000"/>
                <w:sz w:val="24"/>
                <w:szCs w:val="24"/>
              </w:rPr>
              <w:t xml:space="preserve">    </w:t>
            </w:r>
            <w:r>
              <w:rPr>
                <w:rFonts w:hint="eastAsia" w:ascii="??_GB2312" w:hAnsi="??_GB2312"/>
                <w:color w:val="000000"/>
                <w:sz w:val="24"/>
                <w:szCs w:val="24"/>
              </w:rPr>
              <w:t>月</w:t>
            </w:r>
            <w:r>
              <w:rPr>
                <w:rFonts w:ascii="??_GB2312" w:hAnsi="??_GB2312"/>
                <w:color w:val="000000"/>
                <w:sz w:val="24"/>
                <w:szCs w:val="24"/>
              </w:rPr>
              <w:t xml:space="preserve">    </w:t>
            </w:r>
            <w:r>
              <w:rPr>
                <w:rFonts w:hint="eastAsia" w:ascii="??_GB2312" w:hAnsi="??_GB2312"/>
                <w:color w:val="000000"/>
                <w:sz w:val="24"/>
                <w:szCs w:val="24"/>
              </w:rPr>
              <w:t>日</w:t>
            </w:r>
          </w:p>
        </w:tc>
      </w:tr>
      <w:tr>
        <w:tblPrEx>
          <w:tblCellMar>
            <w:top w:w="0" w:type="dxa"/>
            <w:left w:w="15" w:type="dxa"/>
            <w:bottom w:w="0" w:type="dxa"/>
            <w:right w:w="15" w:type="dxa"/>
          </w:tblCellMar>
        </w:tblPrEx>
        <w:trPr>
          <w:trHeight w:val="279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sz w:val="24"/>
                <w:szCs w:val="24"/>
              </w:rPr>
            </w:pPr>
            <w:r>
              <w:rPr>
                <w:rFonts w:hint="eastAsia"/>
                <w:sz w:val="24"/>
                <w:szCs w:val="24"/>
              </w:rPr>
              <w:t>财政部门归口业务股室意见：</w:t>
            </w: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r>
              <w:rPr>
                <w:sz w:val="24"/>
                <w:szCs w:val="24"/>
              </w:rPr>
              <w:t xml:space="preserve">                                  </w:t>
            </w:r>
            <w:r>
              <w:rPr>
                <w:rFonts w:hint="eastAsia"/>
                <w:sz w:val="24"/>
                <w:szCs w:val="24"/>
              </w:rPr>
              <w:t>财政部门归口业务股室（签章）：</w:t>
            </w:r>
          </w:p>
          <w:p>
            <w:pPr>
              <w:spacing w:line="320" w:lineRule="exact"/>
              <w:jc w:val="left"/>
              <w:textAlignment w:val="center"/>
              <w:rPr>
                <w:rFonts w:ascii="??_GB2312" w:hAnsi="??_GB2312"/>
                <w:color w:val="000000"/>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rPr>
          <w:rFonts w:hint="eastAsia" w:ascii="仿宋" w:hAnsi="仿宋" w:eastAsia="仿宋" w:cs="仿宋"/>
          <w:sz w:val="28"/>
          <w:szCs w:val="28"/>
          <w:lang w:val="en-US" w:eastAsia="zh-CN"/>
        </w:rPr>
      </w:pPr>
      <w:r>
        <w:rPr>
          <w:rFonts w:hint="eastAsia" w:ascii="仿宋" w:hAnsi="仿宋" w:eastAsia="仿宋" w:cs="仿宋"/>
          <w:sz w:val="28"/>
          <w:szCs w:val="28"/>
        </w:rPr>
        <w:t xml:space="preserve">填报人（签名）：  </w:t>
      </w:r>
      <w:r>
        <w:rPr>
          <w:rFonts w:hint="eastAsia" w:ascii="仿宋" w:hAnsi="仿宋" w:eastAsia="仿宋" w:cs="仿宋"/>
          <w:sz w:val="28"/>
          <w:szCs w:val="28"/>
          <w:lang w:eastAsia="zh-CN"/>
        </w:rPr>
        <w:t>张国文</w:t>
      </w:r>
      <w:r>
        <w:rPr>
          <w:rFonts w:hint="eastAsia" w:ascii="仿宋" w:hAnsi="仿宋" w:eastAsia="仿宋" w:cs="仿宋"/>
          <w:sz w:val="28"/>
          <w:szCs w:val="28"/>
        </w:rPr>
        <w:t xml:space="preserve">              联系电话：</w:t>
      </w:r>
      <w:r>
        <w:rPr>
          <w:rFonts w:hint="eastAsia" w:ascii="仿宋" w:hAnsi="仿宋" w:eastAsia="仿宋" w:cs="仿宋"/>
          <w:sz w:val="28"/>
          <w:szCs w:val="28"/>
          <w:lang w:val="en-US" w:eastAsia="zh-CN"/>
        </w:rPr>
        <w:t>13762768886</w:t>
      </w:r>
    </w:p>
    <w:tbl>
      <w:tblPr>
        <w:tblStyle w:val="3"/>
        <w:tblW w:w="9558" w:type="dxa"/>
        <w:jc w:val="center"/>
        <w:tblLayout w:type="fixed"/>
        <w:tblCellMar>
          <w:top w:w="0" w:type="dxa"/>
          <w:left w:w="108" w:type="dxa"/>
          <w:bottom w:w="0" w:type="dxa"/>
          <w:right w:w="108" w:type="dxa"/>
        </w:tblCellMar>
      </w:tblPr>
      <w:tblGrid>
        <w:gridCol w:w="9558"/>
      </w:tblGrid>
      <w:tr>
        <w:tblPrEx>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hint="eastAsia" w:ascii="华文中宋" w:hAnsi="华文中宋" w:eastAsia="华文中宋" w:cs="华文中宋"/>
                <w:sz w:val="36"/>
                <w:szCs w:val="36"/>
              </w:rPr>
            </w:pPr>
          </w:p>
          <w:p>
            <w:pPr>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五、评价报告综述（文字部分）</w:t>
            </w:r>
          </w:p>
          <w:p>
            <w:pPr>
              <w:spacing w:line="440" w:lineRule="exact"/>
              <w:ind w:firstLine="720" w:firstLineChars="200"/>
              <w:rPr>
                <w:rFonts w:hint="eastAsia" w:ascii="华文中宋" w:hAnsi="华文中宋" w:eastAsia="华文中宋" w:cs="华文中宋"/>
                <w:sz w:val="36"/>
                <w:szCs w:val="36"/>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一、部门（单位）概况</w:t>
            </w:r>
          </w:p>
          <w:p>
            <w:pPr>
              <w:spacing w:line="560" w:lineRule="exact"/>
              <w:ind w:firstLine="602" w:firstLineChars="200"/>
              <w:rPr>
                <w:rFonts w:hint="eastAsia" w:ascii="楷体" w:hAnsi="楷体" w:eastAsia="楷体" w:cs="楷体"/>
                <w:b/>
                <w:bCs/>
                <w:sz w:val="30"/>
                <w:szCs w:val="30"/>
              </w:rPr>
            </w:pPr>
            <w:r>
              <w:rPr>
                <w:rFonts w:hint="eastAsia" w:ascii="楷体" w:hAnsi="楷体" w:eastAsia="楷体" w:cs="楷体"/>
                <w:b/>
                <w:bCs/>
                <w:sz w:val="30"/>
                <w:szCs w:val="30"/>
              </w:rPr>
              <w:t>（一）部门（单位）基本情况</w:t>
            </w:r>
          </w:p>
          <w:p>
            <w:pPr>
              <w:pStyle w:val="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40" w:lineRule="exact"/>
              <w:ind w:firstLine="600" w:firstLineChars="200"/>
              <w:jc w:val="both"/>
              <w:rPr>
                <w:rFonts w:hint="eastAsia" w:ascii="仿宋" w:hAnsi="仿宋" w:eastAsia="仿宋" w:cs="仿宋"/>
                <w:kern w:val="2"/>
                <w:sz w:val="30"/>
                <w:szCs w:val="30"/>
                <w:lang w:eastAsia="zh-CN"/>
              </w:rPr>
            </w:pPr>
            <w:r>
              <w:rPr>
                <w:rFonts w:hint="eastAsia" w:ascii="仿宋" w:hAnsi="仿宋" w:eastAsia="仿宋" w:cs="仿宋"/>
                <w:kern w:val="2"/>
                <w:sz w:val="30"/>
                <w:szCs w:val="30"/>
                <w:lang w:eastAsia="zh-CN"/>
              </w:rPr>
              <w:t>县政法委现有人员编制1</w:t>
            </w:r>
            <w:r>
              <w:rPr>
                <w:rFonts w:hint="eastAsia" w:ascii="仿宋" w:hAnsi="仿宋" w:eastAsia="仿宋" w:cs="仿宋"/>
                <w:kern w:val="2"/>
                <w:sz w:val="30"/>
                <w:szCs w:val="30"/>
                <w:lang w:val="en-US" w:eastAsia="zh-CN"/>
              </w:rPr>
              <w:t>2</w:t>
            </w:r>
            <w:r>
              <w:rPr>
                <w:rFonts w:hint="eastAsia" w:ascii="仿宋" w:hAnsi="仿宋" w:eastAsia="仿宋" w:cs="仿宋"/>
                <w:kern w:val="2"/>
                <w:sz w:val="30"/>
                <w:szCs w:val="30"/>
                <w:lang w:eastAsia="zh-CN"/>
              </w:rPr>
              <w:t>名，(其中：行政编制</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lang w:eastAsia="zh-CN"/>
              </w:rPr>
              <w:t>名；工勤编制</w:t>
            </w:r>
            <w:r>
              <w:rPr>
                <w:rFonts w:hint="eastAsia" w:ascii="仿宋" w:hAnsi="仿宋" w:eastAsia="仿宋" w:cs="仿宋"/>
                <w:kern w:val="2"/>
                <w:sz w:val="30"/>
                <w:szCs w:val="30"/>
                <w:lang w:val="en-US" w:eastAsia="zh-CN"/>
              </w:rPr>
              <w:t>2</w:t>
            </w:r>
            <w:r>
              <w:rPr>
                <w:rFonts w:hint="eastAsia" w:ascii="仿宋" w:hAnsi="仿宋" w:eastAsia="仿宋" w:cs="仿宋"/>
                <w:kern w:val="2"/>
                <w:sz w:val="30"/>
                <w:szCs w:val="30"/>
                <w:lang w:eastAsia="zh-CN"/>
              </w:rPr>
              <w:t>名)；年末实有人员</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lang w:eastAsia="zh-CN"/>
              </w:rPr>
              <w:t>人（其中：全额人员</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lang w:eastAsia="zh-CN"/>
              </w:rPr>
              <w:t>人）。</w:t>
            </w:r>
          </w:p>
          <w:p>
            <w:pPr>
              <w:pStyle w:val="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40" w:lineRule="exact"/>
              <w:ind w:firstLine="602" w:firstLineChars="200"/>
              <w:jc w:val="both"/>
              <w:rPr>
                <w:rFonts w:hint="eastAsia" w:ascii="楷体" w:hAnsi="楷体" w:eastAsia="楷体" w:cs="楷体"/>
                <w:b/>
                <w:bCs/>
                <w:kern w:val="2"/>
                <w:sz w:val="30"/>
                <w:szCs w:val="30"/>
                <w:lang w:eastAsia="zh-CN"/>
              </w:rPr>
            </w:pPr>
            <w:r>
              <w:rPr>
                <w:rFonts w:hint="eastAsia" w:ascii="楷体" w:hAnsi="楷体" w:eastAsia="楷体" w:cs="楷体"/>
                <w:b/>
                <w:bCs/>
                <w:kern w:val="2"/>
                <w:sz w:val="30"/>
                <w:szCs w:val="30"/>
                <w:lang w:eastAsia="zh-CN"/>
              </w:rPr>
              <w:t>当年取得的主要成效：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2018年，</w:t>
            </w:r>
            <w:r>
              <w:rPr>
                <w:rFonts w:hint="eastAsia" w:ascii="仿宋" w:hAnsi="仿宋" w:eastAsia="仿宋" w:cs="仿宋"/>
                <w:color w:val="000000"/>
                <w:sz w:val="30"/>
                <w:szCs w:val="30"/>
                <w:lang w:eastAsia="zh-CN"/>
              </w:rPr>
              <w:t>全县政法战线在县委的坚强领导下，认真贯彻落实中央和省委、市委、县委决策部署，扎实推进平安华容、法治华容和过硬队伍建设，各项工作均有新的进步。我县被评为第四批全国法治县创建活动先进单位，连续多年保持全省平安县称号，获评全省“三调联动解纠纷、防控风险促发展”专项调解活动先进集体，华容河法治文化广场获评第三批全省法治文化示范项目，马鞍山实验学校获评省级平安学校创建示范单位，万庾镇万庾村居民张丽容同志被推选为湖南省见义勇为英雄；县公安局获评全省公安机关扫黑除恶工作成绩突出单位，看守所保持全国一级看守所称号，城中派出所获评全省优秀基层所，督察大队获评全省公安警务督察工作成绩突出集体</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lang w:eastAsia="zh-CN"/>
              </w:rPr>
              <w:t>县检察院先后被评为</w:t>
            </w:r>
            <w:r>
              <w:rPr>
                <w:rFonts w:hint="eastAsia" w:ascii="仿宋" w:hAnsi="仿宋" w:eastAsia="仿宋" w:cs="仿宋"/>
                <w:b w:val="0"/>
                <w:bCs w:val="0"/>
                <w:color w:val="000000"/>
                <w:sz w:val="30"/>
                <w:szCs w:val="30"/>
                <w:lang w:eastAsia="zh-CN"/>
              </w:rPr>
              <w:t>全国检察宣传先进单位、</w:t>
            </w:r>
            <w:r>
              <w:rPr>
                <w:rFonts w:hint="eastAsia" w:ascii="仿宋" w:hAnsi="仿宋" w:eastAsia="仿宋" w:cs="仿宋"/>
                <w:color w:val="000000"/>
                <w:sz w:val="30"/>
                <w:szCs w:val="30"/>
                <w:lang w:eastAsia="zh-CN"/>
              </w:rPr>
              <w:t>全省公益诉讼先进单位、全省政法系统文艺之星、全省读书风气最盛检察院，保持省级文明标兵单位称号；县法院在全省</w:t>
            </w:r>
            <w:r>
              <w:rPr>
                <w:rFonts w:hint="eastAsia" w:ascii="仿宋" w:hAnsi="仿宋" w:eastAsia="仿宋" w:cs="仿宋"/>
                <w:color w:val="000000"/>
                <w:sz w:val="30"/>
                <w:szCs w:val="30"/>
                <w:lang w:val="en-US" w:eastAsia="zh-CN"/>
              </w:rPr>
              <w:t>125家法院综合考评</w:t>
            </w:r>
            <w:r>
              <w:rPr>
                <w:rFonts w:hint="eastAsia" w:ascii="仿宋" w:hAnsi="仿宋" w:eastAsia="仿宋" w:cs="仿宋"/>
                <w:color w:val="000000"/>
                <w:sz w:val="30"/>
                <w:szCs w:val="30"/>
                <w:lang w:eastAsia="zh-CN"/>
              </w:rPr>
              <w:t>中排名第</w:t>
            </w:r>
            <w:r>
              <w:rPr>
                <w:rFonts w:hint="eastAsia" w:ascii="仿宋" w:hAnsi="仿宋" w:eastAsia="仿宋" w:cs="仿宋"/>
                <w:color w:val="000000"/>
                <w:sz w:val="30"/>
                <w:szCs w:val="30"/>
                <w:lang w:val="en-US" w:eastAsia="zh-CN"/>
              </w:rPr>
              <w:t>25位，法检两院在市院绩效考核中均排名第一</w:t>
            </w:r>
            <w:r>
              <w:rPr>
                <w:rFonts w:hint="eastAsia" w:ascii="仿宋" w:hAnsi="仿宋" w:eastAsia="仿宋" w:cs="仿宋"/>
                <w:color w:val="000000"/>
                <w:sz w:val="30"/>
                <w:szCs w:val="30"/>
                <w:lang w:eastAsia="zh-CN"/>
              </w:rPr>
              <w:t xml:space="preserve">；县森林公安局被省局授予集体嘉奖；县消防大队被国家应急管理部消防局评为“改革转制教育整训先进大队”。 </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二、部门（单位）整体支出管理及使用情况</w:t>
            </w:r>
          </w:p>
          <w:p>
            <w:pPr>
              <w:spacing w:line="560" w:lineRule="exact"/>
              <w:ind w:firstLine="602" w:firstLineChars="200"/>
              <w:rPr>
                <w:rFonts w:hint="eastAsia" w:ascii="楷体" w:hAnsi="楷体" w:eastAsia="楷体" w:cs="楷体"/>
                <w:b/>
                <w:bCs/>
                <w:sz w:val="30"/>
                <w:szCs w:val="30"/>
                <w:lang w:eastAsia="zh-CN"/>
              </w:rPr>
            </w:pPr>
            <w:r>
              <w:rPr>
                <w:rFonts w:hint="eastAsia" w:ascii="楷体" w:hAnsi="楷体" w:eastAsia="楷体" w:cs="楷体"/>
                <w:b/>
                <w:bCs/>
                <w:sz w:val="30"/>
                <w:szCs w:val="30"/>
              </w:rPr>
              <w:t>（一）基本支出</w:t>
            </w:r>
            <w:r>
              <w:rPr>
                <w:rFonts w:hint="eastAsia" w:ascii="楷体" w:hAnsi="楷体" w:eastAsia="楷体" w:cs="楷体"/>
                <w:b/>
                <w:bCs/>
                <w:sz w:val="30"/>
                <w:szCs w:val="30"/>
                <w:lang w:eastAsia="zh-CN"/>
              </w:rPr>
              <w:t>及专项支出</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基本支出的主要用途是人员经费和日常公用经费，主要包括人员工资、津贴补贴、年终一次性奖金、社会保障缴费、办公费、印刷费、咨询费、水费、电费、邮电费、差旅费、维修（护）费、会议费、培训费、“三公”经费、生活补助、住房公积金、其他对个人和家庭的补助支出；其资金的管理通过国库集中支付；对“三公”经费的使用和管理，严格按照“只减不增”的原则控制，本单位“三公”经费其公务接待费</w:t>
            </w:r>
            <w:r>
              <w:rPr>
                <w:rFonts w:hint="eastAsia" w:ascii="仿宋" w:hAnsi="仿宋" w:eastAsia="仿宋" w:cs="仿宋"/>
                <w:sz w:val="30"/>
                <w:szCs w:val="30"/>
                <w:lang w:val="en-US" w:eastAsia="zh-CN"/>
              </w:rPr>
              <w:t>3.95万</w:t>
            </w:r>
            <w:r>
              <w:rPr>
                <w:rFonts w:hint="eastAsia" w:ascii="仿宋" w:hAnsi="仿宋" w:eastAsia="仿宋" w:cs="仿宋"/>
                <w:sz w:val="30"/>
                <w:szCs w:val="30"/>
              </w:rPr>
              <w:t>元，公车运行及维护费为0万元，会议费</w:t>
            </w:r>
            <w:r>
              <w:rPr>
                <w:rFonts w:hint="eastAsia" w:ascii="仿宋" w:hAnsi="仿宋" w:eastAsia="仿宋" w:cs="仿宋"/>
                <w:sz w:val="30"/>
                <w:szCs w:val="30"/>
                <w:lang w:val="en-US" w:eastAsia="zh-CN"/>
              </w:rPr>
              <w:t>3.2</w:t>
            </w:r>
            <w:r>
              <w:rPr>
                <w:rFonts w:hint="eastAsia" w:ascii="仿宋" w:hAnsi="仿宋" w:eastAsia="仿宋" w:cs="仿宋"/>
                <w:sz w:val="30"/>
                <w:szCs w:val="30"/>
              </w:rPr>
              <w:t>万元。</w:t>
            </w:r>
            <w:r>
              <w:rPr>
                <w:rFonts w:hint="eastAsia" w:ascii="仿宋" w:hAnsi="仿宋" w:eastAsia="仿宋" w:cs="仿宋"/>
                <w:sz w:val="30"/>
                <w:szCs w:val="30"/>
                <w:lang w:eastAsia="zh-CN"/>
              </w:rPr>
              <w:t>专项资金包括维稳、综治、涉法涉诉、处非、网格等项目，委机关成立专项资金集体审批小组，对每一笔专项资金使用进行集体审</w:t>
            </w:r>
            <w:bookmarkStart w:id="0" w:name="_GoBack"/>
            <w:bookmarkEnd w:id="0"/>
            <w:r>
              <w:rPr>
                <w:rFonts w:hint="eastAsia" w:ascii="仿宋" w:hAnsi="仿宋" w:eastAsia="仿宋" w:cs="仿宋"/>
                <w:sz w:val="30"/>
                <w:szCs w:val="30"/>
                <w:lang w:eastAsia="zh-CN"/>
              </w:rPr>
              <w:t>批制度，层层把关，严格按照制度落实。</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、部门（单位）整体支出绩效情况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主要工作体现在</w:t>
            </w:r>
            <w:r>
              <w:rPr>
                <w:rFonts w:hint="eastAsia" w:ascii="仿宋" w:hAnsi="仿宋" w:eastAsia="仿宋" w:cs="仿宋"/>
                <w:sz w:val="30"/>
                <w:szCs w:val="30"/>
                <w:lang w:eastAsia="zh-CN"/>
              </w:rPr>
              <w:t>四</w:t>
            </w:r>
            <w:r>
              <w:rPr>
                <w:rFonts w:hint="eastAsia" w:ascii="仿宋" w:hAnsi="仿宋" w:eastAsia="仿宋" w:cs="仿宋"/>
                <w:sz w:val="30"/>
                <w:szCs w:val="30"/>
              </w:rPr>
              <w:t>个方面：</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b w:val="0"/>
                <w:bCs w:val="0"/>
                <w:color w:val="000000"/>
                <w:sz w:val="30"/>
                <w:szCs w:val="30"/>
                <w:lang w:eastAsia="zh-CN"/>
              </w:rPr>
            </w:pPr>
            <w:r>
              <w:rPr>
                <w:rFonts w:hint="eastAsia" w:ascii="楷体" w:hAnsi="楷体" w:eastAsia="楷体" w:cs="楷体"/>
                <w:b/>
                <w:bCs/>
                <w:color w:val="000000"/>
                <w:sz w:val="30"/>
                <w:szCs w:val="30"/>
                <w:lang w:eastAsia="zh-CN"/>
              </w:rPr>
              <w:t>一年来，我们深入排查化解矛盾纠纷，信访维稳形势总体平稳可控</w:t>
            </w:r>
            <w:r>
              <w:rPr>
                <w:rFonts w:hint="eastAsia" w:ascii="仿宋" w:hAnsi="仿宋" w:eastAsia="仿宋" w:cs="仿宋"/>
                <w:b/>
                <w:bCs/>
                <w:color w:val="000000"/>
                <w:sz w:val="30"/>
                <w:szCs w:val="30"/>
                <w:lang w:eastAsia="zh-CN"/>
              </w:rPr>
              <w:t>。</w:t>
            </w:r>
            <w:r>
              <w:rPr>
                <w:rFonts w:hint="eastAsia" w:ascii="仿宋" w:hAnsi="仿宋" w:eastAsia="仿宋" w:cs="仿宋"/>
                <w:color w:val="000000"/>
                <w:sz w:val="30"/>
                <w:szCs w:val="30"/>
                <w:lang w:val="en-US" w:eastAsia="zh-CN"/>
              </w:rPr>
              <w:t>全年共排查各类风险隐患4911个</w:t>
            </w:r>
            <w:r>
              <w:rPr>
                <w:rFonts w:hint="eastAsia" w:ascii="仿宋" w:hAnsi="仿宋" w:eastAsia="仿宋" w:cs="仿宋"/>
                <w:b w:val="0"/>
                <w:bCs w:val="0"/>
                <w:color w:val="000000"/>
                <w:sz w:val="30"/>
                <w:szCs w:val="30"/>
                <w:lang w:val="en-US" w:eastAsia="zh-CN"/>
              </w:rPr>
              <w:t>，</w:t>
            </w:r>
            <w:r>
              <w:rPr>
                <w:rFonts w:hint="eastAsia" w:ascii="仿宋" w:hAnsi="仿宋" w:eastAsia="仿宋" w:cs="仿宋"/>
                <w:color w:val="000000"/>
                <w:sz w:val="30"/>
                <w:szCs w:val="30"/>
                <w:lang w:eastAsia="zh-CN"/>
              </w:rPr>
              <w:t>依托各乡镇和村（社区）公共法律服务站点，成功</w:t>
            </w:r>
            <w:r>
              <w:rPr>
                <w:rFonts w:hint="eastAsia" w:ascii="仿宋" w:hAnsi="仿宋" w:eastAsia="仿宋" w:cs="仿宋"/>
                <w:color w:val="000000"/>
                <w:sz w:val="30"/>
                <w:szCs w:val="30"/>
                <w:lang w:val="en-US" w:eastAsia="zh-CN"/>
              </w:rPr>
              <w:t>调解各类矛盾纠纷4703件，涉及金额4700余万元。</w:t>
            </w:r>
            <w:r>
              <w:rPr>
                <w:rFonts w:hint="eastAsia" w:ascii="仿宋" w:hAnsi="仿宋" w:eastAsia="仿宋" w:cs="仿宋"/>
                <w:color w:val="000000"/>
                <w:sz w:val="30"/>
                <w:szCs w:val="30"/>
                <w:lang w:eastAsia="zh-CN"/>
              </w:rPr>
              <w:t>加强重点群体稳控，</w:t>
            </w:r>
            <w:r>
              <w:rPr>
                <w:rFonts w:hint="eastAsia" w:ascii="仿宋" w:hAnsi="仿宋" w:eastAsia="仿宋" w:cs="仿宋"/>
                <w:b w:val="0"/>
                <w:bCs w:val="0"/>
                <w:color w:val="000000"/>
                <w:sz w:val="30"/>
                <w:szCs w:val="30"/>
                <w:lang w:val="en-US" w:eastAsia="zh-CN"/>
              </w:rPr>
              <w:t>有效化解和制止越级上访、群访群闹50余起，打击非访12件15人。开展重点信访问题“三到位一处理”专项行动，上级交办的35件信访件全部化解到位，19件涉法涉诉信访事项导入司法途径解决，</w:t>
            </w:r>
            <w:r>
              <w:rPr>
                <w:rFonts w:hint="eastAsia" w:ascii="仿宋" w:hAnsi="仿宋" w:eastAsia="仿宋" w:cs="仿宋"/>
                <w:color w:val="000000"/>
                <w:sz w:val="30"/>
                <w:szCs w:val="30"/>
              </w:rPr>
              <w:t>推进</w:t>
            </w:r>
            <w:r>
              <w:rPr>
                <w:rFonts w:hint="eastAsia" w:ascii="仿宋" w:hAnsi="仿宋" w:eastAsia="仿宋" w:cs="仿宋"/>
                <w:color w:val="000000"/>
                <w:sz w:val="30"/>
                <w:szCs w:val="30"/>
                <w:lang w:eastAsia="zh-CN"/>
              </w:rPr>
              <w:t>司法</w:t>
            </w:r>
            <w:r>
              <w:rPr>
                <w:rFonts w:hint="eastAsia" w:ascii="仿宋" w:hAnsi="仿宋" w:eastAsia="仿宋" w:cs="仿宋"/>
                <w:color w:val="000000"/>
                <w:sz w:val="30"/>
                <w:szCs w:val="30"/>
              </w:rPr>
              <w:t>救助</w:t>
            </w:r>
            <w:r>
              <w:rPr>
                <w:rFonts w:hint="eastAsia" w:ascii="仿宋" w:hAnsi="仿宋" w:eastAsia="仿宋" w:cs="仿宋"/>
                <w:color w:val="000000"/>
                <w:sz w:val="30"/>
                <w:szCs w:val="30"/>
                <w:lang w:eastAsia="zh-CN"/>
              </w:rPr>
              <w:t>工作</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先后</w:t>
            </w:r>
            <w:r>
              <w:rPr>
                <w:rFonts w:hint="eastAsia" w:ascii="仿宋" w:hAnsi="仿宋" w:eastAsia="仿宋" w:cs="仿宋"/>
                <w:color w:val="000000"/>
                <w:sz w:val="30"/>
                <w:szCs w:val="30"/>
              </w:rPr>
              <w:t>办理救助</w:t>
            </w:r>
            <w:r>
              <w:rPr>
                <w:rFonts w:hint="eastAsia" w:ascii="仿宋" w:hAnsi="仿宋" w:eastAsia="仿宋" w:cs="仿宋"/>
                <w:color w:val="000000"/>
                <w:sz w:val="30"/>
                <w:szCs w:val="30"/>
                <w:lang w:val="en-US" w:eastAsia="zh-CN"/>
              </w:rPr>
              <w:t>23</w:t>
            </w:r>
            <w:r>
              <w:rPr>
                <w:rFonts w:hint="eastAsia" w:ascii="仿宋" w:hAnsi="仿宋" w:eastAsia="仿宋" w:cs="仿宋"/>
                <w:color w:val="000000"/>
                <w:sz w:val="30"/>
                <w:szCs w:val="30"/>
              </w:rPr>
              <w:t>件，拨付救助款</w:t>
            </w:r>
            <w:r>
              <w:rPr>
                <w:rFonts w:hint="eastAsia" w:ascii="仿宋" w:hAnsi="仿宋" w:eastAsia="仿宋" w:cs="仿宋"/>
                <w:color w:val="000000"/>
                <w:sz w:val="30"/>
                <w:szCs w:val="30"/>
                <w:lang w:val="en-US" w:eastAsia="zh-CN"/>
              </w:rPr>
              <w:t>66.7</w:t>
            </w:r>
            <w:r>
              <w:rPr>
                <w:rFonts w:hint="eastAsia" w:ascii="仿宋" w:hAnsi="仿宋" w:eastAsia="仿宋" w:cs="仿宋"/>
                <w:color w:val="000000"/>
                <w:sz w:val="30"/>
                <w:szCs w:val="30"/>
              </w:rPr>
              <w:t>万元</w:t>
            </w:r>
            <w:r>
              <w:rPr>
                <w:rFonts w:hint="eastAsia" w:ascii="仿宋" w:hAnsi="仿宋" w:eastAsia="仿宋" w:cs="仿宋"/>
                <w:color w:val="000000"/>
                <w:sz w:val="30"/>
                <w:szCs w:val="30"/>
                <w:lang w:eastAsia="zh-CN"/>
              </w:rPr>
              <w:t>，</w:t>
            </w:r>
            <w:r>
              <w:rPr>
                <w:rFonts w:hint="eastAsia" w:ascii="仿宋" w:hAnsi="仿宋" w:eastAsia="仿宋" w:cs="仿宋"/>
                <w:b w:val="0"/>
                <w:bCs w:val="0"/>
                <w:color w:val="000000"/>
                <w:sz w:val="30"/>
                <w:szCs w:val="30"/>
                <w:lang w:val="en-US" w:eastAsia="zh-CN"/>
              </w:rPr>
              <w:t>全县信访总量持续下降、存量逐年减少、变量总体可控</w:t>
            </w:r>
            <w:r>
              <w:rPr>
                <w:rFonts w:hint="eastAsia" w:ascii="仿宋" w:hAnsi="仿宋" w:eastAsia="仿宋" w:cs="仿宋"/>
                <w:color w:val="00000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eastAsia" w:ascii="仿宋" w:hAnsi="仿宋" w:eastAsia="仿宋" w:cs="仿宋"/>
                <w:b w:val="0"/>
                <w:bCs w:val="0"/>
                <w:i w:val="0"/>
                <w:caps w:val="0"/>
                <w:color w:val="000000"/>
                <w:spacing w:val="0"/>
                <w:sz w:val="30"/>
                <w:szCs w:val="30"/>
                <w:shd w:val="clear" w:color="auto" w:fill="FFFFFF"/>
                <w:lang w:val="en-US" w:eastAsia="zh-CN"/>
              </w:rPr>
            </w:pPr>
            <w:r>
              <w:rPr>
                <w:rFonts w:hint="eastAsia" w:ascii="楷体" w:hAnsi="楷体" w:eastAsia="楷体" w:cs="楷体"/>
                <w:b/>
                <w:bCs/>
                <w:color w:val="000000"/>
                <w:sz w:val="30"/>
                <w:szCs w:val="30"/>
                <w:lang w:eastAsia="zh-CN"/>
              </w:rPr>
              <w:t>一年来，我们加强和创新社会治理，政法综治工作取得重要进展</w:t>
            </w:r>
            <w:r>
              <w:rPr>
                <w:rFonts w:hint="eastAsia" w:ascii="仿宋" w:hAnsi="仿宋" w:eastAsia="仿宋" w:cs="仿宋"/>
                <w:b/>
                <w:bCs/>
                <w:color w:val="000000"/>
                <w:sz w:val="30"/>
                <w:szCs w:val="30"/>
                <w:lang w:eastAsia="zh-CN"/>
              </w:rPr>
              <w:t>。</w:t>
            </w:r>
            <w:r>
              <w:rPr>
                <w:rFonts w:hint="eastAsia" w:ascii="仿宋" w:hAnsi="仿宋" w:eastAsia="仿宋" w:cs="仿宋"/>
                <w:b w:val="0"/>
                <w:bCs w:val="0"/>
                <w:color w:val="000000"/>
                <w:sz w:val="30"/>
                <w:szCs w:val="30"/>
                <w:shd w:val="clear" w:color="auto" w:fill="FFFFFF"/>
                <w:lang w:val="en-US" w:eastAsia="zh-CN"/>
              </w:rPr>
              <w:t>成立了县网格化管理服务中心，高标准建成了县级综治中心和网格化管理服务</w:t>
            </w:r>
            <w:r>
              <w:rPr>
                <w:rFonts w:hint="eastAsia" w:ascii="仿宋" w:hAnsi="仿宋" w:eastAsia="仿宋" w:cs="仿宋"/>
                <w:color w:val="000000"/>
                <w:sz w:val="30"/>
                <w:szCs w:val="30"/>
                <w:lang w:eastAsia="zh-CN"/>
              </w:rPr>
              <w:t>平台，配备专职网格员</w:t>
            </w:r>
            <w:r>
              <w:rPr>
                <w:rFonts w:hint="eastAsia" w:ascii="仿宋" w:hAnsi="仿宋" w:eastAsia="仿宋" w:cs="仿宋"/>
                <w:color w:val="000000"/>
                <w:sz w:val="30"/>
                <w:szCs w:val="30"/>
                <w:lang w:val="en-US" w:eastAsia="zh-CN"/>
              </w:rPr>
              <w:t>47名</w:t>
            </w:r>
            <w:r>
              <w:rPr>
                <w:rFonts w:hint="eastAsia" w:ascii="仿宋" w:hAnsi="仿宋" w:eastAsia="仿宋" w:cs="仿宋"/>
                <w:color w:val="000000"/>
                <w:sz w:val="30"/>
                <w:szCs w:val="30"/>
                <w:lang w:eastAsia="zh-CN"/>
              </w:rPr>
              <w:t>，录入基础信息</w:t>
            </w:r>
            <w:r>
              <w:rPr>
                <w:rFonts w:hint="eastAsia" w:ascii="仿宋" w:hAnsi="仿宋" w:eastAsia="仿宋" w:cs="仿宋"/>
                <w:color w:val="000000"/>
                <w:sz w:val="30"/>
                <w:szCs w:val="30"/>
                <w:lang w:val="en-US" w:eastAsia="zh-CN"/>
              </w:rPr>
              <w:t>100</w:t>
            </w:r>
            <w:r>
              <w:rPr>
                <w:rFonts w:hint="eastAsia" w:ascii="仿宋" w:hAnsi="仿宋" w:eastAsia="仿宋" w:cs="仿宋"/>
                <w:color w:val="000000"/>
                <w:sz w:val="30"/>
                <w:szCs w:val="30"/>
                <w:lang w:eastAsia="zh-CN"/>
              </w:rPr>
              <w:t>万余条</w:t>
            </w:r>
            <w:r>
              <w:rPr>
                <w:rFonts w:hint="eastAsia" w:ascii="仿宋" w:hAnsi="仿宋" w:eastAsia="仿宋" w:cs="仿宋"/>
                <w:b w:val="0"/>
                <w:bCs w:val="0"/>
                <w:color w:val="000000"/>
                <w:sz w:val="30"/>
                <w:szCs w:val="30"/>
                <w:lang w:eastAsia="zh-CN"/>
              </w:rPr>
              <w:t>。</w:t>
            </w:r>
            <w:r>
              <w:rPr>
                <w:rFonts w:hint="eastAsia" w:ascii="仿宋" w:hAnsi="仿宋" w:eastAsia="仿宋" w:cs="仿宋"/>
                <w:color w:val="000000"/>
                <w:sz w:val="30"/>
                <w:szCs w:val="30"/>
                <w:lang w:eastAsia="zh-CN"/>
              </w:rPr>
              <w:t>按照“一年打击遏制、两年深挖根治、三年长效长治”的工作目标，高位部署了扫黑除恶专项斗争，掀起了强大攻势。截至目前，共</w:t>
            </w:r>
            <w:r>
              <w:rPr>
                <w:rFonts w:hint="eastAsia" w:ascii="仿宋" w:hAnsi="仿宋" w:eastAsia="仿宋" w:cs="仿宋"/>
                <w:color w:val="000000"/>
                <w:sz w:val="30"/>
                <w:szCs w:val="30"/>
                <w:lang w:val="en-US" w:eastAsia="zh-CN"/>
              </w:rPr>
              <w:t>打掉涉恶犯罪团伙3个，破获</w:t>
            </w:r>
            <w:r>
              <w:rPr>
                <w:rFonts w:hint="eastAsia" w:ascii="仿宋" w:hAnsi="仿宋" w:eastAsia="仿宋" w:cs="仿宋"/>
                <w:color w:val="000000"/>
                <w:sz w:val="30"/>
                <w:szCs w:val="30"/>
              </w:rPr>
              <w:t>涉恶</w:t>
            </w:r>
            <w:r>
              <w:rPr>
                <w:rFonts w:hint="eastAsia" w:ascii="仿宋" w:hAnsi="仿宋" w:eastAsia="仿宋" w:cs="仿宋"/>
                <w:color w:val="000000"/>
                <w:sz w:val="30"/>
                <w:szCs w:val="30"/>
                <w:lang w:eastAsia="zh-CN"/>
              </w:rPr>
              <w:t>案件</w:t>
            </w:r>
            <w:r>
              <w:rPr>
                <w:rFonts w:hint="eastAsia" w:ascii="仿宋" w:hAnsi="仿宋" w:eastAsia="仿宋" w:cs="仿宋"/>
                <w:color w:val="000000"/>
                <w:sz w:val="30"/>
                <w:szCs w:val="30"/>
                <w:lang w:val="en-US" w:eastAsia="zh-CN"/>
              </w:rPr>
              <w:t>20起</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抓获涉案人员</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3人</w:t>
            </w:r>
            <w:r>
              <w:rPr>
                <w:rFonts w:hint="eastAsia" w:ascii="仿宋" w:hAnsi="仿宋" w:eastAsia="仿宋" w:cs="仿宋"/>
                <w:color w:val="000000"/>
                <w:sz w:val="30"/>
                <w:szCs w:val="30"/>
                <w:lang w:eastAsia="zh-CN"/>
              </w:rPr>
              <w:t>，对以刘练兵为首的</w:t>
            </w:r>
            <w:r>
              <w:rPr>
                <w:rFonts w:hint="eastAsia" w:ascii="仿宋" w:hAnsi="仿宋" w:eastAsia="仿宋" w:cs="仿宋"/>
                <w:color w:val="000000"/>
                <w:sz w:val="30"/>
                <w:szCs w:val="30"/>
                <w:lang w:val="en-US" w:eastAsia="zh-CN"/>
              </w:rPr>
              <w:t>16人</w:t>
            </w:r>
            <w:r>
              <w:rPr>
                <w:rFonts w:hint="eastAsia" w:ascii="仿宋" w:hAnsi="仿宋" w:eastAsia="仿宋" w:cs="仿宋"/>
                <w:color w:val="000000"/>
                <w:sz w:val="30"/>
                <w:szCs w:val="30"/>
                <w:lang w:eastAsia="zh-CN"/>
              </w:rPr>
              <w:t>恶势力犯罪集团进行了公开庭审，形成了较大震慑。严格落实综治领导责任制，强力推进综治民调，扎实开展了</w:t>
            </w:r>
            <w:r>
              <w:rPr>
                <w:rFonts w:hint="eastAsia" w:ascii="仿宋" w:hAnsi="仿宋" w:eastAsia="仿宋" w:cs="仿宋"/>
                <w:b w:val="0"/>
                <w:bCs w:val="0"/>
                <w:i w:val="0"/>
                <w:caps w:val="0"/>
                <w:color w:val="000000"/>
                <w:spacing w:val="0"/>
                <w:sz w:val="30"/>
                <w:szCs w:val="30"/>
                <w:shd w:val="clear" w:color="auto" w:fill="FFFFFF"/>
                <w:lang w:val="en-US" w:eastAsia="zh-CN"/>
              </w:rPr>
              <w:t>平安创建活动，平安华容建设深入人心。</w:t>
            </w:r>
            <w:r>
              <w:rPr>
                <w:rFonts w:hint="eastAsia" w:ascii="仿宋" w:hAnsi="仿宋" w:eastAsia="仿宋" w:cs="仿宋"/>
                <w:color w:val="000000"/>
                <w:sz w:val="30"/>
                <w:szCs w:val="30"/>
                <w:shd w:val="clear" w:color="auto" w:fill="FFFFFF"/>
                <w:lang w:val="en-US" w:eastAsia="zh-CN"/>
              </w:rPr>
              <w:t>坚持发展新时代“枫桥经验”，成功打造无非正常上访、无治安刑事案件、无公共安全事件的“三无”村（社区）61个</w:t>
            </w:r>
            <w:r>
              <w:rPr>
                <w:rFonts w:hint="eastAsia" w:ascii="仿宋" w:hAnsi="仿宋" w:eastAsia="仿宋" w:cs="仿宋"/>
                <w:color w:val="000000"/>
                <w:sz w:val="30"/>
                <w:szCs w:val="30"/>
                <w:lang w:eastAsia="zh-CN"/>
              </w:rPr>
              <w:t>。</w:t>
            </w:r>
            <w:r>
              <w:rPr>
                <w:rFonts w:hint="eastAsia" w:ascii="仿宋" w:hAnsi="仿宋" w:eastAsia="仿宋" w:cs="仿宋"/>
                <w:b w:val="0"/>
                <w:bCs w:val="0"/>
                <w:sz w:val="30"/>
                <w:szCs w:val="30"/>
                <w:lang w:val="en-US" w:eastAsia="zh-CN"/>
              </w:rPr>
              <w:t>统一为县域境内精神障碍患者肇事肇祸购买了责任保险，成功调处相关案事件6起，理赔47万余元。</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eastAsia" w:ascii="仿宋" w:hAnsi="仿宋" w:eastAsia="仿宋" w:cs="仿宋"/>
                <w:b w:val="0"/>
                <w:bCs w:val="0"/>
                <w:color w:val="000000"/>
                <w:sz w:val="30"/>
                <w:szCs w:val="30"/>
                <w:lang w:val="en-US" w:eastAsia="zh-CN"/>
              </w:rPr>
            </w:pPr>
            <w:r>
              <w:rPr>
                <w:rFonts w:hint="eastAsia" w:ascii="楷体" w:hAnsi="楷体" w:eastAsia="楷体" w:cs="楷体"/>
                <w:b/>
                <w:bCs/>
                <w:color w:val="000000"/>
                <w:sz w:val="30"/>
                <w:szCs w:val="30"/>
                <w:lang w:eastAsia="zh-CN"/>
              </w:rPr>
              <w:t>一年来，我们深入推进平安华容、法治华容建设，服务保障更加有力有效</w:t>
            </w:r>
            <w:r>
              <w:rPr>
                <w:rFonts w:hint="eastAsia" w:ascii="仿宋" w:hAnsi="仿宋" w:eastAsia="仿宋" w:cs="仿宋"/>
                <w:b/>
                <w:bCs/>
                <w:color w:val="000000"/>
                <w:sz w:val="30"/>
                <w:szCs w:val="30"/>
                <w:lang w:eastAsia="zh-CN"/>
              </w:rPr>
              <w:t>。</w:t>
            </w:r>
            <w:r>
              <w:rPr>
                <w:rFonts w:hint="eastAsia" w:ascii="仿宋" w:hAnsi="仿宋" w:eastAsia="仿宋" w:cs="仿宋"/>
                <w:color w:val="000000"/>
                <w:sz w:val="30"/>
                <w:szCs w:val="30"/>
                <w:lang w:val="en-US" w:eastAsia="zh-CN"/>
              </w:rPr>
              <w:t>坚持把完善立体化社会治安防控体系建设作为平安华容建设的基础工程，全力保障公共安全，</w:t>
            </w:r>
            <w:r>
              <w:rPr>
                <w:rFonts w:hint="eastAsia" w:ascii="仿宋" w:hAnsi="仿宋" w:eastAsia="仿宋" w:cs="仿宋"/>
                <w:b w:val="0"/>
                <w:bCs w:val="0"/>
                <w:color w:val="000000"/>
                <w:sz w:val="30"/>
                <w:szCs w:val="30"/>
                <w:lang w:val="en-US" w:eastAsia="zh-CN"/>
              </w:rPr>
              <w:t>实现了“三降两升”：刑事案件发案、火灾事故、交通亡人事故持续下降，群众安全感、满意度不断提升。公安局侦破刑事案件463起，查处治安行政案件1036件，检察院批准逮捕213件253人，提起公诉342件426人，</w:t>
            </w:r>
            <w:r>
              <w:rPr>
                <w:rFonts w:hint="eastAsia" w:ascii="仿宋" w:hAnsi="仿宋" w:eastAsia="仿宋" w:cs="仿宋"/>
                <w:b w:val="0"/>
                <w:bCs w:val="0"/>
                <w:color w:val="000000"/>
                <w:sz w:val="30"/>
                <w:szCs w:val="30"/>
                <w:lang w:eastAsia="zh-CN"/>
              </w:rPr>
              <w:t>法院审结</w:t>
            </w:r>
            <w:r>
              <w:rPr>
                <w:rFonts w:hint="eastAsia" w:ascii="仿宋" w:hAnsi="仿宋" w:eastAsia="仿宋" w:cs="仿宋"/>
                <w:b w:val="0"/>
                <w:bCs w:val="0"/>
                <w:color w:val="000000"/>
                <w:sz w:val="30"/>
                <w:szCs w:val="30"/>
                <w:lang w:val="en-US" w:eastAsia="zh-CN"/>
              </w:rPr>
              <w:t>4994件，司法局办理法律援助242件，公证件2300件，交警大队开展现场执法近3万起，非现场执法12万余起，查处酒驾380起、醉驾12起、毒驾1起，行政拘留218人，刑事拘留59人。</w:t>
            </w:r>
            <w:r>
              <w:rPr>
                <w:rFonts w:hint="eastAsia" w:ascii="仿宋" w:hAnsi="仿宋" w:eastAsia="仿宋" w:cs="仿宋"/>
                <w:b w:val="0"/>
                <w:bCs w:val="0"/>
                <w:color w:val="000000"/>
                <w:sz w:val="30"/>
                <w:szCs w:val="30"/>
                <w:lang w:eastAsia="zh-CN"/>
              </w:rPr>
              <w:t>全面实施禁毒工作“摘帽进位”工程，</w:t>
            </w:r>
            <w:r>
              <w:rPr>
                <w:rFonts w:hint="eastAsia" w:ascii="仿宋" w:hAnsi="仿宋" w:eastAsia="仿宋" w:cs="仿宋"/>
                <w:b w:val="0"/>
                <w:bCs w:val="0"/>
                <w:color w:val="000000"/>
                <w:sz w:val="30"/>
                <w:szCs w:val="30"/>
                <w:lang w:val="en-US" w:eastAsia="zh-CN"/>
              </w:rPr>
              <w:t>吸毒人员管控率达98%，禁毒民调全省排名第22位。</w:t>
            </w:r>
            <w:r>
              <w:rPr>
                <w:rFonts w:hint="eastAsia" w:ascii="仿宋" w:hAnsi="仿宋" w:eastAsia="仿宋" w:cs="仿宋"/>
                <w:color w:val="000000"/>
                <w:sz w:val="30"/>
                <w:szCs w:val="30"/>
                <w:lang w:val="en-US" w:eastAsia="zh-CN"/>
              </w:rPr>
              <w:t>积极推进法检两院内设机构改革和人财物省级统管，办案质效进一步提升。</w:t>
            </w:r>
            <w:r>
              <w:rPr>
                <w:rFonts w:hint="eastAsia" w:ascii="仿宋" w:hAnsi="仿宋" w:eastAsia="仿宋" w:cs="仿宋"/>
                <w:b w:val="0"/>
                <w:bCs w:val="0"/>
                <w:color w:val="000000"/>
                <w:sz w:val="30"/>
                <w:szCs w:val="30"/>
                <w:lang w:val="en-US" w:eastAsia="zh-CN"/>
              </w:rPr>
              <w:t>全力防范化解重大金融风险，查处涉众型经济案件13件20人。全面开展</w:t>
            </w:r>
            <w:r>
              <w:rPr>
                <w:rFonts w:hint="eastAsia" w:ascii="仿宋" w:hAnsi="仿宋" w:eastAsia="仿宋" w:cs="仿宋"/>
                <w:b w:val="0"/>
                <w:bCs w:val="0"/>
                <w:color w:val="000000"/>
                <w:sz w:val="30"/>
                <w:szCs w:val="30"/>
                <w:shd w:val="clear" w:color="auto" w:fill="FFFFFF"/>
                <w:lang w:val="en-US" w:eastAsia="zh-CN"/>
              </w:rPr>
              <w:t>公益诉讼工作，审结洞庭湖水域非法捕捞圆田螺案4件，关停排污企业2家；强化医药卫生领域监督，办理食药公益诉讼案件114件，注销乡村诊所经营资格13个。进一步</w:t>
            </w:r>
            <w:r>
              <w:rPr>
                <w:rFonts w:hint="eastAsia" w:ascii="仿宋" w:hAnsi="仿宋" w:eastAsia="仿宋" w:cs="仿宋"/>
                <w:b w:val="0"/>
                <w:bCs w:val="0"/>
                <w:color w:val="000000"/>
                <w:sz w:val="30"/>
                <w:szCs w:val="30"/>
                <w:lang w:val="en-US" w:eastAsia="zh-CN"/>
              </w:rPr>
              <w:t>加大执行力度，全年共执结案件1520件，司法拘留110余人，移送涉嫌拒不执行犯罪案件6件，336人列入失信被执行人“黑名单”，执行到位金额近1.2亿元。</w:t>
            </w:r>
            <w:r>
              <w:rPr>
                <w:rFonts w:hint="eastAsia" w:ascii="仿宋" w:hAnsi="仿宋" w:eastAsia="仿宋" w:cs="仿宋"/>
                <w:b w:val="0"/>
                <w:bCs w:val="0"/>
                <w:sz w:val="30"/>
                <w:szCs w:val="30"/>
                <w:lang w:val="en-US" w:eastAsia="zh-CN"/>
              </w:rPr>
              <w:t>全面开展法律服务市场清理整顿，</w:t>
            </w:r>
            <w:r>
              <w:rPr>
                <w:rFonts w:hint="eastAsia" w:ascii="仿宋" w:hAnsi="仿宋" w:eastAsia="仿宋" w:cs="仿宋"/>
                <w:b w:val="0"/>
                <w:bCs w:val="0"/>
                <w:color w:val="000000"/>
                <w:sz w:val="30"/>
                <w:szCs w:val="30"/>
                <w:lang w:val="en-US" w:eastAsia="zh-CN"/>
              </w:rPr>
              <w:t>公共法律服务体系建设深入推进。广泛开展法治宣教和法律服务，</w:t>
            </w:r>
            <w:r>
              <w:rPr>
                <w:rFonts w:hint="eastAsia" w:ascii="仿宋" w:hAnsi="仿宋" w:eastAsia="仿宋" w:cs="仿宋"/>
                <w:color w:val="000000"/>
                <w:sz w:val="30"/>
                <w:szCs w:val="30"/>
                <w:lang w:eastAsia="zh-CN"/>
              </w:rPr>
              <w:t>领导干部和国家工作人员学法考法实现全覆盖，</w:t>
            </w:r>
            <w:r>
              <w:rPr>
                <w:rFonts w:hint="eastAsia" w:ascii="仿宋" w:hAnsi="仿宋" w:eastAsia="仿宋" w:cs="仿宋"/>
                <w:b w:val="0"/>
                <w:bCs w:val="0"/>
                <w:color w:val="000000"/>
                <w:sz w:val="30"/>
                <w:szCs w:val="30"/>
                <w:lang w:val="en-US" w:eastAsia="zh-CN"/>
              </w:rPr>
              <w:t>成功</w:t>
            </w:r>
            <w:r>
              <w:rPr>
                <w:rFonts w:hint="eastAsia" w:ascii="仿宋" w:hAnsi="仿宋" w:eastAsia="仿宋" w:cs="仿宋"/>
                <w:color w:val="000000"/>
                <w:sz w:val="30"/>
                <w:szCs w:val="30"/>
                <w:shd w:val="clear" w:color="auto" w:fill="FFFFFF"/>
                <w:lang w:val="en-US" w:eastAsia="zh-CN"/>
              </w:rPr>
              <w:t>创建省级民主法治示范村（社区）3个</w:t>
            </w:r>
            <w:r>
              <w:rPr>
                <w:rFonts w:hint="eastAsia" w:ascii="仿宋" w:hAnsi="仿宋" w:eastAsia="仿宋" w:cs="仿宋"/>
                <w:b w:val="0"/>
                <w:bCs w:val="0"/>
                <w:color w:val="000000"/>
                <w:sz w:val="30"/>
                <w:szCs w:val="30"/>
                <w:lang w:val="en-US" w:eastAsia="zh-CN"/>
              </w:rPr>
              <w:t>，</w:t>
            </w:r>
            <w:r>
              <w:rPr>
                <w:rFonts w:hint="eastAsia" w:ascii="仿宋" w:hAnsi="仿宋" w:eastAsia="仿宋" w:cs="仿宋"/>
                <w:color w:val="000000"/>
                <w:sz w:val="30"/>
                <w:szCs w:val="30"/>
                <w:lang w:eastAsia="zh-CN"/>
              </w:rPr>
              <w:t>县花鼓戏协会作为全市唯一代表入选湖南省最美公益普法集体。</w:t>
            </w:r>
            <w:r>
              <w:rPr>
                <w:rFonts w:hint="eastAsia" w:ascii="仿宋" w:hAnsi="仿宋" w:eastAsia="仿宋" w:cs="仿宋"/>
                <w:b w:val="0"/>
                <w:bCs w:val="0"/>
                <w:color w:val="000000"/>
                <w:sz w:val="30"/>
                <w:szCs w:val="30"/>
                <w:lang w:val="en-US" w:eastAsia="zh-CN"/>
              </w:rPr>
              <w:t>争创省级道路交通平安县，在全市率先推行“路长制”，全年未发生一次性死亡3人以上较大交通事故，重大节假日未发生长时间、大面积交通拥堵，全市农村道路交通安全管理工作现场会在我县召开，有关经验在全市推广。</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eastAsia" w:ascii="仿宋" w:hAnsi="仿宋" w:eastAsia="仿宋" w:cs="仿宋"/>
                <w:b w:val="0"/>
                <w:bCs w:val="0"/>
                <w:color w:val="000000"/>
                <w:sz w:val="30"/>
                <w:szCs w:val="30"/>
                <w:lang w:val="en-US" w:eastAsia="zh-CN"/>
              </w:rPr>
            </w:pPr>
            <w:r>
              <w:rPr>
                <w:rFonts w:hint="eastAsia" w:ascii="楷体" w:hAnsi="楷体" w:eastAsia="楷体" w:cs="楷体"/>
                <w:b/>
                <w:bCs/>
                <w:color w:val="000000"/>
                <w:sz w:val="30"/>
                <w:szCs w:val="30"/>
                <w:lang w:eastAsia="zh-CN"/>
              </w:rPr>
              <w:t>一年来，我们扎实开展政法干警整训，政法基层基础更加夯实</w:t>
            </w:r>
            <w:r>
              <w:rPr>
                <w:rFonts w:hint="eastAsia" w:ascii="仿宋" w:hAnsi="仿宋" w:eastAsia="仿宋" w:cs="仿宋"/>
                <w:b/>
                <w:bCs/>
                <w:color w:val="000000"/>
                <w:sz w:val="30"/>
                <w:szCs w:val="30"/>
                <w:lang w:eastAsia="zh-CN"/>
              </w:rPr>
              <w:t>。</w:t>
            </w:r>
            <w:r>
              <w:rPr>
                <w:rFonts w:hint="eastAsia" w:ascii="仿宋" w:hAnsi="仿宋" w:eastAsia="仿宋" w:cs="仿宋"/>
                <w:b w:val="0"/>
                <w:bCs w:val="0"/>
                <w:color w:val="000000"/>
                <w:sz w:val="30"/>
                <w:szCs w:val="30"/>
                <w:lang w:eastAsia="zh-CN"/>
              </w:rPr>
              <w:t>先后组织了干警整训、警示教育，案件质量大评查、纪律作风大检查等系列活动，查处违纪违法案件1</w:t>
            </w:r>
            <w:r>
              <w:rPr>
                <w:rFonts w:hint="eastAsia" w:ascii="仿宋" w:hAnsi="仿宋" w:eastAsia="仿宋" w:cs="仿宋"/>
                <w:b w:val="0"/>
                <w:bCs w:val="0"/>
                <w:color w:val="000000"/>
                <w:sz w:val="30"/>
                <w:szCs w:val="30"/>
                <w:lang w:val="en-US" w:eastAsia="zh-CN"/>
              </w:rPr>
              <w:t>6</w:t>
            </w:r>
            <w:r>
              <w:rPr>
                <w:rFonts w:hint="eastAsia" w:ascii="仿宋" w:hAnsi="仿宋" w:eastAsia="仿宋" w:cs="仿宋"/>
                <w:b w:val="0"/>
                <w:bCs w:val="0"/>
                <w:color w:val="000000"/>
                <w:sz w:val="30"/>
                <w:szCs w:val="30"/>
                <w:lang w:eastAsia="zh-CN"/>
              </w:rPr>
              <w:t>件，处分1</w:t>
            </w:r>
            <w:r>
              <w:rPr>
                <w:rFonts w:hint="eastAsia" w:ascii="仿宋" w:hAnsi="仿宋" w:eastAsia="仿宋" w:cs="仿宋"/>
                <w:b w:val="0"/>
                <w:bCs w:val="0"/>
                <w:color w:val="000000"/>
                <w:sz w:val="30"/>
                <w:szCs w:val="30"/>
                <w:lang w:val="en-US" w:eastAsia="zh-CN"/>
              </w:rPr>
              <w:t>6</w:t>
            </w:r>
            <w:r>
              <w:rPr>
                <w:rFonts w:hint="eastAsia" w:ascii="仿宋" w:hAnsi="仿宋" w:eastAsia="仿宋" w:cs="仿宋"/>
                <w:b w:val="0"/>
                <w:bCs w:val="0"/>
                <w:color w:val="000000"/>
                <w:sz w:val="30"/>
                <w:szCs w:val="30"/>
                <w:lang w:eastAsia="zh-CN"/>
              </w:rPr>
              <w:t>人，谈话提醒24人次，诫勉谈话3人次。加强政法宣传和舆情管控</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组建了长安剑华容剑友群，并依托政法新媒体，</w:t>
            </w:r>
            <w:r>
              <w:rPr>
                <w:rFonts w:hint="eastAsia" w:ascii="仿宋" w:hAnsi="仿宋" w:eastAsia="仿宋" w:cs="仿宋"/>
                <w:b w:val="0"/>
                <w:bCs w:val="0"/>
                <w:color w:val="000000"/>
                <w:sz w:val="30"/>
                <w:szCs w:val="30"/>
              </w:rPr>
              <w:t>发布各类新闻消息千余篇。</w:t>
            </w:r>
            <w:r>
              <w:rPr>
                <w:rFonts w:hint="eastAsia" w:ascii="仿宋" w:hAnsi="仿宋" w:eastAsia="仿宋" w:cs="仿宋"/>
                <w:b w:val="0"/>
                <w:bCs w:val="0"/>
                <w:color w:val="000000"/>
                <w:sz w:val="30"/>
                <w:szCs w:val="30"/>
                <w:lang w:eastAsia="zh-CN"/>
              </w:rPr>
              <w:t>各乡镇、村（社区）综治中心、法律服务站点，以及</w:t>
            </w:r>
            <w:r>
              <w:rPr>
                <w:rFonts w:hint="eastAsia" w:ascii="仿宋" w:hAnsi="仿宋" w:eastAsia="仿宋" w:cs="仿宋"/>
                <w:b w:val="0"/>
                <w:bCs w:val="0"/>
                <w:color w:val="000000"/>
                <w:sz w:val="30"/>
                <w:szCs w:val="30"/>
                <w:lang w:val="en-US" w:eastAsia="zh-CN"/>
              </w:rPr>
              <w:t>186个</w:t>
            </w:r>
            <w:r>
              <w:rPr>
                <w:rFonts w:hint="eastAsia" w:ascii="仿宋" w:hAnsi="仿宋" w:eastAsia="仿宋" w:cs="仿宋"/>
                <w:b w:val="0"/>
                <w:bCs w:val="0"/>
                <w:color w:val="000000"/>
                <w:sz w:val="30"/>
                <w:szCs w:val="30"/>
                <w:lang w:eastAsia="zh-CN"/>
              </w:rPr>
              <w:t>驻村</w:t>
            </w:r>
            <w:r>
              <w:rPr>
                <w:rFonts w:hint="eastAsia" w:ascii="仿宋" w:hAnsi="仿宋" w:eastAsia="仿宋" w:cs="仿宋"/>
                <w:b w:val="0"/>
                <w:bCs w:val="0"/>
                <w:color w:val="000000"/>
                <w:sz w:val="30"/>
                <w:szCs w:val="30"/>
                <w:lang w:val="en-US" w:eastAsia="zh-CN"/>
              </w:rPr>
              <w:t>警务室</w:t>
            </w:r>
            <w:r>
              <w:rPr>
                <w:rFonts w:hint="eastAsia" w:ascii="仿宋" w:hAnsi="仿宋" w:eastAsia="仿宋" w:cs="仿宋"/>
                <w:b w:val="0"/>
                <w:bCs w:val="0"/>
                <w:color w:val="000000"/>
                <w:sz w:val="30"/>
                <w:szCs w:val="30"/>
                <w:lang w:eastAsia="zh-CN"/>
              </w:rPr>
              <w:t>建设全部到位，“一村一辅警”工作在全市率先完成，</w:t>
            </w:r>
            <w:r>
              <w:rPr>
                <w:rFonts w:hint="eastAsia" w:ascii="仿宋" w:hAnsi="仿宋" w:eastAsia="仿宋" w:cs="仿宋"/>
                <w:b w:val="0"/>
                <w:bCs w:val="0"/>
                <w:color w:val="000000"/>
                <w:sz w:val="30"/>
                <w:szCs w:val="30"/>
                <w:lang w:val="en-US" w:eastAsia="zh-CN"/>
              </w:rPr>
              <w:t>公安业务技术用房进入室内装修刹尾阶段，拘留所、强戒所即将投入使用，政法各单位基层队所庭室标准化建设也取得重要进展。</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、存在的主要问题</w:t>
            </w:r>
          </w:p>
          <w:p>
            <w:pPr>
              <w:pStyle w:val="2"/>
              <w:shd w:val="clear" w:color="auto" w:fill="FFFFFF"/>
              <w:spacing w:before="0" w:beforeAutospacing="0" w:after="0" w:afterAutospacing="0" w:line="480" w:lineRule="auto"/>
              <w:ind w:firstLine="480"/>
              <w:rPr>
                <w:rFonts w:hint="eastAsia" w:ascii="仿宋" w:hAnsi="仿宋" w:eastAsia="仿宋" w:cs="仿宋"/>
                <w:kern w:val="2"/>
                <w:sz w:val="30"/>
                <w:szCs w:val="30"/>
              </w:rPr>
            </w:pPr>
            <w:r>
              <w:rPr>
                <w:rFonts w:hint="eastAsia" w:ascii="仿宋" w:hAnsi="仿宋" w:eastAsia="仿宋" w:cs="仿宋"/>
                <w:kern w:val="2"/>
                <w:sz w:val="30"/>
                <w:szCs w:val="30"/>
              </w:rPr>
              <w:t>1.预算执行存在偏差。因部分工作是年中或年末，根据中央和省里要求开展，未纳入年初预算，另外还有部分经费，比如绩效考核奖励资金等不可预见经费的追加，无法纳入预算。</w:t>
            </w:r>
          </w:p>
          <w:p>
            <w:pPr>
              <w:pStyle w:val="2"/>
              <w:shd w:val="clear" w:color="auto" w:fill="FFFFFF"/>
              <w:spacing w:before="0" w:beforeAutospacing="0" w:after="0" w:afterAutospacing="0" w:line="480" w:lineRule="auto"/>
              <w:ind w:firstLine="480"/>
              <w:rPr>
                <w:rFonts w:hint="eastAsia" w:ascii="仿宋" w:hAnsi="仿宋" w:eastAsia="仿宋" w:cs="仿宋"/>
                <w:kern w:val="2"/>
                <w:sz w:val="30"/>
                <w:szCs w:val="30"/>
              </w:rPr>
            </w:pPr>
            <w:r>
              <w:rPr>
                <w:rFonts w:hint="eastAsia" w:ascii="仿宋" w:hAnsi="仿宋" w:eastAsia="仿宋" w:cs="仿宋"/>
                <w:kern w:val="2"/>
                <w:sz w:val="30"/>
                <w:szCs w:val="30"/>
              </w:rPr>
              <w:t>2、公用经费不足，导致挤占项目经费。年初预算公用经费不足，加上人员变动，年初预算公用经费无法保证机关正常行政运行，导致挤占项目经费。</w:t>
            </w:r>
          </w:p>
          <w:p>
            <w:pPr>
              <w:pStyle w:val="2"/>
              <w:shd w:val="clear" w:color="auto" w:fill="FFFFFF"/>
              <w:spacing w:before="0" w:beforeAutospacing="0" w:after="0" w:afterAutospacing="0" w:line="480" w:lineRule="auto"/>
              <w:ind w:firstLine="480"/>
              <w:rPr>
                <w:rFonts w:hint="eastAsia" w:ascii="黑体" w:hAnsi="黑体" w:eastAsia="黑体" w:cs="黑体"/>
                <w:kern w:val="2"/>
                <w:sz w:val="30"/>
                <w:szCs w:val="30"/>
              </w:rPr>
            </w:pPr>
            <w:r>
              <w:rPr>
                <w:rFonts w:hint="eastAsia" w:ascii="黑体" w:hAnsi="黑体" w:eastAsia="黑体" w:cs="黑体"/>
                <w:kern w:val="2"/>
                <w:sz w:val="30"/>
                <w:szCs w:val="30"/>
                <w:lang w:eastAsia="zh-CN"/>
              </w:rPr>
              <w:t>五、</w:t>
            </w:r>
            <w:r>
              <w:rPr>
                <w:rFonts w:hint="eastAsia" w:ascii="黑体" w:hAnsi="黑体" w:eastAsia="黑体" w:cs="黑体"/>
                <w:kern w:val="2"/>
                <w:sz w:val="30"/>
                <w:szCs w:val="30"/>
              </w:rPr>
              <w:t>有关建议</w:t>
            </w:r>
          </w:p>
          <w:p>
            <w:pPr>
              <w:pStyle w:val="2"/>
              <w:shd w:val="clear" w:color="auto" w:fill="FFFFFF"/>
              <w:spacing w:before="0" w:beforeAutospacing="0" w:after="0" w:afterAutospacing="0" w:line="480" w:lineRule="auto"/>
              <w:ind w:firstLine="480"/>
              <w:rPr>
                <w:rFonts w:hint="eastAsia" w:ascii="仿宋" w:hAnsi="仿宋" w:eastAsia="仿宋" w:cs="仿宋"/>
                <w:kern w:val="2"/>
                <w:sz w:val="30"/>
                <w:szCs w:val="30"/>
              </w:rPr>
            </w:pPr>
            <w:r>
              <w:rPr>
                <w:rFonts w:hint="eastAsia" w:ascii="仿宋" w:hAnsi="仿宋" w:eastAsia="仿宋" w:cs="仿宋"/>
                <w:kern w:val="2"/>
                <w:sz w:val="30"/>
                <w:szCs w:val="30"/>
              </w:rPr>
              <w:t>针对上述存在的问题及我委整体支出管理工作的需要，拟实施的改进措施如下：</w:t>
            </w:r>
          </w:p>
          <w:p>
            <w:pPr>
              <w:pStyle w:val="2"/>
              <w:shd w:val="clear" w:color="auto" w:fill="FFFFFF"/>
              <w:spacing w:before="0" w:beforeAutospacing="0" w:after="0" w:afterAutospacing="0" w:line="480" w:lineRule="auto"/>
              <w:ind w:firstLine="480"/>
              <w:rPr>
                <w:rFonts w:hint="eastAsia" w:ascii="仿宋" w:hAnsi="仿宋" w:eastAsia="仿宋" w:cs="仿宋"/>
                <w:kern w:val="2"/>
                <w:sz w:val="30"/>
                <w:szCs w:val="30"/>
              </w:rPr>
            </w:pPr>
            <w:r>
              <w:rPr>
                <w:rFonts w:hint="eastAsia" w:ascii="仿宋" w:hAnsi="仿宋" w:eastAsia="仿宋" w:cs="仿宋"/>
                <w:kern w:val="2"/>
                <w:sz w:val="30"/>
                <w:szCs w:val="30"/>
              </w:rPr>
              <w:t>1、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pPr>
              <w:pStyle w:val="2"/>
              <w:shd w:val="clear" w:color="auto" w:fill="FFFFFF"/>
              <w:spacing w:before="0" w:beforeAutospacing="0" w:after="0" w:afterAutospacing="0" w:line="480" w:lineRule="auto"/>
              <w:ind w:firstLine="480"/>
              <w:rPr>
                <w:rFonts w:hint="eastAsia" w:ascii="仿宋" w:hAnsi="仿宋" w:eastAsia="仿宋" w:cs="仿宋"/>
                <w:kern w:val="2"/>
                <w:sz w:val="30"/>
                <w:szCs w:val="30"/>
              </w:rPr>
            </w:pPr>
            <w:r>
              <w:rPr>
                <w:rFonts w:hint="eastAsia" w:ascii="仿宋" w:hAnsi="仿宋" w:eastAsia="仿宋" w:cs="仿宋"/>
                <w:kern w:val="2"/>
                <w:sz w:val="30"/>
                <w:szCs w:val="30"/>
              </w:rPr>
              <w:t>2、加强单位内控制度建设，完善相关内部管理制度。按</w:t>
            </w:r>
            <w:r>
              <w:rPr>
                <w:rFonts w:hint="eastAsia" w:ascii="仿宋" w:hAnsi="仿宋" w:eastAsia="仿宋" w:cs="仿宋"/>
                <w:kern w:val="2"/>
                <w:sz w:val="30"/>
                <w:szCs w:val="30"/>
                <w:lang w:eastAsia="zh-CN"/>
              </w:rPr>
              <w:t>县</w:t>
            </w:r>
            <w:r>
              <w:rPr>
                <w:rFonts w:hint="eastAsia" w:ascii="仿宋" w:hAnsi="仿宋" w:eastAsia="仿宋" w:cs="仿宋"/>
                <w:kern w:val="2"/>
                <w:sz w:val="30"/>
                <w:szCs w:val="30"/>
              </w:rPr>
              <w:t>财政局要求开展内部控制建设工作，通过查找内部管理中的薄弱环节，建立健全各项内部控制制度，更好地发挥内部控制在提升单位内部治理水平、规范内部权力运行、促进依法行政、推进廉政建设中的重要作用。</w:t>
            </w:r>
          </w:p>
          <w:p>
            <w:pPr>
              <w:rPr>
                <w:rFonts w:ascii="??_GB2312" w:hAnsi="??_GB2312"/>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64E9D"/>
    <w:rsid w:val="00001114"/>
    <w:rsid w:val="000C2DE5"/>
    <w:rsid w:val="001106BC"/>
    <w:rsid w:val="001773EF"/>
    <w:rsid w:val="001A1595"/>
    <w:rsid w:val="001B31DB"/>
    <w:rsid w:val="001D1B01"/>
    <w:rsid w:val="0020101C"/>
    <w:rsid w:val="002B0883"/>
    <w:rsid w:val="003842BF"/>
    <w:rsid w:val="003C4EDF"/>
    <w:rsid w:val="003D6F0F"/>
    <w:rsid w:val="0049618C"/>
    <w:rsid w:val="00523177"/>
    <w:rsid w:val="00567317"/>
    <w:rsid w:val="0059265F"/>
    <w:rsid w:val="00592ADF"/>
    <w:rsid w:val="006276A1"/>
    <w:rsid w:val="00627B87"/>
    <w:rsid w:val="00670DB9"/>
    <w:rsid w:val="00680B14"/>
    <w:rsid w:val="00690F2D"/>
    <w:rsid w:val="00725D55"/>
    <w:rsid w:val="007639DF"/>
    <w:rsid w:val="00830448"/>
    <w:rsid w:val="008C072F"/>
    <w:rsid w:val="008C7073"/>
    <w:rsid w:val="008D6DF0"/>
    <w:rsid w:val="00972FCA"/>
    <w:rsid w:val="009829B9"/>
    <w:rsid w:val="009C4763"/>
    <w:rsid w:val="00A702CE"/>
    <w:rsid w:val="00B00226"/>
    <w:rsid w:val="00B43616"/>
    <w:rsid w:val="00BC4BF5"/>
    <w:rsid w:val="00BD20BE"/>
    <w:rsid w:val="00BF771E"/>
    <w:rsid w:val="00CD14AD"/>
    <w:rsid w:val="00D20F86"/>
    <w:rsid w:val="00E27552"/>
    <w:rsid w:val="00E77244"/>
    <w:rsid w:val="00E80515"/>
    <w:rsid w:val="00E91FE7"/>
    <w:rsid w:val="00ED1DDA"/>
    <w:rsid w:val="00F064E1"/>
    <w:rsid w:val="00F13D13"/>
    <w:rsid w:val="00F365AE"/>
    <w:rsid w:val="00FC5034"/>
    <w:rsid w:val="0BAD024A"/>
    <w:rsid w:val="0EA44DA5"/>
    <w:rsid w:val="13C819A5"/>
    <w:rsid w:val="233263B6"/>
    <w:rsid w:val="2C313051"/>
    <w:rsid w:val="2FCB7627"/>
    <w:rsid w:val="35F177F6"/>
    <w:rsid w:val="376A734E"/>
    <w:rsid w:val="3F72780F"/>
    <w:rsid w:val="41816098"/>
    <w:rsid w:val="47945FF1"/>
    <w:rsid w:val="51A64E9D"/>
    <w:rsid w:val="53E456A2"/>
    <w:rsid w:val="5B1C0066"/>
    <w:rsid w:val="5D7E69DC"/>
    <w:rsid w:val="634163AD"/>
    <w:rsid w:val="6626268D"/>
    <w:rsid w:val="6F9106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
    <w:name w:val="[Normal]"/>
    <w:qFormat/>
    <w:uiPriority w:val="99"/>
    <w:rPr>
      <w:rFonts w:ascii="宋体" w:hAnsi="宋体" w:eastAsia="宋体" w:cs="Times New Roman"/>
      <w:kern w:val="0"/>
      <w:sz w:val="24"/>
      <w:szCs w:val="20"/>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18</Pages>
  <Words>1253</Words>
  <Characters>7143</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2018-06-19T01:40:00Z</dcterms:created>
  <dc:creator>Administrator</dc:creator>
  <cp:lastModifiedBy>小猪包</cp:lastModifiedBy>
  <cp:lastPrinted>2019-11-05T09:05:00Z</cp:lastPrinted>
  <dcterms:modified xsi:type="dcterms:W3CDTF">2021-06-04T02:06:40Z</dcterms:modified>
  <dc:title>附件2-1</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359C23D3CE8C41B3A48DB7024F6DE85E</vt:lpwstr>
  </property>
</Properties>
</file>