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jc w:val="center"/>
        <w:rPr>
          <w:rFonts w:hint="eastAsia" w:eastAsia="方正小标宋简体"/>
          <w:bCs/>
          <w:sz w:val="42"/>
          <w:szCs w:val="42"/>
        </w:rPr>
      </w:pPr>
    </w:p>
    <w:p>
      <w:pPr>
        <w:spacing w:line="800" w:lineRule="exact"/>
        <w:jc w:val="center"/>
        <w:rPr>
          <w:rFonts w:hint="eastAsia" w:eastAsia="方正小标宋简体"/>
          <w:bCs/>
          <w:sz w:val="46"/>
          <w:szCs w:val="46"/>
          <w:lang w:eastAsia="zh-CN"/>
        </w:rPr>
      </w:pPr>
    </w:p>
    <w:p>
      <w:pPr>
        <w:spacing w:line="800" w:lineRule="exact"/>
        <w:jc w:val="center"/>
        <w:rPr>
          <w:rFonts w:hint="eastAsia" w:eastAsia="方正小标宋简体"/>
          <w:bCs/>
          <w:sz w:val="46"/>
          <w:szCs w:val="46"/>
        </w:rPr>
      </w:pPr>
      <w:r>
        <w:rPr>
          <w:rFonts w:hint="eastAsia" w:eastAsia="方正小标宋简体"/>
          <w:bCs/>
          <w:sz w:val="46"/>
          <w:szCs w:val="46"/>
          <w:lang w:eastAsia="zh-CN"/>
        </w:rPr>
        <w:t>华容县</w:t>
      </w:r>
      <w:r>
        <w:rPr>
          <w:rFonts w:hint="eastAsia" w:eastAsia="方正小标宋简体"/>
          <w:bCs/>
          <w:sz w:val="46"/>
          <w:szCs w:val="46"/>
        </w:rPr>
        <w:t>20</w:t>
      </w:r>
      <w:r>
        <w:rPr>
          <w:rFonts w:hint="eastAsia" w:eastAsia="方正小标宋简体"/>
          <w:bCs/>
          <w:sz w:val="46"/>
          <w:szCs w:val="46"/>
          <w:u w:val="single"/>
        </w:rPr>
        <w:t>18</w:t>
      </w:r>
      <w:r>
        <w:rPr>
          <w:rFonts w:hint="eastAsia" w:eastAsia="方正小标宋简体"/>
          <w:bCs/>
          <w:sz w:val="46"/>
          <w:szCs w:val="46"/>
        </w:rPr>
        <w:t>年度部门整体支出</w:t>
      </w:r>
    </w:p>
    <w:p>
      <w:pPr>
        <w:spacing w:line="800" w:lineRule="exact"/>
        <w:jc w:val="center"/>
        <w:rPr>
          <w:rFonts w:hint="eastAsia" w:eastAsia="方正小标宋简体"/>
          <w:bCs/>
          <w:sz w:val="46"/>
          <w:szCs w:val="46"/>
        </w:rPr>
      </w:pPr>
      <w:r>
        <w:rPr>
          <w:rFonts w:hint="eastAsia" w:eastAsia="方正小标宋简体"/>
          <w:bCs/>
          <w:sz w:val="46"/>
          <w:szCs w:val="46"/>
        </w:rPr>
        <w:t>绩效评价自评报告</w:t>
      </w:r>
    </w:p>
    <w:p>
      <w:pPr>
        <w:rPr>
          <w:rFonts w:hint="eastAsia" w:eastAsia="仿宋_GB2312"/>
          <w:b/>
          <w:sz w:val="32"/>
        </w:rPr>
      </w:pPr>
    </w:p>
    <w:p>
      <w:pPr>
        <w:rPr>
          <w:rFonts w:hint="eastAsia" w:eastAsia="仿宋_GB2312"/>
          <w:b/>
          <w:sz w:val="32"/>
        </w:rPr>
      </w:pPr>
    </w:p>
    <w:p>
      <w:pPr>
        <w:rPr>
          <w:rFonts w:hint="eastAsia" w:eastAsia="仿宋_GB2312"/>
          <w:b/>
          <w:sz w:val="32"/>
        </w:rPr>
      </w:pPr>
    </w:p>
    <w:p>
      <w:pPr>
        <w:spacing w:before="301" w:beforeLines="50" w:line="348" w:lineRule="auto"/>
        <w:ind w:firstLine="476" w:firstLineChars="150"/>
        <w:rPr>
          <w:rFonts w:hint="eastAsia" w:eastAsia="仿宋_GB2312"/>
          <w:sz w:val="32"/>
          <w:szCs w:val="32"/>
          <w:u w:val="single"/>
        </w:rPr>
      </w:pPr>
      <w:r>
        <w:rPr>
          <w:rFonts w:hint="eastAsia" w:eastAsia="仿宋_GB2312"/>
          <w:sz w:val="32"/>
          <w:szCs w:val="32"/>
        </w:rPr>
        <w:t>部门(单位)名称：</w:t>
      </w:r>
      <w:r>
        <w:rPr>
          <w:rFonts w:hint="eastAsia" w:eastAsia="仿宋_GB2312"/>
          <w:sz w:val="32"/>
          <w:szCs w:val="32"/>
          <w:u w:val="single"/>
        </w:rPr>
        <w:t xml:space="preserve">     </w:t>
      </w:r>
      <w:r>
        <w:rPr>
          <w:rFonts w:hint="eastAsia" w:eastAsia="仿宋_GB2312"/>
          <w:sz w:val="32"/>
          <w:szCs w:val="32"/>
          <w:u w:val="single"/>
          <w:lang w:eastAsia="zh-CN"/>
        </w:rPr>
        <w:t>华容县交通运输局</w:t>
      </w:r>
      <w:r>
        <w:rPr>
          <w:rFonts w:hint="eastAsia" w:eastAsia="仿宋_GB2312"/>
          <w:sz w:val="32"/>
          <w:szCs w:val="32"/>
          <w:u w:val="single"/>
        </w:rPr>
        <w:t xml:space="preserve">                              </w:t>
      </w:r>
    </w:p>
    <w:p>
      <w:pPr>
        <w:spacing w:before="301" w:beforeLines="50" w:line="348" w:lineRule="auto"/>
        <w:ind w:firstLine="476" w:firstLineChars="150"/>
        <w:rPr>
          <w:rFonts w:hint="eastAsia" w:eastAsia="仿宋_GB2312"/>
          <w:spacing w:val="20"/>
          <w:sz w:val="32"/>
          <w:szCs w:val="32"/>
        </w:rPr>
      </w:pPr>
      <w:r>
        <w:rPr>
          <w:rFonts w:hint="eastAsia" w:eastAsia="仿宋_GB2312"/>
          <w:sz w:val="32"/>
          <w:szCs w:val="32"/>
        </w:rPr>
        <w:t>预</w:t>
      </w:r>
      <w:r>
        <w:rPr>
          <w:rFonts w:hint="eastAsia" w:eastAsia="仿宋_GB2312"/>
          <w:spacing w:val="30"/>
          <w:sz w:val="32"/>
          <w:szCs w:val="32"/>
        </w:rPr>
        <w:t xml:space="preserve"> 算 编 码：</w:t>
      </w:r>
      <w:r>
        <w:rPr>
          <w:rFonts w:hint="eastAsia" w:eastAsia="仿宋_GB2312"/>
          <w:spacing w:val="20"/>
          <w:sz w:val="32"/>
          <w:szCs w:val="32"/>
          <w:u w:val="single"/>
        </w:rPr>
        <w:t xml:space="preserve">                            </w:t>
      </w:r>
    </w:p>
    <w:p>
      <w:pPr>
        <w:spacing w:before="301" w:beforeLines="50" w:line="348" w:lineRule="auto"/>
        <w:ind w:firstLine="476" w:firstLineChars="150"/>
        <w:rPr>
          <w:rFonts w:hint="eastAsia" w:eastAsia="仿宋_GB2312"/>
          <w:sz w:val="32"/>
          <w:szCs w:val="32"/>
        </w:rPr>
      </w:pPr>
      <w:r>
        <w:rPr>
          <w:rFonts w:hint="eastAsia" w:eastAsia="仿宋_GB2312"/>
          <w:sz w:val="32"/>
          <w:szCs w:val="32"/>
        </w:rPr>
        <w:t>评价方式：部门（单位）绩效自评</w:t>
      </w:r>
    </w:p>
    <w:p>
      <w:pPr>
        <w:spacing w:before="301" w:beforeLines="50" w:line="348" w:lineRule="auto"/>
        <w:ind w:firstLine="476" w:firstLineChars="150"/>
        <w:rPr>
          <w:rFonts w:hint="eastAsia" w:eastAsia="仿宋_GB2312"/>
          <w:sz w:val="32"/>
          <w:szCs w:val="32"/>
        </w:rPr>
      </w:pPr>
      <w:r>
        <w:rPr>
          <w:rFonts w:hint="eastAsia" w:eastAsia="仿宋_GB2312"/>
          <w:sz w:val="32"/>
          <w:szCs w:val="32"/>
        </w:rPr>
        <w:t xml:space="preserve">评价机构：部门（单位）评价组   </w:t>
      </w:r>
    </w:p>
    <w:p>
      <w:pPr>
        <w:spacing w:line="720" w:lineRule="exact"/>
        <w:ind w:firstLine="2188" w:firstLineChars="690"/>
        <w:rPr>
          <w:rFonts w:hint="eastAsia" w:eastAsia="仿宋_GB2312"/>
          <w:sz w:val="32"/>
        </w:rPr>
      </w:pPr>
    </w:p>
    <w:p>
      <w:pPr>
        <w:spacing w:line="720" w:lineRule="exact"/>
        <w:ind w:firstLine="2188" w:firstLineChars="690"/>
        <w:rPr>
          <w:rFonts w:hint="eastAsia" w:eastAsia="仿宋_GB2312"/>
          <w:sz w:val="32"/>
        </w:rPr>
      </w:pPr>
    </w:p>
    <w:p>
      <w:pPr>
        <w:spacing w:line="720" w:lineRule="exact"/>
        <w:ind w:firstLine="2188" w:firstLineChars="690"/>
        <w:rPr>
          <w:rFonts w:hint="eastAsia" w:eastAsia="仿宋_GB2312"/>
          <w:sz w:val="32"/>
        </w:rPr>
      </w:pPr>
    </w:p>
    <w:p>
      <w:pPr>
        <w:spacing w:line="348" w:lineRule="auto"/>
        <w:jc w:val="center"/>
        <w:rPr>
          <w:rFonts w:hint="eastAsia" w:eastAsia="仿宋_GB2312"/>
          <w:sz w:val="32"/>
        </w:rPr>
      </w:pPr>
      <w:r>
        <w:rPr>
          <w:rFonts w:hint="eastAsia" w:eastAsia="仿宋_GB2312"/>
          <w:sz w:val="32"/>
        </w:rPr>
        <w:t>报告日期：</w:t>
      </w:r>
      <w:r>
        <w:rPr>
          <w:rFonts w:hint="eastAsia" w:eastAsia="仿宋_GB2312"/>
          <w:sz w:val="32"/>
          <w:lang w:val="en-US" w:eastAsia="zh-CN"/>
        </w:rPr>
        <w:t>2018</w:t>
      </w:r>
      <w:r>
        <w:rPr>
          <w:rFonts w:hint="eastAsia" w:eastAsia="仿宋_GB2312"/>
          <w:sz w:val="32"/>
        </w:rPr>
        <w:t xml:space="preserve"> 年 </w:t>
      </w:r>
      <w:r>
        <w:rPr>
          <w:rFonts w:hint="eastAsia" w:eastAsia="仿宋_GB2312"/>
          <w:sz w:val="32"/>
          <w:lang w:val="en-US" w:eastAsia="zh-CN"/>
        </w:rPr>
        <w:t>9</w:t>
      </w:r>
      <w:r>
        <w:rPr>
          <w:rFonts w:hint="eastAsia" w:eastAsia="仿宋_GB2312"/>
          <w:sz w:val="32"/>
        </w:rPr>
        <w:t xml:space="preserve">月 </w:t>
      </w:r>
      <w:r>
        <w:rPr>
          <w:rFonts w:hint="eastAsia" w:eastAsia="仿宋_GB2312"/>
          <w:sz w:val="32"/>
          <w:lang w:val="en-US" w:eastAsia="zh-CN"/>
        </w:rPr>
        <w:t>5</w:t>
      </w:r>
      <w:r>
        <w:rPr>
          <w:rFonts w:hint="eastAsia" w:eastAsia="仿宋_GB2312"/>
          <w:sz w:val="32"/>
        </w:rPr>
        <w:t>日</w:t>
      </w:r>
    </w:p>
    <w:p>
      <w:pPr>
        <w:autoSpaceDN w:val="0"/>
        <w:jc w:val="center"/>
        <w:textAlignment w:val="center"/>
        <w:rPr>
          <w:rFonts w:hint="eastAsia" w:eastAsia="仿宋_GB2312"/>
          <w:sz w:val="32"/>
          <w:szCs w:val="32"/>
        </w:rPr>
        <w:sectPr>
          <w:footerReference r:id="rId3" w:type="default"/>
          <w:footerReference r:id="rId4" w:type="even"/>
          <w:pgSz w:w="11906" w:h="16838"/>
          <w:pgMar w:top="1588" w:right="1588" w:bottom="1588" w:left="1588" w:header="851" w:footer="992" w:gutter="0"/>
          <w:pgBorders>
            <w:top w:val="none" w:sz="0" w:space="0"/>
            <w:left w:val="none" w:sz="0" w:space="0"/>
            <w:bottom w:val="none" w:sz="0" w:space="0"/>
            <w:right w:val="none" w:sz="0" w:space="0"/>
          </w:pgBorders>
          <w:pgNumType w:start="1"/>
          <w:cols w:space="720" w:num="1"/>
          <w:docGrid w:type="linesAndChars" w:linePitch="602" w:charSpace="-782"/>
        </w:sectPr>
      </w:pPr>
      <w:r>
        <w:rPr>
          <w:rFonts w:hint="eastAsia" w:eastAsia="仿宋_GB2312"/>
          <w:sz w:val="32"/>
          <w:lang w:eastAsia="zh-CN"/>
        </w:rPr>
        <w:t>华容县</w:t>
      </w:r>
      <w:r>
        <w:rPr>
          <w:rFonts w:hint="eastAsia" w:eastAsia="仿宋_GB2312"/>
          <w:sz w:val="32"/>
        </w:rPr>
        <w:t>财政</w:t>
      </w:r>
      <w:r>
        <w:rPr>
          <w:rFonts w:hint="eastAsia" w:eastAsia="仿宋_GB2312"/>
          <w:sz w:val="32"/>
          <w:szCs w:val="32"/>
        </w:rPr>
        <w:t>局（制）</w:t>
      </w:r>
    </w:p>
    <w:tbl>
      <w:tblPr>
        <w:tblStyle w:val="4"/>
        <w:tblW w:w="980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145"/>
        <w:gridCol w:w="272"/>
        <w:gridCol w:w="808"/>
        <w:gridCol w:w="1215"/>
        <w:gridCol w:w="146"/>
        <w:gridCol w:w="118"/>
        <w:gridCol w:w="226"/>
        <w:gridCol w:w="710"/>
        <w:gridCol w:w="1090"/>
        <w:gridCol w:w="20"/>
        <w:gridCol w:w="119"/>
        <w:gridCol w:w="9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吴丹</w:t>
            </w:r>
          </w:p>
        </w:tc>
        <w:tc>
          <w:tcPr>
            <w:tcW w:w="1479"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6"/>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4131157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16</w:t>
            </w:r>
          </w:p>
        </w:tc>
        <w:tc>
          <w:tcPr>
            <w:tcW w:w="1479"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06" w:type="dxa"/>
            <w:gridSpan w:val="6"/>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1235"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noWrap w:val="0"/>
            <w:vAlign w:val="center"/>
          </w:tcPr>
          <w:p>
            <w:pPr>
              <w:autoSpaceDN w:val="0"/>
              <w:spacing w:line="320" w:lineRule="exact"/>
              <w:jc w:val="left"/>
              <w:textAlignment w:val="center"/>
              <w:rPr>
                <w:rFonts w:hint="eastAsia" w:ascii="仿宋_GB2312" w:hAnsi="仿宋_GB2312" w:eastAsia="仿宋" w:cs="仿宋_GB2312"/>
                <w:color w:val="000000"/>
                <w:sz w:val="21"/>
                <w:szCs w:val="21"/>
                <w:lang w:eastAsia="zh-CN"/>
              </w:rPr>
            </w:pPr>
            <w:r>
              <w:rPr>
                <w:rFonts w:hint="eastAsia" w:ascii="仿宋" w:hAnsi="仿宋" w:eastAsia="仿宋" w:cs="仿宋"/>
                <w:color w:val="000000"/>
                <w:sz w:val="21"/>
                <w:szCs w:val="21"/>
              </w:rPr>
              <w:t>执行落实交通运输行业各项法规政策；组织拟订或参与拟订交通运输规划、计划并监督实施；负责交通基础设施项目建设、管理维护和行业监管协调；负责交通运输行业监管工作交通运输行业管理、农村公路建</w:t>
            </w:r>
            <w:r>
              <w:rPr>
                <w:rFonts w:hint="eastAsia" w:ascii="仿宋" w:hAnsi="仿宋" w:eastAsia="仿宋" w:cs="仿宋"/>
                <w:color w:val="000000"/>
                <w:sz w:val="21"/>
                <w:szCs w:val="21"/>
                <w:lang w:eastAsia="zh-CN"/>
              </w:rPr>
              <w:t>设</w:t>
            </w:r>
            <w:r>
              <w:rPr>
                <w:rFonts w:hint="eastAsia" w:ascii="仿宋" w:hAnsi="仿宋" w:eastAsia="仿宋" w:cs="仿宋"/>
                <w:color w:val="000000"/>
                <w:sz w:val="21"/>
                <w:szCs w:val="21"/>
              </w:rPr>
              <w:t>、</w:t>
            </w:r>
            <w:r>
              <w:rPr>
                <w:rFonts w:hint="eastAsia" w:ascii="仿宋" w:hAnsi="仿宋" w:eastAsia="仿宋" w:cs="仿宋"/>
                <w:color w:val="000000"/>
                <w:sz w:val="21"/>
                <w:szCs w:val="21"/>
                <w:lang w:eastAsia="zh-CN"/>
              </w:rPr>
              <w:t>管理、</w:t>
            </w:r>
            <w:r>
              <w:rPr>
                <w:rFonts w:hint="eastAsia" w:ascii="仿宋" w:hAnsi="仿宋" w:eastAsia="仿宋" w:cs="仿宋"/>
                <w:color w:val="000000"/>
                <w:sz w:val="21"/>
                <w:szCs w:val="21"/>
              </w:rPr>
              <w:t>养</w:t>
            </w:r>
            <w:r>
              <w:rPr>
                <w:rFonts w:hint="eastAsia" w:ascii="仿宋" w:hAnsi="仿宋" w:eastAsia="仿宋" w:cs="仿宋"/>
                <w:color w:val="000000"/>
                <w:sz w:val="21"/>
                <w:szCs w:val="21"/>
                <w:lang w:eastAsia="zh-CN"/>
              </w:rPr>
              <w:t>护；</w:t>
            </w:r>
            <w:r>
              <w:rPr>
                <w:rFonts w:hint="eastAsia" w:ascii="仿宋" w:hAnsi="仿宋" w:eastAsia="仿宋" w:cs="仿宋"/>
                <w:color w:val="000000"/>
                <w:sz w:val="21"/>
                <w:szCs w:val="21"/>
              </w:rPr>
              <w:t>运输市场管理</w:t>
            </w:r>
            <w:r>
              <w:rPr>
                <w:rFonts w:hint="eastAsia" w:ascii="仿宋" w:hAnsi="仿宋" w:eastAsia="仿宋" w:cs="仿宋"/>
                <w:color w:val="000000"/>
                <w:sz w:val="21"/>
                <w:szCs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1650" w:hRule="atLeast"/>
          <w:jc w:val="center"/>
        </w:trPr>
        <w:tc>
          <w:tcPr>
            <w:tcW w:w="1654" w:type="dxa"/>
            <w:gridSpan w:val="2"/>
            <w:shd w:val="clear" w:color="auto" w:fill="FFFFFF" w:themeFill="background1"/>
            <w:noWrap w:val="0"/>
            <w:vAlign w:val="center"/>
          </w:tcPr>
          <w:p>
            <w:pPr>
              <w:autoSpaceDN w:val="0"/>
              <w:spacing w:line="320" w:lineRule="exact"/>
              <w:jc w:val="center"/>
              <w:textAlignment w:val="center"/>
              <w:rPr>
                <w:rFonts w:hint="eastAsia" w:ascii="仿宋_GB2312" w:hAnsi="仿宋_GB2312" w:eastAsia="仿宋_GB2312" w:cs="仿宋_GB2312"/>
                <w:color w:val="000000" w:themeColor="text1"/>
                <w:sz w:val="24"/>
                <w:highlight w:val="none"/>
                <w:shd w:val="clear" w:color="auto" w:fill="auto"/>
                <w14:textFill>
                  <w14:solidFill>
                    <w14:schemeClr w14:val="tx1"/>
                  </w14:solidFill>
                </w14:textFill>
              </w:rPr>
            </w:pPr>
            <w:r>
              <w:rPr>
                <w:rFonts w:hint="eastAsia" w:ascii="仿宋_GB2312" w:hAnsi="仿宋_GB2312" w:eastAsia="仿宋_GB2312" w:cs="仿宋_GB2312"/>
                <w:color w:val="000000" w:themeColor="text1"/>
                <w:sz w:val="24"/>
                <w:highlight w:val="none"/>
                <w:shd w:val="clear" w:color="auto" w:fill="auto"/>
                <w14:textFill>
                  <w14:solidFill>
                    <w14:schemeClr w14:val="tx1"/>
                  </w14:solidFill>
                </w14:textFill>
              </w:rPr>
              <w:t>年度主要</w:t>
            </w:r>
          </w:p>
          <w:p>
            <w:pPr>
              <w:autoSpaceDN w:val="0"/>
              <w:spacing w:line="320" w:lineRule="exact"/>
              <w:jc w:val="center"/>
              <w:textAlignment w:val="center"/>
              <w:rPr>
                <w:rFonts w:hint="eastAsia" w:ascii="仿宋_GB2312" w:hAnsi="仿宋_GB2312" w:eastAsia="仿宋_GB2312" w:cs="仿宋_GB2312"/>
                <w:color w:val="000000" w:themeColor="text1"/>
                <w:sz w:val="24"/>
                <w:highlight w:val="none"/>
                <w:shd w:val="clear" w:color="auto" w:fill="auto"/>
                <w14:textFill>
                  <w14:solidFill>
                    <w14:schemeClr w14:val="tx1"/>
                  </w14:solidFill>
                </w14:textFill>
              </w:rPr>
            </w:pPr>
            <w:r>
              <w:rPr>
                <w:rFonts w:hint="eastAsia" w:ascii="仿宋_GB2312" w:hAnsi="仿宋_GB2312" w:eastAsia="仿宋_GB2312" w:cs="仿宋_GB2312"/>
                <w:color w:val="000000" w:themeColor="text1"/>
                <w:sz w:val="24"/>
                <w:highlight w:val="none"/>
                <w:shd w:val="clear" w:color="auto" w:fill="auto"/>
                <w14:textFill>
                  <w14:solidFill>
                    <w14:schemeClr w14:val="tx1"/>
                  </w14:solidFill>
                </w14:textFill>
              </w:rPr>
              <w:t>工作内容</w:t>
            </w:r>
          </w:p>
        </w:tc>
        <w:tc>
          <w:tcPr>
            <w:tcW w:w="8146" w:type="dxa"/>
            <w:gridSpan w:val="15"/>
            <w:shd w:val="clear" w:color="auto" w:fill="FFFFFF" w:themeFill="background1"/>
            <w:noWrap w:val="0"/>
            <w:vAlign w:val="center"/>
          </w:tcPr>
          <w:p>
            <w:pPr>
              <w:autoSpaceDN w:val="0"/>
              <w:spacing w:line="320" w:lineRule="exact"/>
              <w:jc w:val="left"/>
              <w:textAlignment w:val="center"/>
              <w:rPr>
                <w:rFonts w:hint="eastAsia" w:ascii="仿宋_GB2312" w:hAnsi="仿宋_GB2312" w:eastAsia="仿宋_GB2312" w:cs="仿宋_GB2312"/>
                <w:color w:val="000000" w:themeColor="text1"/>
                <w:sz w:val="21"/>
                <w:szCs w:val="21"/>
                <w:highlight w:val="none"/>
                <w:shd w:val="clear" w:color="auto" w:fill="auto"/>
                <w:lang w:eastAsia="zh-CN"/>
                <w14:textFill>
                  <w14:solidFill>
                    <w14:schemeClr w14:val="tx1"/>
                  </w14:solidFill>
                </w14:textFill>
              </w:rPr>
            </w:pPr>
            <w:r>
              <w:rPr>
                <w:rFonts w:hint="eastAsia" w:ascii="仿宋_GB2312" w:hAnsi="仿宋_GB2312" w:eastAsia="仿宋_GB2312" w:cs="仿宋_GB2312"/>
                <w:color w:val="000000" w:themeColor="text1"/>
                <w:sz w:val="21"/>
                <w:szCs w:val="21"/>
                <w:highlight w:val="none"/>
                <w:shd w:val="clear" w:color="auto" w:fill="auto"/>
                <w14:textFill>
                  <w14:solidFill>
                    <w14:schemeClr w14:val="tx1"/>
                  </w14:solidFill>
                </w14:textFill>
              </w:rPr>
              <w:t>任务1：</w:t>
            </w:r>
            <w:r>
              <w:rPr>
                <w:rFonts w:hint="eastAsia" w:ascii="仿宋_GB2312" w:hAnsi="仿宋_GB2312" w:eastAsia="仿宋_GB2312" w:cs="仿宋_GB2312"/>
                <w:color w:val="000000" w:themeColor="text1"/>
                <w:sz w:val="21"/>
                <w:szCs w:val="21"/>
                <w:highlight w:val="none"/>
                <w:shd w:val="clear" w:color="auto" w:fill="auto"/>
                <w:lang w:eastAsia="zh-CN"/>
                <w14:textFill>
                  <w14:solidFill>
                    <w14:schemeClr w14:val="tx1"/>
                  </w14:solidFill>
                </w14:textFill>
              </w:rPr>
              <w:t>项目建设协调，包括：旗杆咀船闸、容城大道、绕城公路、梅田湖大桥、县道张白线升级改造、县道新北线升级改造、农村公路等。</w:t>
            </w:r>
          </w:p>
          <w:p>
            <w:pPr>
              <w:autoSpaceDN w:val="0"/>
              <w:spacing w:line="320" w:lineRule="exact"/>
              <w:jc w:val="left"/>
              <w:textAlignment w:val="center"/>
              <w:rPr>
                <w:rFonts w:hint="default" w:ascii="仿宋_GB2312" w:hAnsi="仿宋_GB2312" w:eastAsia="仿宋_GB2312" w:cs="仿宋_GB2312"/>
                <w:color w:val="000000" w:themeColor="text1"/>
                <w:sz w:val="21"/>
                <w:szCs w:val="21"/>
                <w:highlight w:val="none"/>
                <w:shd w:val="clear" w:color="auto" w:fill="auto"/>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highlight w:val="none"/>
                <w:shd w:val="clear" w:color="auto" w:fill="auto"/>
                <w14:textFill>
                  <w14:solidFill>
                    <w14:schemeClr w14:val="tx1"/>
                  </w14:solidFill>
                </w14:textFill>
              </w:rPr>
              <w:t>任务2：</w:t>
            </w:r>
            <w:r>
              <w:rPr>
                <w:rFonts w:hint="eastAsia" w:ascii="仿宋_GB2312" w:hAnsi="仿宋_GB2312" w:eastAsia="仿宋_GB2312" w:cs="仿宋_GB2312"/>
                <w:color w:val="000000" w:themeColor="text1"/>
                <w:sz w:val="21"/>
                <w:szCs w:val="21"/>
                <w:highlight w:val="none"/>
                <w:shd w:val="clear" w:color="auto" w:fill="auto"/>
                <w:lang w:eastAsia="zh-CN"/>
                <w14:textFill>
                  <w14:solidFill>
                    <w14:schemeClr w14:val="tx1"/>
                  </w14:solidFill>
                </w14:textFill>
              </w:rPr>
              <w:t>行业管理服务，包括：长江岸线港口码头专项整治、出租车续牌更新、公交线路调整、文明创建等。</w:t>
            </w:r>
          </w:p>
          <w:p>
            <w:pPr>
              <w:autoSpaceDN w:val="0"/>
              <w:spacing w:line="320" w:lineRule="exact"/>
              <w:jc w:val="left"/>
              <w:textAlignment w:val="center"/>
              <w:rPr>
                <w:rFonts w:hint="eastAsia" w:ascii="仿宋_GB2312" w:hAnsi="仿宋_GB2312" w:eastAsia="仿宋_GB2312" w:cs="仿宋_GB2312"/>
                <w:color w:val="000000" w:themeColor="text1"/>
                <w:sz w:val="21"/>
                <w:szCs w:val="21"/>
                <w:highlight w:val="none"/>
                <w:shd w:val="clear" w:color="auto" w:fill="auto"/>
                <w14:textFill>
                  <w14:solidFill>
                    <w14:schemeClr w14:val="tx1"/>
                  </w14:solidFill>
                </w14:textFill>
              </w:rPr>
            </w:pPr>
            <w:r>
              <w:rPr>
                <w:rFonts w:hint="eastAsia" w:ascii="仿宋_GB2312" w:hAnsi="仿宋_GB2312" w:eastAsia="仿宋_GB2312" w:cs="仿宋_GB2312"/>
                <w:color w:val="000000" w:themeColor="text1"/>
                <w:sz w:val="21"/>
                <w:szCs w:val="21"/>
                <w:highlight w:val="none"/>
                <w:shd w:val="clear" w:color="auto" w:fill="auto"/>
                <w14:textFill>
                  <w14:solidFill>
                    <w14:schemeClr w14:val="tx1"/>
                  </w14:solidFill>
                </w14:textFill>
              </w:rPr>
              <w:t>任务3：</w:t>
            </w:r>
            <w:r>
              <w:rPr>
                <w:rFonts w:hint="eastAsia" w:ascii="仿宋_GB2312" w:hAnsi="仿宋_GB2312" w:eastAsia="仿宋_GB2312" w:cs="仿宋_GB2312"/>
                <w:color w:val="000000" w:themeColor="text1"/>
                <w:sz w:val="21"/>
                <w:szCs w:val="21"/>
                <w:highlight w:val="none"/>
                <w:shd w:val="clear" w:color="auto" w:fill="auto"/>
                <w:lang w:eastAsia="zh-CN"/>
                <w14:textFill>
                  <w14:solidFill>
                    <w14:schemeClr w14:val="tx1"/>
                  </w14:solidFill>
                </w14:textFill>
              </w:rPr>
              <w:t>基础保障工作。包括：安全生产监管、建设市场管理等。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2810" w:hRule="atLeast"/>
          <w:jc w:val="center"/>
        </w:trPr>
        <w:tc>
          <w:tcPr>
            <w:tcW w:w="1654" w:type="dxa"/>
            <w:gridSpan w:val="2"/>
            <w:shd w:val="clear" w:color="auto" w:fill="FFFFFF" w:themeFill="background1"/>
            <w:noWrap w:val="0"/>
            <w:vAlign w:val="center"/>
          </w:tcPr>
          <w:p>
            <w:pPr>
              <w:autoSpaceDN w:val="0"/>
              <w:spacing w:line="320" w:lineRule="exact"/>
              <w:jc w:val="center"/>
              <w:textAlignment w:val="center"/>
              <w:rPr>
                <w:rFonts w:hint="eastAsia" w:ascii="仿宋_GB2312" w:hAnsi="仿宋_GB2312" w:eastAsia="仿宋_GB2312" w:cs="仿宋_GB2312"/>
                <w:color w:val="000000" w:themeColor="text1"/>
                <w:spacing w:val="-6"/>
                <w:sz w:val="24"/>
                <w:highlight w:val="none"/>
                <w:shd w:val="clear" w:color="auto" w:fill="auto"/>
                <w14:textFill>
                  <w14:solidFill>
                    <w14:schemeClr w14:val="tx1"/>
                  </w14:solidFill>
                </w14:textFill>
              </w:rPr>
            </w:pPr>
            <w:r>
              <w:rPr>
                <w:rFonts w:hint="eastAsia" w:ascii="仿宋_GB2312" w:hAnsi="仿宋_GB2312" w:eastAsia="仿宋_GB2312" w:cs="仿宋_GB2312"/>
                <w:color w:val="000000" w:themeColor="text1"/>
                <w:spacing w:val="-6"/>
                <w:sz w:val="24"/>
                <w:highlight w:val="none"/>
                <w:shd w:val="clear" w:color="auto" w:fill="auto"/>
                <w14:textFill>
                  <w14:solidFill>
                    <w14:schemeClr w14:val="tx1"/>
                  </w14:solidFill>
                </w14:textFill>
              </w:rPr>
              <w:t>年度部门（单位）总体运行情况及取得的成绩</w:t>
            </w:r>
          </w:p>
        </w:tc>
        <w:tc>
          <w:tcPr>
            <w:tcW w:w="8146" w:type="dxa"/>
            <w:gridSpan w:val="15"/>
            <w:shd w:val="clear" w:color="auto" w:fill="FFFFFF" w:themeFill="background1"/>
            <w:noWrap w:val="0"/>
            <w:vAlign w:val="center"/>
          </w:tcPr>
          <w:p>
            <w:pPr>
              <w:autoSpaceDN w:val="0"/>
              <w:spacing w:line="320" w:lineRule="exact"/>
              <w:jc w:val="left"/>
              <w:textAlignment w:val="center"/>
              <w:rPr>
                <w:rFonts w:hint="eastAsia" w:ascii="仿宋_GB2312" w:hAnsi="仿宋_GB2312" w:eastAsia="仿宋_GB2312" w:cs="仿宋_GB2312"/>
                <w:color w:val="000000" w:themeColor="text1"/>
                <w:sz w:val="21"/>
                <w:szCs w:val="21"/>
                <w:highlight w:val="none"/>
                <w:shd w:val="clear" w:color="auto" w:fill="auto"/>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highlight w:val="none"/>
                <w:shd w:val="clear" w:color="auto" w:fill="auto"/>
                <w:lang w:eastAsia="zh-CN"/>
                <w14:textFill>
                  <w14:solidFill>
                    <w14:schemeClr w14:val="tx1"/>
                  </w14:solidFill>
                </w14:textFill>
              </w:rPr>
              <w:t>重大项目建设协调推进有力。全年完成</w:t>
            </w:r>
            <w:r>
              <w:rPr>
                <w:rFonts w:hint="eastAsia" w:ascii="仿宋_GB2312" w:hAnsi="仿宋_GB2312" w:eastAsia="仿宋_GB2312" w:cs="仿宋_GB2312"/>
                <w:color w:val="000000" w:themeColor="text1"/>
                <w:sz w:val="21"/>
                <w:szCs w:val="21"/>
                <w:highlight w:val="none"/>
                <w:shd w:val="clear" w:color="auto" w:fill="auto"/>
                <w:lang w:val="en-US" w:eastAsia="zh-CN"/>
                <w14:textFill>
                  <w14:solidFill>
                    <w14:schemeClr w14:val="tx1"/>
                  </w14:solidFill>
                </w14:textFill>
              </w:rPr>
              <w:t>4亿多元工程实体投资，华发〔2018〕1号、华政发〔2018〕1号文件明确的项目建设目标任务基本完成。</w:t>
            </w:r>
          </w:p>
          <w:p>
            <w:pPr>
              <w:autoSpaceDN w:val="0"/>
              <w:spacing w:line="320" w:lineRule="exact"/>
              <w:jc w:val="left"/>
              <w:textAlignment w:val="center"/>
              <w:rPr>
                <w:rFonts w:hint="eastAsia" w:ascii="仿宋_GB2312" w:hAnsi="仿宋_GB2312" w:eastAsia="仿宋_GB2312" w:cs="仿宋_GB2312"/>
                <w:color w:val="000000" w:themeColor="text1"/>
                <w:sz w:val="21"/>
                <w:szCs w:val="21"/>
                <w:highlight w:val="none"/>
                <w:shd w:val="clear" w:color="auto" w:fill="auto"/>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highlight w:val="none"/>
                <w:shd w:val="clear" w:color="auto" w:fill="auto"/>
                <w:lang w:val="en-US" w:eastAsia="zh-CN"/>
                <w14:textFill>
                  <w14:solidFill>
                    <w14:schemeClr w14:val="tx1"/>
                  </w14:solidFill>
                </w14:textFill>
              </w:rPr>
              <w:t>服务上级重大决策积极有为。按要求拆除塔市驿深水码头、塔市驿渡口、江洲客渡和洲滩建筑物，长江岸线整治任务全部完成，自然生态基本恢复到位。城区200台出租车8月全部更新到位。9月份，阳光政务中心投入运行、长工实验学校开学之际，及时完成2、4、5、6路公交线路调整工作。按照县创建办部署，较好的完成了全国文明城市、国家卫生县城创建工作任务，局机关全力推动市级文明标兵单位创建。</w:t>
            </w:r>
          </w:p>
          <w:p>
            <w:pPr>
              <w:autoSpaceDN w:val="0"/>
              <w:spacing w:line="320" w:lineRule="exact"/>
              <w:jc w:val="left"/>
              <w:textAlignment w:val="center"/>
              <w:rPr>
                <w:rFonts w:hint="default" w:ascii="仿宋_GB2312" w:hAnsi="仿宋_GB2312" w:eastAsia="仿宋_GB2312" w:cs="仿宋_GB2312"/>
                <w:color w:val="000000" w:themeColor="text1"/>
                <w:sz w:val="21"/>
                <w:szCs w:val="21"/>
                <w:highlight w:val="none"/>
                <w:shd w:val="clear" w:color="auto" w:fill="auto"/>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highlight w:val="none"/>
                <w:shd w:val="clear" w:color="auto" w:fill="auto"/>
                <w:lang w:val="en-US" w:eastAsia="zh-CN"/>
                <w14:textFill>
                  <w14:solidFill>
                    <w14:schemeClr w14:val="tx1"/>
                  </w14:solidFill>
                </w14:textFill>
              </w:rPr>
              <w:t>基础保障工作落实有效。行业安全生产形势持续稳定好转。严格履行基建程序，加强在建项目检查巡查，工程质量、安全、造价总体受控。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700" w:type="dxa"/>
            <w:gridSpan w:val="3"/>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1014" w:hRule="atLeast"/>
          <w:jc w:val="center"/>
        </w:trPr>
        <w:tc>
          <w:tcPr>
            <w:tcW w:w="1700" w:type="dxa"/>
            <w:gridSpan w:val="3"/>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772" w:hRule="atLeast"/>
          <w:jc w:val="center"/>
        </w:trPr>
        <w:tc>
          <w:tcPr>
            <w:tcW w:w="170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1986.81</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1588.89</w:t>
            </w:r>
          </w:p>
        </w:tc>
        <w:tc>
          <w:tcPr>
            <w:tcW w:w="1705"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80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397.92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700" w:type="dxa"/>
            <w:gridSpan w:val="3"/>
            <w:noWrap w:val="0"/>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1986.81</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1588.89</w:t>
            </w:r>
          </w:p>
        </w:tc>
        <w:tc>
          <w:tcPr>
            <w:tcW w:w="1705"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80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397.92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700" w:type="dxa"/>
            <w:gridSpan w:val="3"/>
            <w:noWrap w:val="0"/>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705"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700" w:type="dxa"/>
            <w:gridSpan w:val="3"/>
            <w:noWrap w:val="0"/>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705"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restart"/>
            <w:noWrap w:val="0"/>
            <w:vAlign w:val="center"/>
          </w:tcPr>
          <w:p>
            <w:pPr>
              <w:snapToGrid w:val="0"/>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4850" w:type="dxa"/>
            <w:gridSpan w:val="9"/>
            <w:tcBorders>
              <w:left w:val="single" w:color="auto" w:sz="4" w:space="0"/>
              <w:bottom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2170" w:type="dxa"/>
            <w:gridSpan w:val="4"/>
            <w:tcBorders>
              <w:left w:val="single" w:color="auto" w:sz="4" w:space="0"/>
              <w:bottom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2295" w:type="dxa"/>
            <w:gridSpan w:val="3"/>
            <w:tcBorders>
              <w:top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200" w:type="dxa"/>
            <w:gridSpan w:val="4"/>
            <w:vMerge w:val="restart"/>
            <w:tcBorders>
              <w:top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1110" w:type="dxa"/>
            <w:gridSpan w:val="2"/>
            <w:vMerge w:val="restart"/>
            <w:tcBorders>
              <w:top w:val="single" w:color="auto" w:sz="4" w:space="0"/>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1060" w:type="dxa"/>
            <w:gridSpan w:val="2"/>
            <w:vMerge w:val="restart"/>
            <w:tcBorders>
              <w:top w:val="single" w:color="auto" w:sz="4" w:space="0"/>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1215"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200" w:type="dxa"/>
            <w:gridSpan w:val="4"/>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110" w:type="dxa"/>
            <w:gridSpan w:val="2"/>
            <w:tcBorders>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60"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877"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2339.16</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605.57</w:t>
            </w:r>
          </w:p>
        </w:tc>
        <w:tc>
          <w:tcPr>
            <w:tcW w:w="1080"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338.94</w:t>
            </w:r>
          </w:p>
        </w:tc>
        <w:tc>
          <w:tcPr>
            <w:tcW w:w="1215" w:type="dxa"/>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266.63</w:t>
            </w:r>
          </w:p>
        </w:tc>
        <w:tc>
          <w:tcPr>
            <w:tcW w:w="1200" w:type="dxa"/>
            <w:gridSpan w:val="4"/>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1733.59</w:t>
            </w:r>
          </w:p>
        </w:tc>
        <w:tc>
          <w:tcPr>
            <w:tcW w:w="1110" w:type="dxa"/>
            <w:gridSpan w:val="2"/>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-352.35</w:t>
            </w:r>
          </w:p>
        </w:tc>
        <w:tc>
          <w:tcPr>
            <w:tcW w:w="1060"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-166.86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2339.16</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605.57</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338.94</w:t>
            </w:r>
          </w:p>
        </w:tc>
        <w:tc>
          <w:tcPr>
            <w:tcW w:w="1215"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266.63</w:t>
            </w:r>
          </w:p>
        </w:tc>
        <w:tc>
          <w:tcPr>
            <w:tcW w:w="12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1733.59</w:t>
            </w:r>
          </w:p>
        </w:tc>
        <w:tc>
          <w:tcPr>
            <w:tcW w:w="1110" w:type="dxa"/>
            <w:gridSpan w:val="2"/>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-352.35</w:t>
            </w:r>
          </w:p>
        </w:tc>
        <w:tc>
          <w:tcPr>
            <w:tcW w:w="1060"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-166.86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2、二级机构1</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215"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2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110" w:type="dxa"/>
            <w:gridSpan w:val="2"/>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60"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3、二级机构2</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215"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2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110" w:type="dxa"/>
            <w:gridSpan w:val="2"/>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60"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restart"/>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1215"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3370"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858"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5.6</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5.6</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215"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370"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5.6</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5.6</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215"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370"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215"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370"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215"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370"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restart"/>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2"/>
            <w:tcBorders>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vMerge w:val="restart"/>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35"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8"/>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855"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219.86</w:t>
            </w:r>
          </w:p>
        </w:tc>
        <w:tc>
          <w:tcPr>
            <w:tcW w:w="2435" w:type="dxa"/>
            <w:gridSpan w:val="4"/>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219.86</w:t>
            </w:r>
          </w:p>
        </w:tc>
        <w:tc>
          <w:tcPr>
            <w:tcW w:w="3644"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219.86</w:t>
            </w:r>
          </w:p>
        </w:tc>
        <w:tc>
          <w:tcPr>
            <w:tcW w:w="2435"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219.86</w:t>
            </w:r>
          </w:p>
        </w:tc>
        <w:tc>
          <w:tcPr>
            <w:tcW w:w="3644"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35"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644"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35"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644"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9800" w:type="dxa"/>
            <w:gridSpan w:val="17"/>
            <w:shd w:val="clear" w:color="auto" w:fill="FFFFFF" w:themeFill="background1"/>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441" w:type="dxa"/>
            <w:vMerge w:val="restart"/>
            <w:shd w:val="clear" w:color="auto" w:fill="FFFFFF" w:themeFill="background1"/>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shd w:val="clear" w:color="auto" w:fill="FFFFFF" w:themeFill="background1"/>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85" w:type="dxa"/>
            <w:gridSpan w:val="9"/>
            <w:shd w:val="clear" w:color="auto" w:fill="FFFFFF" w:themeFill="background1"/>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1172" w:hRule="atLeast"/>
          <w:jc w:val="center"/>
        </w:trPr>
        <w:tc>
          <w:tcPr>
            <w:tcW w:w="1441" w:type="dxa"/>
            <w:vMerge w:val="continue"/>
            <w:shd w:val="clear" w:color="auto" w:fill="FFFFFF" w:themeFill="background1"/>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774" w:type="dxa"/>
            <w:gridSpan w:val="7"/>
            <w:shd w:val="clear" w:color="auto" w:fill="FFFFFF" w:themeFill="background1"/>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目标1：</w:t>
            </w:r>
            <w:r>
              <w:rPr>
                <w:rFonts w:hint="eastAsia" w:ascii="仿宋_GB2312" w:hAnsi="仿宋_GB2312" w:eastAsia="仿宋_GB2312" w:cs="仿宋_GB2312"/>
                <w:color w:val="000000"/>
                <w:sz w:val="24"/>
                <w:lang w:eastAsia="zh-CN"/>
              </w:rPr>
              <w:t>项目建设</w:t>
            </w:r>
          </w:p>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目标2：</w:t>
            </w:r>
            <w:r>
              <w:rPr>
                <w:rFonts w:hint="eastAsia" w:ascii="仿宋_GB2312" w:hAnsi="仿宋_GB2312" w:eastAsia="仿宋_GB2312" w:cs="仿宋_GB2312"/>
                <w:color w:val="000000"/>
                <w:sz w:val="24"/>
                <w:lang w:eastAsia="zh-CN"/>
              </w:rPr>
              <w:t>行业管理</w:t>
            </w:r>
          </w:p>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目标3</w:t>
            </w:r>
            <w:r>
              <w:rPr>
                <w:rFonts w:hint="eastAsia" w:ascii="仿宋_GB2312" w:hAnsi="仿宋_GB2312" w:eastAsia="仿宋_GB2312" w:cs="仿宋_GB2312"/>
                <w:color w:val="000000"/>
                <w:sz w:val="24"/>
                <w:lang w:eastAsia="zh-CN"/>
              </w:rPr>
              <w:t>：基础保障</w:t>
            </w:r>
          </w:p>
        </w:tc>
        <w:tc>
          <w:tcPr>
            <w:tcW w:w="4585" w:type="dxa"/>
            <w:gridSpan w:val="9"/>
            <w:shd w:val="clear" w:color="auto" w:fill="FFFFFF" w:themeFill="background1"/>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eastAsia="zh-CN"/>
              </w:rPr>
              <w:t>年度各项任务基本完成。县委、县政府年度综合绩效考评确定我局为经济建设系列二类单位。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441" w:type="dxa"/>
            <w:vMerge w:val="restart"/>
            <w:shd w:val="clear" w:color="auto" w:fill="FFFFFF" w:themeFill="background1"/>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shd w:val="clear" w:color="auto" w:fill="FFFFFF" w:themeFill="background1"/>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169" w:type="dxa"/>
            <w:gridSpan w:val="3"/>
            <w:shd w:val="clear" w:color="auto" w:fill="FFFFFF" w:themeFill="background1"/>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3224" w:type="dxa"/>
            <w:gridSpan w:val="7"/>
            <w:shd w:val="clear" w:color="auto" w:fill="FFFFFF" w:themeFill="background1"/>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shd w:val="clear" w:color="auto" w:fill="FFFFFF" w:themeFill="background1"/>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549" w:type="dxa"/>
            <w:gridSpan w:val="4"/>
            <w:vMerge w:val="restart"/>
            <w:shd w:val="clear" w:color="auto" w:fill="FFFFFF" w:themeFill="background1"/>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w:t>
            </w:r>
            <w:r>
              <w:rPr>
                <w:rFonts w:hint="eastAsia" w:ascii="仿宋_GB2312" w:hAnsi="仿宋_GB2312" w:eastAsia="仿宋_GB2312" w:cs="仿宋_GB2312"/>
                <w:color w:val="000000"/>
                <w:sz w:val="24"/>
                <w:lang w:eastAsia="zh-CN"/>
              </w:rPr>
              <w:t>县委县</w:t>
            </w:r>
            <w:r>
              <w:rPr>
                <w:rFonts w:hint="eastAsia" w:ascii="仿宋_GB2312" w:hAnsi="仿宋_GB2312" w:eastAsia="仿宋_GB2312" w:cs="仿宋_GB2312"/>
                <w:color w:val="000000"/>
                <w:sz w:val="24"/>
              </w:rPr>
              <w:t>政府布置的重点工作、实事任务等，根据部门实际进行调整细化）</w:t>
            </w:r>
          </w:p>
        </w:tc>
        <w:tc>
          <w:tcPr>
            <w:tcW w:w="1417" w:type="dxa"/>
            <w:gridSpan w:val="2"/>
            <w:vMerge w:val="restart"/>
            <w:shd w:val="clear" w:color="auto" w:fill="FFFFFF" w:themeFill="background1"/>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169" w:type="dxa"/>
            <w:gridSpan w:val="3"/>
            <w:shd w:val="clear" w:color="auto" w:fill="FFFFFF" w:themeFill="background1"/>
            <w:noWrap w:val="0"/>
            <w:vAlign w:val="center"/>
          </w:tcPr>
          <w:p>
            <w:pPr>
              <w:autoSpaceDN w:val="0"/>
              <w:spacing w:line="320" w:lineRule="exact"/>
              <w:jc w:val="center"/>
              <w:textAlignment w:val="center"/>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rPr>
              <w:t>指标1：</w:t>
            </w:r>
            <w:r>
              <w:rPr>
                <w:rFonts w:hint="eastAsia" w:ascii="仿宋_GB2312" w:hAnsi="仿宋_GB2312" w:eastAsia="仿宋_GB2312" w:cs="仿宋_GB2312"/>
                <w:color w:val="000000"/>
                <w:sz w:val="21"/>
                <w:szCs w:val="21"/>
                <w:lang w:eastAsia="zh-CN"/>
              </w:rPr>
              <w:t>项目建设质量</w:t>
            </w:r>
          </w:p>
        </w:tc>
        <w:tc>
          <w:tcPr>
            <w:tcW w:w="3224" w:type="dxa"/>
            <w:gridSpan w:val="7"/>
            <w:shd w:val="clear" w:color="auto" w:fill="FFFFFF" w:themeFill="background1"/>
            <w:noWrap w:val="0"/>
            <w:vAlign w:val="center"/>
          </w:tcPr>
          <w:p>
            <w:pPr>
              <w:autoSpaceDN w:val="0"/>
              <w:spacing w:line="320" w:lineRule="exact"/>
              <w:jc w:val="center"/>
              <w:textAlignment w:val="center"/>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eastAsia="zh-CN"/>
              </w:rPr>
              <w:t>项目建设质量总体可控，未出现质量安全事故。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shd w:val="clear" w:color="auto" w:fill="FFFFFF" w:themeFill="background1"/>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549" w:type="dxa"/>
            <w:gridSpan w:val="4"/>
            <w:vMerge w:val="continue"/>
            <w:shd w:val="clear" w:color="auto" w:fill="FFFFFF" w:themeFill="background1"/>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417" w:type="dxa"/>
            <w:gridSpan w:val="2"/>
            <w:vMerge w:val="continue"/>
            <w:shd w:val="clear" w:color="auto" w:fill="FFFFFF" w:themeFill="background1"/>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9" w:type="dxa"/>
            <w:gridSpan w:val="3"/>
            <w:shd w:val="clear" w:color="auto" w:fill="FFFFFF" w:themeFill="background1"/>
            <w:noWrap w:val="0"/>
            <w:vAlign w:val="center"/>
          </w:tcPr>
          <w:p>
            <w:pPr>
              <w:autoSpaceDN w:val="0"/>
              <w:spacing w:line="320" w:lineRule="exact"/>
              <w:jc w:val="center"/>
              <w:textAlignment w:val="center"/>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rPr>
              <w:t>指标2：</w:t>
            </w:r>
            <w:r>
              <w:rPr>
                <w:rFonts w:hint="eastAsia" w:ascii="仿宋_GB2312" w:hAnsi="仿宋_GB2312" w:eastAsia="仿宋_GB2312" w:cs="仿宋_GB2312"/>
                <w:color w:val="000000"/>
                <w:sz w:val="21"/>
                <w:szCs w:val="21"/>
                <w:lang w:eastAsia="zh-CN"/>
              </w:rPr>
              <w:t>行业服务质量</w:t>
            </w:r>
          </w:p>
        </w:tc>
        <w:tc>
          <w:tcPr>
            <w:tcW w:w="3224" w:type="dxa"/>
            <w:gridSpan w:val="7"/>
            <w:shd w:val="clear" w:color="auto" w:fill="FFFFFF" w:themeFill="background1"/>
            <w:noWrap w:val="0"/>
            <w:vAlign w:val="center"/>
          </w:tcPr>
          <w:p>
            <w:pPr>
              <w:autoSpaceDN w:val="0"/>
              <w:spacing w:line="320" w:lineRule="exact"/>
              <w:jc w:val="center"/>
              <w:textAlignment w:val="center"/>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eastAsia="zh-CN"/>
              </w:rPr>
              <w:t>班线客运、城市公交、出租车等领域无重大服务质量投诉。年度服务质量信誉考核顺利通过。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shd w:val="clear" w:color="auto" w:fill="FFFFFF" w:themeFill="background1"/>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549" w:type="dxa"/>
            <w:gridSpan w:val="4"/>
            <w:vMerge w:val="continue"/>
            <w:shd w:val="clear" w:color="auto" w:fill="FFFFFF" w:themeFill="background1"/>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417" w:type="dxa"/>
            <w:gridSpan w:val="2"/>
            <w:vMerge w:val="continue"/>
            <w:shd w:val="clear" w:color="auto" w:fill="FFFFFF" w:themeFill="background1"/>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9" w:type="dxa"/>
            <w:gridSpan w:val="3"/>
            <w:shd w:val="clear" w:color="auto" w:fill="FFFFFF" w:themeFill="background1"/>
            <w:noWrap w:val="0"/>
            <w:vAlign w:val="center"/>
          </w:tcPr>
          <w:p>
            <w:pPr>
              <w:autoSpaceDN w:val="0"/>
              <w:spacing w:line="3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w:t>
            </w:r>
          </w:p>
        </w:tc>
        <w:tc>
          <w:tcPr>
            <w:tcW w:w="3224" w:type="dxa"/>
            <w:gridSpan w:val="7"/>
            <w:shd w:val="clear" w:color="auto" w:fill="FFFFFF" w:themeFill="background1"/>
            <w:noWrap w:val="0"/>
            <w:vAlign w:val="center"/>
          </w:tcPr>
          <w:p>
            <w:pPr>
              <w:autoSpaceDN w:val="0"/>
              <w:spacing w:line="320" w:lineRule="exact"/>
              <w:jc w:val="center"/>
              <w:textAlignment w:val="center"/>
              <w:rPr>
                <w:rFonts w:hint="eastAsia" w:ascii="仿宋_GB2312" w:hAnsi="仿宋_GB2312" w:eastAsia="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549" w:type="dxa"/>
            <w:gridSpan w:val="4"/>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169" w:type="dxa"/>
            <w:gridSpan w:val="3"/>
            <w:noWrap w:val="0"/>
            <w:vAlign w:val="center"/>
          </w:tcPr>
          <w:p>
            <w:pPr>
              <w:autoSpaceDN w:val="0"/>
              <w:spacing w:line="320" w:lineRule="exact"/>
              <w:jc w:val="center"/>
              <w:textAlignment w:val="center"/>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rPr>
              <w:t>指标1：</w:t>
            </w:r>
            <w:r>
              <w:rPr>
                <w:rFonts w:hint="eastAsia" w:ascii="仿宋_GB2312" w:hAnsi="仿宋_GB2312" w:eastAsia="仿宋_GB2312" w:cs="仿宋_GB2312"/>
                <w:color w:val="000000"/>
                <w:sz w:val="21"/>
                <w:szCs w:val="21"/>
                <w:lang w:eastAsia="zh-CN"/>
              </w:rPr>
              <w:t>年内完成项目投资</w:t>
            </w:r>
            <w:r>
              <w:rPr>
                <w:rFonts w:hint="eastAsia" w:ascii="仿宋_GB2312" w:hAnsi="仿宋_GB2312" w:eastAsia="仿宋_GB2312" w:cs="仿宋_GB2312"/>
                <w:color w:val="000000"/>
                <w:sz w:val="21"/>
                <w:szCs w:val="21"/>
                <w:lang w:val="en-US" w:eastAsia="zh-CN"/>
              </w:rPr>
              <w:t>9.3亿元。</w:t>
            </w:r>
          </w:p>
        </w:tc>
        <w:tc>
          <w:tcPr>
            <w:tcW w:w="3224" w:type="dxa"/>
            <w:gridSpan w:val="7"/>
            <w:noWrap w:val="0"/>
            <w:vAlign w:val="center"/>
          </w:tcPr>
          <w:p>
            <w:pPr>
              <w:autoSpaceDN w:val="0"/>
              <w:spacing w:line="320" w:lineRule="exact"/>
              <w:jc w:val="center"/>
              <w:textAlignment w:val="center"/>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eastAsia="zh-CN"/>
              </w:rPr>
              <w:t>受压减政府投资项目影响，实际完成约</w:t>
            </w:r>
            <w:r>
              <w:rPr>
                <w:rFonts w:hint="eastAsia" w:ascii="仿宋_GB2312" w:hAnsi="仿宋_GB2312" w:eastAsia="仿宋_GB2312" w:cs="仿宋_GB2312"/>
                <w:color w:val="000000"/>
                <w:sz w:val="21"/>
                <w:szCs w:val="21"/>
                <w:lang w:val="en-US" w:eastAsia="zh-CN"/>
              </w:rPr>
              <w:t>4亿元。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61" w:hRule="atLeast"/>
          <w:jc w:val="center"/>
        </w:trPr>
        <w:tc>
          <w:tcPr>
            <w:tcW w:w="1441" w:type="dxa"/>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549" w:type="dxa"/>
            <w:gridSpan w:val="4"/>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9"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指标2：</w:t>
            </w:r>
            <w:r>
              <w:rPr>
                <w:rFonts w:hint="eastAsia" w:ascii="仿宋_GB2312" w:hAnsi="仿宋_GB2312" w:eastAsia="仿宋_GB2312" w:cs="仿宋_GB2312"/>
                <w:color w:val="000000"/>
                <w:sz w:val="21"/>
                <w:szCs w:val="21"/>
                <w:lang w:eastAsia="zh-CN"/>
              </w:rPr>
              <w:t>“僵尸船”清理整治</w:t>
            </w:r>
          </w:p>
        </w:tc>
        <w:tc>
          <w:tcPr>
            <w:tcW w:w="322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eastAsia="zh-CN"/>
              </w:rPr>
              <w:t>已拆解3艘、整治并规范停靠4艘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61" w:hRule="atLeast"/>
          <w:jc w:val="center"/>
        </w:trPr>
        <w:tc>
          <w:tcPr>
            <w:tcW w:w="1441" w:type="dxa"/>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549" w:type="dxa"/>
            <w:gridSpan w:val="4"/>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9"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1"/>
                <w:szCs w:val="21"/>
              </w:rPr>
            </w:pPr>
          </w:p>
        </w:tc>
        <w:tc>
          <w:tcPr>
            <w:tcW w:w="322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549" w:type="dxa"/>
            <w:gridSpan w:val="4"/>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时效指标</w:t>
            </w:r>
          </w:p>
        </w:tc>
        <w:tc>
          <w:tcPr>
            <w:tcW w:w="2169" w:type="dxa"/>
            <w:gridSpan w:val="3"/>
            <w:noWrap w:val="0"/>
            <w:vAlign w:val="center"/>
          </w:tcPr>
          <w:p>
            <w:pPr>
              <w:autoSpaceDN w:val="0"/>
              <w:spacing w:line="320" w:lineRule="exact"/>
              <w:jc w:val="center"/>
              <w:textAlignment w:val="center"/>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指标1：12月前完成省重点民生实事项目</w:t>
            </w:r>
          </w:p>
        </w:tc>
        <w:tc>
          <w:tcPr>
            <w:tcW w:w="322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1"/>
                <w:szCs w:val="21"/>
                <w:lang w:val="en-US" w:eastAsia="zh-CN"/>
              </w:rPr>
            </w:pPr>
            <w:r>
              <w:rPr>
                <w:rFonts w:hint="default" w:ascii="仿宋_GB2312" w:hAnsi="仿宋_GB2312" w:eastAsia="仿宋_GB2312" w:cs="仿宋_GB2312"/>
                <w:color w:val="000000"/>
                <w:sz w:val="21"/>
                <w:szCs w:val="21"/>
                <w:lang w:val="en-US" w:eastAsia="zh-CN"/>
              </w:rPr>
              <w:t>农村公路提质改造计划</w:t>
            </w:r>
            <w:r>
              <w:rPr>
                <w:rFonts w:hint="eastAsia" w:ascii="仿宋_GB2312" w:hAnsi="仿宋_GB2312" w:eastAsia="仿宋_GB2312" w:cs="仿宋_GB2312"/>
                <w:color w:val="000000"/>
                <w:sz w:val="21"/>
                <w:szCs w:val="21"/>
                <w:lang w:val="en-US" w:eastAsia="zh-CN"/>
              </w:rPr>
              <w:t>19.9</w:t>
            </w:r>
            <w:r>
              <w:rPr>
                <w:rFonts w:hint="default" w:ascii="仿宋_GB2312" w:hAnsi="仿宋_GB2312" w:eastAsia="仿宋_GB2312" w:cs="仿宋_GB2312"/>
                <w:color w:val="000000"/>
                <w:sz w:val="21"/>
                <w:szCs w:val="21"/>
                <w:lang w:val="en-US" w:eastAsia="zh-CN"/>
              </w:rPr>
              <w:t>公里，实际完成50.64公里；脱贫攻坚自然村通水泥（沥青）路计划119.643公里</w:t>
            </w:r>
            <w:r>
              <w:rPr>
                <w:rFonts w:hint="eastAsia" w:ascii="仿宋_GB2312" w:hAnsi="仿宋_GB2312" w:eastAsia="仿宋_GB2312" w:cs="仿宋_GB2312"/>
                <w:color w:val="000000"/>
                <w:sz w:val="21"/>
                <w:szCs w:val="21"/>
                <w:lang w:val="en-US" w:eastAsia="zh-CN"/>
              </w:rPr>
              <w:t>全部完成</w:t>
            </w:r>
            <w:r>
              <w:rPr>
                <w:rFonts w:hint="default" w:ascii="仿宋_GB2312" w:hAnsi="仿宋_GB2312" w:eastAsia="仿宋_GB2312" w:cs="仿宋_GB2312"/>
                <w:color w:val="000000"/>
                <w:sz w:val="21"/>
                <w:szCs w:val="21"/>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549" w:type="dxa"/>
            <w:gridSpan w:val="4"/>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2169"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指标2：县道升级</w:t>
            </w:r>
          </w:p>
        </w:tc>
        <w:tc>
          <w:tcPr>
            <w:tcW w:w="322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1"/>
                <w:szCs w:val="21"/>
                <w:lang w:val="en-US" w:eastAsia="zh-CN"/>
              </w:rPr>
            </w:pPr>
            <w:r>
              <w:rPr>
                <w:rFonts w:hint="default" w:ascii="仿宋_GB2312" w:hAnsi="仿宋_GB2312" w:eastAsia="仿宋_GB2312" w:cs="仿宋_GB2312"/>
                <w:color w:val="000000"/>
                <w:sz w:val="21"/>
                <w:szCs w:val="21"/>
                <w:lang w:val="en-US" w:eastAsia="zh-CN"/>
              </w:rPr>
              <w:t>县道张白线升级改造已完工通车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549" w:type="dxa"/>
            <w:gridSpan w:val="4"/>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9"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w:t>
            </w:r>
          </w:p>
        </w:tc>
        <w:tc>
          <w:tcPr>
            <w:tcW w:w="322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549" w:type="dxa"/>
            <w:gridSpan w:val="4"/>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169"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rPr>
              <w:t>指标1：</w:t>
            </w:r>
            <w:r>
              <w:rPr>
                <w:rFonts w:hint="eastAsia" w:ascii="仿宋_GB2312" w:hAnsi="仿宋_GB2312" w:eastAsia="仿宋_GB2312" w:cs="仿宋_GB2312"/>
                <w:color w:val="000000"/>
                <w:sz w:val="21"/>
                <w:szCs w:val="21"/>
                <w:lang w:eastAsia="zh-CN"/>
              </w:rPr>
              <w:t>容城大道</w:t>
            </w:r>
          </w:p>
        </w:tc>
        <w:tc>
          <w:tcPr>
            <w:tcW w:w="322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1"/>
                <w:szCs w:val="21"/>
                <w:lang w:val="en-US" w:eastAsia="zh-CN"/>
              </w:rPr>
            </w:pPr>
            <w:r>
              <w:rPr>
                <w:rFonts w:hint="default" w:ascii="仿宋_GB2312" w:hAnsi="仿宋_GB2312" w:eastAsia="仿宋_GB2312" w:cs="仿宋_GB2312"/>
                <w:color w:val="000000"/>
                <w:sz w:val="21"/>
                <w:szCs w:val="21"/>
                <w:lang w:val="en-US" w:eastAsia="zh-CN"/>
              </w:rPr>
              <w:t>容城大道完成投资12851万元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549" w:type="dxa"/>
            <w:gridSpan w:val="4"/>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9"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rPr>
              <w:t>指标2：</w:t>
            </w:r>
            <w:r>
              <w:rPr>
                <w:rFonts w:hint="eastAsia" w:ascii="仿宋_GB2312" w:hAnsi="仿宋_GB2312" w:eastAsia="仿宋_GB2312" w:cs="仿宋_GB2312"/>
                <w:color w:val="000000"/>
                <w:sz w:val="21"/>
                <w:szCs w:val="21"/>
                <w:lang w:eastAsia="zh-CN"/>
              </w:rPr>
              <w:t>绕城公路</w:t>
            </w:r>
          </w:p>
        </w:tc>
        <w:tc>
          <w:tcPr>
            <w:tcW w:w="322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1"/>
                <w:szCs w:val="21"/>
                <w:lang w:val="en-US" w:eastAsia="zh-CN"/>
              </w:rPr>
            </w:pPr>
            <w:r>
              <w:rPr>
                <w:rFonts w:hint="default" w:ascii="仿宋_GB2312" w:hAnsi="仿宋_GB2312" w:eastAsia="仿宋_GB2312" w:cs="仿宋_GB2312"/>
                <w:color w:val="000000"/>
                <w:sz w:val="21"/>
                <w:szCs w:val="21"/>
                <w:lang w:val="en-US" w:eastAsia="zh-CN"/>
              </w:rPr>
              <w:t>绕城公路完成投资9600万元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549" w:type="dxa"/>
            <w:gridSpan w:val="4"/>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9" w:type="dxa"/>
            <w:gridSpan w:val="3"/>
            <w:noWrap w:val="0"/>
            <w:vAlign w:val="center"/>
          </w:tcPr>
          <w:p>
            <w:pPr>
              <w:autoSpaceDN w:val="0"/>
              <w:spacing w:line="320" w:lineRule="exact"/>
              <w:jc w:val="center"/>
              <w:textAlignment w:val="center"/>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eastAsia="zh-CN"/>
              </w:rPr>
              <w:t>指标</w:t>
            </w:r>
            <w:r>
              <w:rPr>
                <w:rFonts w:hint="eastAsia" w:ascii="仿宋_GB2312" w:hAnsi="仿宋_GB2312" w:eastAsia="仿宋_GB2312" w:cs="仿宋_GB2312"/>
                <w:color w:val="000000"/>
                <w:sz w:val="21"/>
                <w:szCs w:val="21"/>
                <w:lang w:val="en-US" w:eastAsia="zh-CN"/>
              </w:rPr>
              <w:t>3：华容河航道</w:t>
            </w:r>
          </w:p>
        </w:tc>
        <w:tc>
          <w:tcPr>
            <w:tcW w:w="322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1"/>
                <w:szCs w:val="21"/>
                <w:lang w:val="en-US" w:eastAsia="zh-CN"/>
              </w:rPr>
            </w:pPr>
            <w:r>
              <w:rPr>
                <w:rFonts w:hint="default" w:ascii="仿宋_GB2312" w:hAnsi="仿宋_GB2312" w:eastAsia="仿宋_GB2312" w:cs="仿宋_GB2312"/>
                <w:color w:val="000000"/>
                <w:sz w:val="21"/>
                <w:szCs w:val="21"/>
                <w:lang w:val="en-US" w:eastAsia="zh-CN"/>
              </w:rPr>
              <w:t>华容河航道项目完成投资9536万元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549" w:type="dxa"/>
            <w:gridSpan w:val="4"/>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169"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rPr>
              <w:t>指标1：</w:t>
            </w:r>
            <w:r>
              <w:rPr>
                <w:rFonts w:hint="eastAsia" w:ascii="仿宋_GB2312" w:hAnsi="仿宋_GB2312" w:eastAsia="仿宋_GB2312" w:cs="仿宋_GB2312"/>
                <w:color w:val="000000"/>
                <w:sz w:val="21"/>
                <w:szCs w:val="21"/>
                <w:lang w:eastAsia="zh-CN"/>
              </w:rPr>
              <w:t>安全生产</w:t>
            </w:r>
          </w:p>
          <w:p>
            <w:pPr>
              <w:autoSpaceDN w:val="0"/>
              <w:spacing w:line="320" w:lineRule="exact"/>
              <w:jc w:val="center"/>
              <w:textAlignment w:val="center"/>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rPr>
              <w:t>指标2</w:t>
            </w:r>
            <w:r>
              <w:rPr>
                <w:rFonts w:hint="eastAsia" w:ascii="仿宋_GB2312" w:hAnsi="仿宋_GB2312" w:eastAsia="仿宋_GB2312" w:cs="仿宋_GB2312"/>
                <w:color w:val="000000"/>
                <w:sz w:val="21"/>
                <w:szCs w:val="21"/>
                <w:lang w:eastAsia="zh-CN"/>
              </w:rPr>
              <w:t>：</w:t>
            </w:r>
          </w:p>
        </w:tc>
        <w:tc>
          <w:tcPr>
            <w:tcW w:w="3224" w:type="dxa"/>
            <w:gridSpan w:val="7"/>
            <w:noWrap w:val="0"/>
            <w:vAlign w:val="center"/>
          </w:tcPr>
          <w:p>
            <w:pPr>
              <w:autoSpaceDN w:val="0"/>
              <w:spacing w:line="320" w:lineRule="exact"/>
              <w:jc w:val="center"/>
              <w:textAlignment w:val="center"/>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eastAsia="zh-CN"/>
              </w:rPr>
              <w:t>道路旅客运输、城市公交一般事故率与同期相比下降</w:t>
            </w:r>
            <w:r>
              <w:rPr>
                <w:rFonts w:hint="eastAsia" w:ascii="仿宋_GB2312" w:hAnsi="仿宋_GB2312" w:eastAsia="仿宋_GB2312" w:cs="仿宋_GB2312"/>
                <w:color w:val="000000"/>
                <w:sz w:val="21"/>
                <w:szCs w:val="21"/>
                <w:lang w:val="en-US" w:eastAsia="zh-CN"/>
              </w:rPr>
              <w:t>6.5%和5.2%，均未发生较大以上责任事故，未突破事故控制指标。建设施工、水上交通无死亡事故。局属各企业、事业单位无工伤、火灾事故。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549" w:type="dxa"/>
            <w:gridSpan w:val="4"/>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169"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rPr>
              <w:t>指标1：</w:t>
            </w:r>
            <w:r>
              <w:rPr>
                <w:rFonts w:hint="eastAsia" w:ascii="仿宋_GB2312" w:hAnsi="仿宋_GB2312" w:eastAsia="仿宋_GB2312" w:cs="仿宋_GB2312"/>
                <w:color w:val="000000"/>
                <w:sz w:val="21"/>
                <w:szCs w:val="21"/>
                <w:lang w:eastAsia="zh-CN"/>
              </w:rPr>
              <w:t>农村公路养护</w:t>
            </w:r>
          </w:p>
          <w:p>
            <w:pPr>
              <w:autoSpaceDN w:val="0"/>
              <w:spacing w:line="3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指标2：</w:t>
            </w:r>
          </w:p>
        </w:tc>
        <w:tc>
          <w:tcPr>
            <w:tcW w:w="322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eastAsia="zh-CN"/>
              </w:rPr>
              <w:t>年末全县农村公路好路率90%（市定指标87%），绿化率87%（市定指标85%）。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549" w:type="dxa"/>
            <w:gridSpan w:val="4"/>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169"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指标1：转变价值观念，增强服务意识，逐步满足社会公众生态需求</w:t>
            </w:r>
          </w:p>
          <w:p>
            <w:pPr>
              <w:autoSpaceDN w:val="0"/>
              <w:spacing w:line="3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指标2：完善生态管理制度体系，协调生态环境与经济社会发展的关系，使经济社会与生态环境协调发展</w:t>
            </w:r>
          </w:p>
          <w:p>
            <w:pPr>
              <w:autoSpaceDN w:val="0"/>
              <w:spacing w:line="320" w:lineRule="exact"/>
              <w:jc w:val="center"/>
              <w:textAlignment w:val="center"/>
              <w:rPr>
                <w:rFonts w:hint="eastAsia" w:ascii="仿宋_GB2312" w:hAnsi="仿宋_GB2312" w:eastAsia="仿宋_GB2312" w:cs="仿宋_GB2312"/>
                <w:color w:val="000000"/>
                <w:sz w:val="21"/>
                <w:szCs w:val="21"/>
              </w:rPr>
            </w:pPr>
          </w:p>
        </w:tc>
        <w:tc>
          <w:tcPr>
            <w:tcW w:w="322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社会公众生态需求逐步满足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549" w:type="dxa"/>
            <w:gridSpan w:val="4"/>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169"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rPr>
              <w:t>指标1：</w:t>
            </w:r>
            <w:r>
              <w:rPr>
                <w:rFonts w:hint="eastAsia" w:ascii="仿宋_GB2312" w:hAnsi="仿宋_GB2312" w:eastAsia="仿宋_GB2312" w:cs="仿宋_GB2312"/>
                <w:color w:val="000000"/>
                <w:sz w:val="21"/>
                <w:szCs w:val="21"/>
                <w:lang w:eastAsia="zh-CN"/>
              </w:rPr>
              <w:t>年度综合绩效考核公众评议</w:t>
            </w:r>
          </w:p>
          <w:p>
            <w:pPr>
              <w:autoSpaceDN w:val="0"/>
              <w:spacing w:line="3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指标2：</w:t>
            </w:r>
          </w:p>
        </w:tc>
        <w:tc>
          <w:tcPr>
            <w:tcW w:w="3224" w:type="dxa"/>
            <w:gridSpan w:val="7"/>
            <w:noWrap w:val="0"/>
            <w:vAlign w:val="center"/>
          </w:tcPr>
          <w:p>
            <w:pPr>
              <w:autoSpaceDN w:val="0"/>
              <w:spacing w:line="320" w:lineRule="exact"/>
              <w:jc w:val="center"/>
              <w:textAlignment w:val="center"/>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eastAsia="zh-CN"/>
              </w:rPr>
              <w:t>据县考评办数据，公众评议好评率约</w:t>
            </w:r>
            <w:r>
              <w:rPr>
                <w:rFonts w:hint="eastAsia" w:ascii="仿宋_GB2312" w:hAnsi="仿宋_GB2312" w:eastAsia="仿宋_GB2312" w:cs="仿宋_GB2312"/>
                <w:color w:val="000000"/>
                <w:sz w:val="21"/>
                <w:szCs w:val="21"/>
                <w:lang w:val="en-US" w:eastAsia="zh-CN"/>
              </w:rPr>
              <w:t>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2990"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2990"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9800" w:type="dxa"/>
            <w:gridSpan w:val="17"/>
            <w:noWrap w:val="0"/>
            <w:vAlign w:val="center"/>
          </w:tcPr>
          <w:p>
            <w:pPr>
              <w:shd w:val="clear"/>
              <w:autoSpaceDN w:val="0"/>
              <w:spacing w:line="320" w:lineRule="exact"/>
              <w:jc w:val="center"/>
              <w:textAlignment w:val="center"/>
              <w:rPr>
                <w:rFonts w:hint="eastAsia" w:ascii="仿宋_GB2312" w:hAnsi="仿宋_GB2312" w:eastAsia="仿宋_GB2312" w:cs="仿宋_GB2312"/>
                <w:b w:val="0"/>
                <w:bCs w:val="0"/>
                <w:color w:val="000000"/>
                <w:sz w:val="24"/>
              </w:rPr>
            </w:pPr>
            <w:r>
              <w:rPr>
                <w:rFonts w:hint="eastAsia" w:ascii="黑体" w:hAnsi="黑体" w:eastAsia="黑体" w:cs="黑体"/>
                <w:b w:val="0"/>
                <w:bCs w:val="0"/>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654" w:type="dxa"/>
            <w:gridSpan w:val="2"/>
            <w:noWrap w:val="0"/>
            <w:vAlign w:val="center"/>
          </w:tcPr>
          <w:p>
            <w:pPr>
              <w:shd w:val="clear"/>
              <w:autoSpaceDN w:val="0"/>
              <w:spacing w:line="320" w:lineRule="exact"/>
              <w:jc w:val="center"/>
              <w:textAlignment w:val="center"/>
              <w:rPr>
                <w:rFonts w:hint="eastAsia" w:ascii="仿宋_GB2312" w:hAnsi="仿宋_GB2312" w:eastAsia="仿宋_GB2312" w:cs="仿宋_GB2312"/>
                <w:b w:val="0"/>
                <w:bCs w:val="0"/>
                <w:color w:val="000000"/>
                <w:sz w:val="24"/>
              </w:rPr>
            </w:pPr>
            <w:r>
              <w:rPr>
                <w:rFonts w:hint="eastAsia" w:ascii="仿宋_GB2312" w:hAnsi="仿宋_GB2312" w:eastAsia="仿宋_GB2312" w:cs="仿宋_GB2312"/>
                <w:b w:val="0"/>
                <w:bCs w:val="0"/>
                <w:color w:val="000000"/>
                <w:sz w:val="24"/>
              </w:rPr>
              <w:t>姓  名</w:t>
            </w:r>
          </w:p>
        </w:tc>
        <w:tc>
          <w:tcPr>
            <w:tcW w:w="3561" w:type="dxa"/>
            <w:gridSpan w:val="6"/>
            <w:noWrap w:val="0"/>
            <w:vAlign w:val="center"/>
          </w:tcPr>
          <w:p>
            <w:pPr>
              <w:shd w:val="clear"/>
              <w:autoSpaceDN w:val="0"/>
              <w:spacing w:line="320" w:lineRule="exact"/>
              <w:jc w:val="center"/>
              <w:textAlignment w:val="center"/>
              <w:rPr>
                <w:rFonts w:hint="eastAsia" w:ascii="仿宋_GB2312" w:hAnsi="仿宋_GB2312" w:eastAsia="仿宋_GB2312" w:cs="仿宋_GB2312"/>
                <w:b w:val="0"/>
                <w:bCs w:val="0"/>
                <w:color w:val="000000"/>
                <w:sz w:val="24"/>
              </w:rPr>
            </w:pPr>
            <w:r>
              <w:rPr>
                <w:rFonts w:hint="eastAsia" w:ascii="仿宋_GB2312" w:hAnsi="仿宋_GB2312" w:eastAsia="仿宋_GB2312" w:cs="仿宋_GB2312"/>
                <w:b w:val="0"/>
                <w:bCs w:val="0"/>
                <w:color w:val="000000"/>
                <w:sz w:val="24"/>
              </w:rPr>
              <w:t>职务/职称</w:t>
            </w:r>
          </w:p>
        </w:tc>
        <w:tc>
          <w:tcPr>
            <w:tcW w:w="1479" w:type="dxa"/>
            <w:gridSpan w:val="3"/>
            <w:noWrap w:val="0"/>
            <w:vAlign w:val="center"/>
          </w:tcPr>
          <w:p>
            <w:pPr>
              <w:shd w:val="clear"/>
              <w:autoSpaceDN w:val="0"/>
              <w:spacing w:line="320" w:lineRule="exact"/>
              <w:jc w:val="center"/>
              <w:textAlignment w:val="center"/>
              <w:rPr>
                <w:rFonts w:hint="eastAsia" w:ascii="仿宋_GB2312" w:hAnsi="仿宋_GB2312" w:eastAsia="仿宋_GB2312" w:cs="仿宋_GB2312"/>
                <w:b w:val="0"/>
                <w:bCs w:val="0"/>
                <w:color w:val="000000"/>
                <w:sz w:val="24"/>
              </w:rPr>
            </w:pPr>
            <w:r>
              <w:rPr>
                <w:rFonts w:hint="eastAsia" w:ascii="仿宋_GB2312" w:hAnsi="仿宋_GB2312" w:eastAsia="仿宋_GB2312" w:cs="仿宋_GB2312"/>
                <w:b w:val="0"/>
                <w:bCs w:val="0"/>
                <w:color w:val="000000"/>
                <w:sz w:val="24"/>
              </w:rPr>
              <w:t>单  位</w:t>
            </w:r>
          </w:p>
        </w:tc>
        <w:tc>
          <w:tcPr>
            <w:tcW w:w="3106" w:type="dxa"/>
            <w:gridSpan w:val="6"/>
            <w:noWrap w:val="0"/>
            <w:vAlign w:val="center"/>
          </w:tcPr>
          <w:p>
            <w:pPr>
              <w:shd w:val="clear"/>
              <w:autoSpaceDN w:val="0"/>
              <w:spacing w:line="320" w:lineRule="exact"/>
              <w:jc w:val="center"/>
              <w:textAlignment w:val="center"/>
              <w:rPr>
                <w:rFonts w:hint="eastAsia" w:ascii="仿宋_GB2312" w:hAnsi="仿宋_GB2312" w:eastAsia="仿宋_GB2312" w:cs="仿宋_GB2312"/>
                <w:b w:val="0"/>
                <w:bCs w:val="0"/>
                <w:color w:val="000000"/>
                <w:sz w:val="24"/>
              </w:rPr>
            </w:pPr>
            <w:r>
              <w:rPr>
                <w:rFonts w:hint="eastAsia" w:ascii="仿宋_GB2312" w:hAnsi="仿宋_GB2312" w:eastAsia="仿宋_GB2312" w:cs="仿宋_GB2312"/>
                <w:b w:val="0"/>
                <w:bCs w:val="0"/>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400" w:lineRule="exact"/>
              <w:jc w:val="center"/>
              <w:textAlignment w:val="center"/>
              <w:rPr>
                <w:rFonts w:hint="eastAsia" w:ascii="仿宋_GB2312" w:hAnsi="仿宋_GB2312" w:eastAsia="仿宋_GB2312" w:cs="仿宋_GB2312"/>
                <w:b w:val="0"/>
                <w:bCs w:val="0"/>
                <w:color w:val="000000"/>
                <w:sz w:val="24"/>
              </w:rPr>
            </w:pPr>
            <w:r>
              <w:rPr>
                <w:rFonts w:hint="eastAsia" w:ascii="仿宋_GB2312" w:hAnsi="仿宋_GB2312" w:eastAsia="仿宋_GB2312" w:cs="仿宋_GB2312"/>
                <w:color w:val="000000"/>
                <w:sz w:val="24"/>
                <w:lang w:eastAsia="zh-CN"/>
              </w:rPr>
              <w:t>高</w:t>
            </w:r>
            <w:r>
              <w:rPr>
                <w:rFonts w:hint="eastAsia" w:ascii="仿宋_GB2312" w:hAnsi="仿宋_GB2312" w:eastAsia="仿宋_GB2312" w:cs="仿宋_GB2312"/>
                <w:color w:val="000000"/>
                <w:sz w:val="24"/>
                <w:lang w:val="en-US" w:eastAsia="zh-CN"/>
              </w:rPr>
              <w:t xml:space="preserve">  </w:t>
            </w:r>
            <w:r>
              <w:rPr>
                <w:rFonts w:hint="eastAsia" w:ascii="仿宋_GB2312" w:hAnsi="仿宋_GB2312" w:eastAsia="仿宋_GB2312" w:cs="仿宋_GB2312"/>
                <w:color w:val="000000"/>
                <w:sz w:val="24"/>
                <w:lang w:eastAsia="zh-CN"/>
              </w:rPr>
              <w:t>翔</w:t>
            </w:r>
          </w:p>
        </w:tc>
        <w:tc>
          <w:tcPr>
            <w:tcW w:w="3561" w:type="dxa"/>
            <w:gridSpan w:val="6"/>
            <w:noWrap w:val="0"/>
            <w:vAlign w:val="center"/>
          </w:tcPr>
          <w:p>
            <w:pPr>
              <w:autoSpaceDN w:val="0"/>
              <w:spacing w:line="400" w:lineRule="exact"/>
              <w:jc w:val="center"/>
              <w:textAlignment w:val="center"/>
              <w:rPr>
                <w:rFonts w:hint="eastAsia" w:ascii="仿宋_GB2312" w:hAnsi="仿宋_GB2312" w:eastAsia="仿宋_GB2312" w:cs="仿宋_GB2312"/>
                <w:b w:val="0"/>
                <w:bCs w:val="0"/>
                <w:color w:val="000000"/>
                <w:sz w:val="24"/>
              </w:rPr>
            </w:pPr>
            <w:r>
              <w:rPr>
                <w:rFonts w:hint="eastAsia" w:ascii="仿宋_GB2312" w:hAnsi="仿宋_GB2312" w:eastAsia="仿宋_GB2312" w:cs="仿宋_GB2312"/>
                <w:color w:val="000000"/>
                <w:sz w:val="24"/>
                <w:lang w:eastAsia="zh-CN"/>
              </w:rPr>
              <w:t>副局长</w:t>
            </w:r>
          </w:p>
        </w:tc>
        <w:tc>
          <w:tcPr>
            <w:tcW w:w="1479" w:type="dxa"/>
            <w:gridSpan w:val="3"/>
            <w:noWrap w:val="0"/>
            <w:vAlign w:val="center"/>
          </w:tcPr>
          <w:p>
            <w:pPr>
              <w:autoSpaceDN w:val="0"/>
              <w:spacing w:line="400" w:lineRule="exact"/>
              <w:jc w:val="center"/>
              <w:textAlignment w:val="center"/>
              <w:rPr>
                <w:rFonts w:hint="eastAsia" w:ascii="仿宋_GB2312" w:hAnsi="仿宋_GB2312" w:eastAsia="仿宋_GB2312" w:cs="仿宋_GB2312"/>
                <w:b w:val="0"/>
                <w:bCs w:val="0"/>
                <w:color w:val="000000"/>
                <w:sz w:val="24"/>
              </w:rPr>
            </w:pPr>
            <w:r>
              <w:rPr>
                <w:rFonts w:hint="eastAsia" w:ascii="仿宋_GB2312" w:hAnsi="仿宋_GB2312" w:eastAsia="仿宋_GB2312" w:cs="仿宋_GB2312"/>
                <w:color w:val="000000"/>
                <w:sz w:val="24"/>
              </w:rPr>
              <w:t>交通局</w:t>
            </w:r>
          </w:p>
        </w:tc>
        <w:tc>
          <w:tcPr>
            <w:tcW w:w="3106" w:type="dxa"/>
            <w:gridSpan w:val="6"/>
            <w:noWrap w:val="0"/>
            <w:vAlign w:val="center"/>
          </w:tcPr>
          <w:p>
            <w:pPr>
              <w:shd w:val="clear"/>
              <w:autoSpaceDN w:val="0"/>
              <w:spacing w:line="320" w:lineRule="exact"/>
              <w:jc w:val="center"/>
              <w:textAlignment w:val="center"/>
              <w:rPr>
                <w:rFonts w:hint="eastAsia" w:ascii="仿宋_GB2312" w:hAnsi="仿宋_GB2312" w:eastAsia="仿宋_GB2312" w:cs="仿宋_GB2312"/>
                <w:b w:val="0"/>
                <w:bCs w:val="0"/>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400" w:lineRule="exact"/>
              <w:jc w:val="center"/>
              <w:textAlignment w:val="center"/>
              <w:rPr>
                <w:rFonts w:hint="eastAsia" w:ascii="仿宋_GB2312" w:hAnsi="仿宋_GB2312" w:eastAsia="仿宋_GB2312" w:cs="仿宋_GB2312"/>
                <w:b w:val="0"/>
                <w:bCs w:val="0"/>
                <w:color w:val="000000"/>
                <w:sz w:val="24"/>
                <w:lang w:eastAsia="zh-CN"/>
              </w:rPr>
            </w:pPr>
            <w:r>
              <w:rPr>
                <w:rFonts w:hint="eastAsia" w:ascii="仿宋_GB2312" w:hAnsi="仿宋_GB2312" w:eastAsia="仿宋_GB2312" w:cs="仿宋_GB2312"/>
                <w:color w:val="000000"/>
                <w:sz w:val="24"/>
                <w:lang w:eastAsia="zh-CN"/>
              </w:rPr>
              <w:t>黄建兵</w:t>
            </w:r>
          </w:p>
        </w:tc>
        <w:tc>
          <w:tcPr>
            <w:tcW w:w="3561" w:type="dxa"/>
            <w:gridSpan w:val="6"/>
            <w:noWrap w:val="0"/>
            <w:vAlign w:val="center"/>
          </w:tcPr>
          <w:p>
            <w:pPr>
              <w:autoSpaceDN w:val="0"/>
              <w:spacing w:line="400" w:lineRule="exact"/>
              <w:jc w:val="center"/>
              <w:textAlignment w:val="center"/>
              <w:rPr>
                <w:rFonts w:hint="eastAsia" w:ascii="仿宋_GB2312" w:hAnsi="仿宋_GB2312" w:eastAsia="仿宋_GB2312" w:cs="仿宋_GB2312"/>
                <w:b w:val="0"/>
                <w:bCs w:val="0"/>
                <w:color w:val="000000"/>
                <w:sz w:val="24"/>
              </w:rPr>
            </w:pPr>
            <w:r>
              <w:rPr>
                <w:rFonts w:hint="eastAsia" w:ascii="仿宋_GB2312" w:hAnsi="仿宋_GB2312" w:eastAsia="仿宋_GB2312" w:cs="仿宋_GB2312"/>
                <w:color w:val="000000"/>
                <w:sz w:val="24"/>
              </w:rPr>
              <w:t>财务股长</w:t>
            </w:r>
          </w:p>
        </w:tc>
        <w:tc>
          <w:tcPr>
            <w:tcW w:w="1479" w:type="dxa"/>
            <w:gridSpan w:val="3"/>
            <w:noWrap w:val="0"/>
            <w:vAlign w:val="center"/>
          </w:tcPr>
          <w:p>
            <w:pPr>
              <w:autoSpaceDN w:val="0"/>
              <w:spacing w:line="400" w:lineRule="exact"/>
              <w:jc w:val="center"/>
              <w:textAlignment w:val="center"/>
              <w:rPr>
                <w:rFonts w:hint="eastAsia" w:ascii="仿宋_GB2312" w:hAnsi="仿宋_GB2312" w:eastAsia="仿宋_GB2312" w:cs="仿宋_GB2312"/>
                <w:b w:val="0"/>
                <w:bCs w:val="0"/>
                <w:color w:val="000000"/>
                <w:sz w:val="24"/>
              </w:rPr>
            </w:pPr>
            <w:r>
              <w:rPr>
                <w:rFonts w:hint="eastAsia" w:ascii="仿宋_GB2312" w:hAnsi="仿宋_GB2312" w:eastAsia="仿宋_GB2312" w:cs="仿宋_GB2312"/>
                <w:color w:val="000000"/>
                <w:sz w:val="24"/>
              </w:rPr>
              <w:t>交通局</w:t>
            </w:r>
          </w:p>
        </w:tc>
        <w:tc>
          <w:tcPr>
            <w:tcW w:w="3106" w:type="dxa"/>
            <w:gridSpan w:val="6"/>
            <w:noWrap w:val="0"/>
            <w:vAlign w:val="center"/>
          </w:tcPr>
          <w:p>
            <w:pPr>
              <w:shd w:val="clear"/>
              <w:autoSpaceDN w:val="0"/>
              <w:spacing w:line="320" w:lineRule="exact"/>
              <w:jc w:val="center"/>
              <w:textAlignment w:val="center"/>
              <w:rPr>
                <w:rFonts w:hint="eastAsia" w:ascii="仿宋_GB2312" w:hAnsi="仿宋_GB2312" w:eastAsia="仿宋_GB2312" w:cs="仿宋_GB2312"/>
                <w:b w:val="0"/>
                <w:bCs w:val="0"/>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400" w:lineRule="exact"/>
              <w:jc w:val="center"/>
              <w:textAlignment w:val="center"/>
              <w:rPr>
                <w:rFonts w:hint="eastAsia" w:ascii="仿宋_GB2312" w:hAnsi="仿宋_GB2312" w:eastAsia="仿宋_GB2312" w:cs="仿宋_GB2312"/>
                <w:b w:val="0"/>
                <w:bCs w:val="0"/>
                <w:color w:val="000000"/>
                <w:sz w:val="24"/>
              </w:rPr>
            </w:pPr>
            <w:bookmarkStart w:id="0" w:name="_GoBack"/>
            <w:bookmarkEnd w:id="0"/>
          </w:p>
        </w:tc>
        <w:tc>
          <w:tcPr>
            <w:tcW w:w="3561" w:type="dxa"/>
            <w:gridSpan w:val="6"/>
            <w:noWrap w:val="0"/>
            <w:vAlign w:val="center"/>
          </w:tcPr>
          <w:p>
            <w:pPr>
              <w:autoSpaceDN w:val="0"/>
              <w:spacing w:line="400" w:lineRule="exact"/>
              <w:jc w:val="center"/>
              <w:textAlignment w:val="center"/>
              <w:rPr>
                <w:rFonts w:hint="eastAsia" w:ascii="仿宋_GB2312" w:hAnsi="仿宋_GB2312" w:eastAsia="仿宋_GB2312" w:cs="仿宋_GB2312"/>
                <w:b w:val="0"/>
                <w:bCs w:val="0"/>
                <w:color w:val="000000"/>
                <w:sz w:val="24"/>
              </w:rPr>
            </w:pPr>
          </w:p>
        </w:tc>
        <w:tc>
          <w:tcPr>
            <w:tcW w:w="1479" w:type="dxa"/>
            <w:gridSpan w:val="3"/>
            <w:noWrap w:val="0"/>
            <w:vAlign w:val="center"/>
          </w:tcPr>
          <w:p>
            <w:pPr>
              <w:autoSpaceDN w:val="0"/>
              <w:spacing w:line="400" w:lineRule="exact"/>
              <w:jc w:val="center"/>
              <w:textAlignment w:val="center"/>
              <w:rPr>
                <w:rFonts w:hint="eastAsia" w:ascii="仿宋_GB2312" w:hAnsi="仿宋_GB2312" w:eastAsia="仿宋_GB2312" w:cs="仿宋_GB2312"/>
                <w:b w:val="0"/>
                <w:bCs w:val="0"/>
                <w:color w:val="000000"/>
                <w:sz w:val="24"/>
              </w:rPr>
            </w:pPr>
          </w:p>
        </w:tc>
        <w:tc>
          <w:tcPr>
            <w:tcW w:w="3106" w:type="dxa"/>
            <w:gridSpan w:val="6"/>
            <w:noWrap w:val="0"/>
            <w:vAlign w:val="center"/>
          </w:tcPr>
          <w:p>
            <w:pPr>
              <w:shd w:val="clear"/>
              <w:autoSpaceDN w:val="0"/>
              <w:spacing w:line="320" w:lineRule="exact"/>
              <w:jc w:val="center"/>
              <w:textAlignment w:val="center"/>
              <w:rPr>
                <w:rFonts w:hint="eastAsia" w:ascii="仿宋_GB2312" w:hAnsi="仿宋_GB2312" w:eastAsia="仿宋_GB2312" w:cs="仿宋_GB2312"/>
                <w:b w:val="0"/>
                <w:bCs w:val="0"/>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1654" w:type="dxa"/>
            <w:gridSpan w:val="2"/>
            <w:noWrap w:val="0"/>
            <w:vAlign w:val="center"/>
          </w:tcPr>
          <w:p>
            <w:pPr>
              <w:shd w:val="clear"/>
              <w:autoSpaceDN w:val="0"/>
              <w:spacing w:line="320" w:lineRule="exact"/>
              <w:jc w:val="center"/>
              <w:textAlignment w:val="center"/>
              <w:rPr>
                <w:rFonts w:hint="eastAsia" w:ascii="仿宋_GB2312" w:hAnsi="仿宋_GB2312" w:eastAsia="仿宋_GB2312" w:cs="仿宋_GB2312"/>
                <w:b w:val="0"/>
                <w:bCs w:val="0"/>
                <w:color w:val="000000"/>
                <w:sz w:val="24"/>
              </w:rPr>
            </w:pPr>
          </w:p>
        </w:tc>
        <w:tc>
          <w:tcPr>
            <w:tcW w:w="3561" w:type="dxa"/>
            <w:gridSpan w:val="6"/>
            <w:noWrap w:val="0"/>
            <w:vAlign w:val="center"/>
          </w:tcPr>
          <w:p>
            <w:pPr>
              <w:shd w:val="clear"/>
              <w:autoSpaceDN w:val="0"/>
              <w:spacing w:line="320" w:lineRule="exact"/>
              <w:jc w:val="center"/>
              <w:textAlignment w:val="center"/>
              <w:rPr>
                <w:rFonts w:hint="eastAsia" w:ascii="仿宋_GB2312" w:hAnsi="仿宋_GB2312" w:eastAsia="仿宋_GB2312" w:cs="仿宋_GB2312"/>
                <w:b w:val="0"/>
                <w:bCs w:val="0"/>
                <w:color w:val="000000"/>
                <w:sz w:val="24"/>
              </w:rPr>
            </w:pPr>
          </w:p>
        </w:tc>
        <w:tc>
          <w:tcPr>
            <w:tcW w:w="1479" w:type="dxa"/>
            <w:gridSpan w:val="3"/>
            <w:noWrap w:val="0"/>
            <w:vAlign w:val="center"/>
          </w:tcPr>
          <w:p>
            <w:pPr>
              <w:shd w:val="clear"/>
              <w:autoSpaceDN w:val="0"/>
              <w:spacing w:line="320" w:lineRule="exact"/>
              <w:jc w:val="center"/>
              <w:textAlignment w:val="center"/>
              <w:rPr>
                <w:rFonts w:hint="eastAsia" w:ascii="仿宋_GB2312" w:hAnsi="仿宋_GB2312" w:eastAsia="仿宋_GB2312" w:cs="仿宋_GB2312"/>
                <w:b w:val="0"/>
                <w:bCs w:val="0"/>
                <w:color w:val="000000"/>
                <w:sz w:val="24"/>
              </w:rPr>
            </w:pPr>
          </w:p>
        </w:tc>
        <w:tc>
          <w:tcPr>
            <w:tcW w:w="3106" w:type="dxa"/>
            <w:gridSpan w:val="6"/>
            <w:noWrap w:val="0"/>
            <w:vAlign w:val="center"/>
          </w:tcPr>
          <w:p>
            <w:pPr>
              <w:shd w:val="clear"/>
              <w:autoSpaceDN w:val="0"/>
              <w:spacing w:line="320" w:lineRule="exact"/>
              <w:jc w:val="center"/>
              <w:textAlignment w:val="center"/>
              <w:rPr>
                <w:rFonts w:hint="eastAsia" w:ascii="仿宋_GB2312" w:hAnsi="仿宋_GB2312" w:eastAsia="仿宋_GB2312" w:cs="仿宋_GB2312"/>
                <w:b w:val="0"/>
                <w:bCs w:val="0"/>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2722" w:hRule="atLeast"/>
          <w:jc w:val="center"/>
        </w:trPr>
        <w:tc>
          <w:tcPr>
            <w:tcW w:w="9800" w:type="dxa"/>
            <w:gridSpan w:val="17"/>
            <w:noWrap w:val="0"/>
            <w:vAlign w:val="center"/>
          </w:tcPr>
          <w:p>
            <w:pPr>
              <w:shd w:val="clear"/>
              <w:autoSpaceDN w:val="0"/>
              <w:spacing w:line="320" w:lineRule="exact"/>
              <w:jc w:val="left"/>
              <w:textAlignment w:val="center"/>
              <w:rPr>
                <w:rFonts w:hint="eastAsia" w:ascii="仿宋_GB2312" w:hAnsi="仿宋_GB2312" w:eastAsia="仿宋_GB2312" w:cs="仿宋_GB2312"/>
                <w:b w:val="0"/>
                <w:bCs w:val="0"/>
                <w:color w:val="000000"/>
                <w:sz w:val="24"/>
              </w:rPr>
            </w:pPr>
            <w:r>
              <w:rPr>
                <w:rFonts w:hint="eastAsia" w:ascii="仿宋_GB2312" w:hAnsi="仿宋_GB2312" w:eastAsia="仿宋_GB2312" w:cs="仿宋_GB2312"/>
                <w:b w:val="0"/>
                <w:bCs w:val="0"/>
                <w:color w:val="000000"/>
                <w:sz w:val="24"/>
              </w:rPr>
              <w:t>评价组组长（签字）：</w:t>
            </w:r>
          </w:p>
          <w:p>
            <w:pPr>
              <w:shd w:val="clear"/>
              <w:autoSpaceDN w:val="0"/>
              <w:spacing w:line="320" w:lineRule="exact"/>
              <w:jc w:val="left"/>
              <w:textAlignment w:val="center"/>
              <w:rPr>
                <w:rFonts w:hint="eastAsia" w:ascii="仿宋_GB2312" w:hAnsi="仿宋_GB2312" w:eastAsia="仿宋_GB2312" w:cs="仿宋_GB2312"/>
                <w:b w:val="0"/>
                <w:bCs w:val="0"/>
                <w:color w:val="000000"/>
                <w:sz w:val="24"/>
              </w:rPr>
            </w:pPr>
          </w:p>
          <w:p>
            <w:pPr>
              <w:shd w:val="clear"/>
              <w:autoSpaceDN w:val="0"/>
              <w:spacing w:line="320" w:lineRule="exact"/>
              <w:jc w:val="left"/>
              <w:textAlignment w:val="center"/>
              <w:rPr>
                <w:rFonts w:hint="eastAsia" w:ascii="仿宋_GB2312" w:hAnsi="仿宋_GB2312" w:eastAsia="仿宋_GB2312" w:cs="仿宋_GB2312"/>
                <w:b w:val="0"/>
                <w:bCs w:val="0"/>
                <w:color w:val="000000"/>
                <w:sz w:val="24"/>
              </w:rPr>
            </w:pPr>
          </w:p>
          <w:p>
            <w:pPr>
              <w:shd w:val="clear"/>
              <w:autoSpaceDN w:val="0"/>
              <w:spacing w:line="320" w:lineRule="exact"/>
              <w:jc w:val="left"/>
              <w:textAlignment w:val="center"/>
              <w:rPr>
                <w:rFonts w:hint="eastAsia" w:ascii="仿宋_GB2312" w:hAnsi="仿宋_GB2312" w:eastAsia="仿宋_GB2312" w:cs="仿宋_GB2312"/>
                <w:b w:val="0"/>
                <w:bCs w:val="0"/>
                <w:color w:val="000000"/>
                <w:sz w:val="24"/>
              </w:rPr>
            </w:pPr>
          </w:p>
          <w:p>
            <w:pPr>
              <w:shd w:val="clear"/>
              <w:autoSpaceDN w:val="0"/>
              <w:spacing w:line="320" w:lineRule="exact"/>
              <w:jc w:val="left"/>
              <w:textAlignment w:val="center"/>
              <w:rPr>
                <w:rFonts w:hint="eastAsia" w:ascii="仿宋_GB2312" w:hAnsi="仿宋_GB2312" w:eastAsia="仿宋_GB2312" w:cs="仿宋_GB2312"/>
                <w:b w:val="0"/>
                <w:bCs w:val="0"/>
                <w:color w:val="000000"/>
                <w:sz w:val="24"/>
              </w:rPr>
            </w:pPr>
          </w:p>
          <w:p>
            <w:pPr>
              <w:shd w:val="clear"/>
              <w:autoSpaceDN w:val="0"/>
              <w:spacing w:line="320" w:lineRule="exact"/>
              <w:jc w:val="left"/>
              <w:textAlignment w:val="center"/>
              <w:rPr>
                <w:rFonts w:hint="eastAsia" w:ascii="仿宋_GB2312" w:hAnsi="仿宋_GB2312" w:eastAsia="仿宋_GB2312" w:cs="仿宋_GB2312"/>
                <w:b w:val="0"/>
                <w:bCs w:val="0"/>
                <w:color w:val="000000"/>
                <w:sz w:val="24"/>
              </w:rPr>
            </w:pPr>
          </w:p>
          <w:p>
            <w:pPr>
              <w:shd w:val="clear"/>
              <w:autoSpaceDN w:val="0"/>
              <w:spacing w:line="320" w:lineRule="exact"/>
              <w:jc w:val="left"/>
              <w:textAlignment w:val="center"/>
              <w:rPr>
                <w:rFonts w:hint="eastAsia" w:ascii="仿宋_GB2312" w:hAnsi="仿宋_GB2312" w:eastAsia="仿宋_GB2312" w:cs="仿宋_GB2312"/>
                <w:b w:val="0"/>
                <w:bCs w:val="0"/>
                <w:color w:val="000000"/>
                <w:sz w:val="24"/>
              </w:rPr>
            </w:pPr>
            <w:r>
              <w:rPr>
                <w:rFonts w:hint="eastAsia" w:ascii="仿宋_GB2312" w:hAnsi="仿宋_GB2312" w:eastAsia="仿宋_GB2312" w:cs="仿宋_GB2312"/>
                <w:b w:val="0"/>
                <w:bCs w:val="0"/>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2722" w:hRule="atLeast"/>
          <w:jc w:val="center"/>
        </w:trPr>
        <w:tc>
          <w:tcPr>
            <w:tcW w:w="9800" w:type="dxa"/>
            <w:gridSpan w:val="17"/>
            <w:noWrap w:val="0"/>
            <w:vAlign w:val="center"/>
          </w:tcPr>
          <w:p>
            <w:pPr>
              <w:shd w:val="clear"/>
              <w:autoSpaceDN w:val="0"/>
              <w:spacing w:line="320" w:lineRule="exact"/>
              <w:jc w:val="left"/>
              <w:textAlignment w:val="center"/>
              <w:rPr>
                <w:rFonts w:hint="eastAsia" w:ascii="仿宋_GB2312" w:hAnsi="仿宋_GB2312" w:eastAsia="仿宋_GB2312" w:cs="仿宋_GB2312"/>
                <w:b w:val="0"/>
                <w:bCs w:val="0"/>
                <w:color w:val="000000"/>
                <w:sz w:val="24"/>
              </w:rPr>
            </w:pPr>
            <w:r>
              <w:rPr>
                <w:rFonts w:hint="eastAsia" w:ascii="仿宋_GB2312" w:hAnsi="仿宋_GB2312" w:eastAsia="仿宋_GB2312" w:cs="仿宋_GB2312"/>
                <w:b w:val="0"/>
                <w:bCs w:val="0"/>
                <w:color w:val="000000"/>
                <w:sz w:val="24"/>
              </w:rPr>
              <w:t>部门（单位）意见：</w:t>
            </w:r>
          </w:p>
          <w:p>
            <w:pPr>
              <w:shd w:val="clear"/>
              <w:autoSpaceDN w:val="0"/>
              <w:spacing w:line="320" w:lineRule="exact"/>
              <w:jc w:val="left"/>
              <w:textAlignment w:val="center"/>
              <w:rPr>
                <w:rFonts w:hint="eastAsia" w:ascii="仿宋_GB2312" w:hAnsi="仿宋_GB2312" w:eastAsia="仿宋_GB2312" w:cs="仿宋_GB2312"/>
                <w:b w:val="0"/>
                <w:bCs w:val="0"/>
                <w:color w:val="000000"/>
                <w:sz w:val="24"/>
              </w:rPr>
            </w:pPr>
          </w:p>
          <w:p>
            <w:pPr>
              <w:shd w:val="clear"/>
              <w:autoSpaceDN w:val="0"/>
              <w:spacing w:line="320" w:lineRule="exact"/>
              <w:jc w:val="left"/>
              <w:textAlignment w:val="center"/>
              <w:rPr>
                <w:rFonts w:hint="eastAsia" w:ascii="仿宋_GB2312" w:hAnsi="仿宋_GB2312" w:eastAsia="仿宋_GB2312" w:cs="仿宋_GB2312"/>
                <w:b w:val="0"/>
                <w:bCs w:val="0"/>
                <w:color w:val="000000"/>
                <w:sz w:val="24"/>
              </w:rPr>
            </w:pPr>
          </w:p>
          <w:p>
            <w:pPr>
              <w:shd w:val="clear"/>
              <w:autoSpaceDN w:val="0"/>
              <w:spacing w:line="320" w:lineRule="exact"/>
              <w:jc w:val="left"/>
              <w:textAlignment w:val="center"/>
              <w:rPr>
                <w:rFonts w:hint="eastAsia" w:ascii="仿宋_GB2312" w:hAnsi="仿宋_GB2312" w:eastAsia="仿宋_GB2312" w:cs="仿宋_GB2312"/>
                <w:b w:val="0"/>
                <w:bCs w:val="0"/>
                <w:color w:val="000000"/>
                <w:sz w:val="24"/>
              </w:rPr>
            </w:pPr>
          </w:p>
          <w:p>
            <w:pPr>
              <w:shd w:val="clear"/>
              <w:autoSpaceDN w:val="0"/>
              <w:spacing w:line="320" w:lineRule="exact"/>
              <w:jc w:val="left"/>
              <w:textAlignment w:val="center"/>
              <w:rPr>
                <w:rFonts w:hint="eastAsia" w:ascii="仿宋_GB2312" w:hAnsi="仿宋_GB2312" w:eastAsia="仿宋_GB2312" w:cs="仿宋_GB2312"/>
                <w:b w:val="0"/>
                <w:bCs w:val="0"/>
                <w:color w:val="000000"/>
                <w:sz w:val="24"/>
              </w:rPr>
            </w:pPr>
          </w:p>
          <w:p>
            <w:pPr>
              <w:shd w:val="clear"/>
              <w:autoSpaceDN w:val="0"/>
              <w:spacing w:line="320" w:lineRule="exact"/>
              <w:jc w:val="left"/>
              <w:textAlignment w:val="center"/>
              <w:rPr>
                <w:rFonts w:hint="eastAsia" w:ascii="仿宋_GB2312" w:hAnsi="仿宋_GB2312" w:eastAsia="仿宋_GB2312" w:cs="仿宋_GB2312"/>
                <w:b w:val="0"/>
                <w:bCs w:val="0"/>
                <w:color w:val="000000"/>
                <w:sz w:val="24"/>
              </w:rPr>
            </w:pPr>
            <w:r>
              <w:rPr>
                <w:rFonts w:hint="eastAsia" w:ascii="仿宋_GB2312" w:hAnsi="仿宋_GB2312" w:eastAsia="仿宋_GB2312" w:cs="仿宋_GB2312"/>
                <w:b w:val="0"/>
                <w:bCs w:val="0"/>
                <w:color w:val="000000"/>
                <w:sz w:val="24"/>
              </w:rPr>
              <w:t xml:space="preserve">                                         部门（单位）负责人（签章）：</w:t>
            </w:r>
          </w:p>
          <w:p>
            <w:pPr>
              <w:shd w:val="clear"/>
              <w:autoSpaceDN w:val="0"/>
              <w:spacing w:line="320" w:lineRule="exact"/>
              <w:jc w:val="left"/>
              <w:textAlignment w:val="center"/>
              <w:rPr>
                <w:rFonts w:hint="eastAsia" w:ascii="仿宋_GB2312" w:hAnsi="仿宋_GB2312" w:eastAsia="仿宋_GB2312" w:cs="仿宋_GB2312"/>
                <w:b w:val="0"/>
                <w:bCs w:val="0"/>
                <w:color w:val="000000"/>
                <w:sz w:val="24"/>
              </w:rPr>
            </w:pPr>
            <w:r>
              <w:rPr>
                <w:rFonts w:hint="eastAsia" w:ascii="仿宋_GB2312" w:hAnsi="仿宋_GB2312" w:eastAsia="仿宋_GB2312" w:cs="仿宋_GB2312"/>
                <w:b w:val="0"/>
                <w:bCs w:val="0"/>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2794" w:hRule="atLeast"/>
          <w:jc w:val="center"/>
        </w:trPr>
        <w:tc>
          <w:tcPr>
            <w:tcW w:w="9800" w:type="dxa"/>
            <w:gridSpan w:val="17"/>
            <w:noWrap w:val="0"/>
            <w:vAlign w:val="center"/>
          </w:tcPr>
          <w:p>
            <w:pPr>
              <w:shd w:val="clear"/>
              <w:spacing w:line="320" w:lineRule="exact"/>
              <w:rPr>
                <w:rFonts w:hint="eastAsia" w:eastAsia="仿宋_GB2312"/>
                <w:b w:val="0"/>
                <w:bCs w:val="0"/>
                <w:sz w:val="24"/>
              </w:rPr>
            </w:pPr>
            <w:r>
              <w:rPr>
                <w:rFonts w:hint="eastAsia" w:eastAsia="仿宋_GB2312"/>
                <w:b w:val="0"/>
                <w:bCs w:val="0"/>
                <w:sz w:val="24"/>
              </w:rPr>
              <w:t>财政部门归口业务科室意见：</w:t>
            </w:r>
          </w:p>
          <w:p>
            <w:pPr>
              <w:shd w:val="clear"/>
              <w:spacing w:line="320" w:lineRule="exact"/>
              <w:rPr>
                <w:rFonts w:hint="eastAsia" w:eastAsia="仿宋_GB2312"/>
                <w:b w:val="0"/>
                <w:bCs w:val="0"/>
                <w:sz w:val="24"/>
              </w:rPr>
            </w:pPr>
          </w:p>
          <w:p>
            <w:pPr>
              <w:shd w:val="clear"/>
              <w:spacing w:line="320" w:lineRule="exact"/>
              <w:rPr>
                <w:rFonts w:hint="eastAsia" w:eastAsia="仿宋_GB2312"/>
                <w:b w:val="0"/>
                <w:bCs w:val="0"/>
                <w:sz w:val="24"/>
              </w:rPr>
            </w:pPr>
          </w:p>
          <w:p>
            <w:pPr>
              <w:shd w:val="clear"/>
              <w:spacing w:line="320" w:lineRule="exact"/>
              <w:rPr>
                <w:rFonts w:hint="eastAsia" w:eastAsia="仿宋_GB2312"/>
                <w:b w:val="0"/>
                <w:bCs w:val="0"/>
                <w:sz w:val="24"/>
              </w:rPr>
            </w:pPr>
          </w:p>
          <w:p>
            <w:pPr>
              <w:shd w:val="clear"/>
              <w:spacing w:line="320" w:lineRule="exact"/>
              <w:rPr>
                <w:rFonts w:hint="eastAsia" w:eastAsia="仿宋_GB2312"/>
                <w:b w:val="0"/>
                <w:bCs w:val="0"/>
                <w:sz w:val="24"/>
              </w:rPr>
            </w:pPr>
          </w:p>
          <w:p>
            <w:pPr>
              <w:shd w:val="clear"/>
              <w:spacing w:line="320" w:lineRule="exact"/>
              <w:rPr>
                <w:rFonts w:hint="eastAsia" w:eastAsia="仿宋_GB2312"/>
                <w:b w:val="0"/>
                <w:bCs w:val="0"/>
                <w:sz w:val="24"/>
              </w:rPr>
            </w:pPr>
            <w:r>
              <w:rPr>
                <w:rFonts w:hint="eastAsia" w:eastAsia="仿宋_GB2312"/>
                <w:b w:val="0"/>
                <w:bCs w:val="0"/>
                <w:sz w:val="24"/>
              </w:rPr>
              <w:t xml:space="preserve">                                  财政部门归口业务科室负责人（签章）：</w:t>
            </w:r>
          </w:p>
          <w:p>
            <w:pPr>
              <w:shd w:val="clear"/>
              <w:autoSpaceDN w:val="0"/>
              <w:spacing w:line="320" w:lineRule="exact"/>
              <w:jc w:val="left"/>
              <w:textAlignment w:val="center"/>
              <w:rPr>
                <w:rFonts w:hint="eastAsia" w:ascii="仿宋_GB2312" w:hAnsi="仿宋_GB2312" w:eastAsia="仿宋_GB2312" w:cs="仿宋_GB2312"/>
                <w:b w:val="0"/>
                <w:bCs w:val="0"/>
                <w:color w:val="000000"/>
                <w:sz w:val="24"/>
              </w:rPr>
            </w:pPr>
            <w:r>
              <w:rPr>
                <w:rFonts w:hint="eastAsia" w:eastAsia="仿宋_GB2312"/>
                <w:b w:val="0"/>
                <w:bCs w:val="0"/>
                <w:sz w:val="24"/>
              </w:rPr>
              <w:t xml:space="preserve">                                                                 年    月   日</w:t>
            </w:r>
          </w:p>
        </w:tc>
      </w:tr>
    </w:tbl>
    <w:p>
      <w:pPr>
        <w:shd w:val="clear"/>
        <w:rPr>
          <w:rFonts w:hint="default" w:eastAsia="仿宋_GB2312" w:cs="仿宋_GB2312"/>
          <w:b w:val="0"/>
          <w:bCs w:val="0"/>
          <w:sz w:val="28"/>
          <w:szCs w:val="28"/>
          <w:lang w:val="en-US" w:eastAsia="zh-CN"/>
        </w:rPr>
      </w:pPr>
      <w:r>
        <w:rPr>
          <w:rFonts w:hint="eastAsia" w:eastAsia="仿宋_GB2312" w:cs="仿宋_GB2312"/>
          <w:b w:val="0"/>
          <w:bCs w:val="0"/>
          <w:sz w:val="28"/>
          <w:szCs w:val="28"/>
        </w:rPr>
        <w:t>填报人（签名）：</w:t>
      </w:r>
      <w:r>
        <w:rPr>
          <w:rFonts w:hint="eastAsia" w:eastAsia="仿宋_GB2312" w:cs="仿宋_GB2312"/>
          <w:b w:val="0"/>
          <w:bCs w:val="0"/>
          <w:sz w:val="28"/>
          <w:szCs w:val="28"/>
          <w:lang w:eastAsia="zh-CN"/>
        </w:rPr>
        <w:t>吴丹</w:t>
      </w:r>
      <w:r>
        <w:rPr>
          <w:rFonts w:hint="eastAsia" w:eastAsia="仿宋_GB2312" w:cs="仿宋_GB2312"/>
          <w:b w:val="0"/>
          <w:bCs w:val="0"/>
          <w:sz w:val="28"/>
          <w:szCs w:val="28"/>
        </w:rPr>
        <w:t xml:space="preserve">                     联系电话：</w:t>
      </w:r>
      <w:r>
        <w:rPr>
          <w:rFonts w:hint="eastAsia" w:eastAsia="仿宋_GB2312" w:cs="仿宋_GB2312"/>
          <w:b w:val="0"/>
          <w:bCs w:val="0"/>
          <w:sz w:val="28"/>
          <w:szCs w:val="28"/>
          <w:lang w:val="en-US" w:eastAsia="zh-CN"/>
        </w:rPr>
        <w:t>15274091055</w:t>
      </w:r>
    </w:p>
    <w:tbl>
      <w:tblPr>
        <w:tblStyle w:val="4"/>
        <w:tblW w:w="955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998" w:hRule="atLeast"/>
          <w:jc w:val="center"/>
        </w:trPr>
        <w:tc>
          <w:tcPr>
            <w:tcW w:w="9558" w:type="dxa"/>
            <w:noWrap w:val="0"/>
            <w:vAlign w:val="top"/>
          </w:tcPr>
          <w:p>
            <w:pPr>
              <w:shd w:val="clear"/>
              <w:jc w:val="center"/>
              <w:rPr>
                <w:rFonts w:hint="eastAsia" w:ascii="黑体" w:hAnsi="黑体" w:eastAsia="黑体" w:cs="黑体"/>
                <w:b w:val="0"/>
                <w:bCs w:val="0"/>
                <w:sz w:val="28"/>
                <w:szCs w:val="28"/>
              </w:rPr>
            </w:pPr>
            <w:r>
              <w:rPr>
                <w:rFonts w:hint="eastAsia" w:ascii="黑体" w:hAnsi="黑体" w:eastAsia="黑体" w:cs="黑体"/>
                <w:b w:val="0"/>
                <w:bCs w:val="0"/>
                <w:sz w:val="28"/>
                <w:szCs w:val="28"/>
              </w:rPr>
              <w:t>五、评价报告综述（文字部分）</w:t>
            </w:r>
          </w:p>
          <w:p>
            <w:pPr>
              <w:spacing w:line="500" w:lineRule="exact"/>
              <w:ind w:firstLine="840" w:firstLineChars="300"/>
              <w:rPr>
                <w:rFonts w:hint="eastAsia" w:ascii="仿宋" w:hAnsi="仿宋" w:eastAsia="仿宋"/>
                <w:sz w:val="28"/>
                <w:szCs w:val="28"/>
              </w:rPr>
            </w:pPr>
            <w:r>
              <w:rPr>
                <w:rFonts w:hint="eastAsia" w:ascii="仿宋" w:hAnsi="仿宋" w:eastAsia="仿宋"/>
                <w:sz w:val="28"/>
                <w:szCs w:val="28"/>
              </w:rPr>
              <w:t>根据《华容县财政局关于开展201</w:t>
            </w:r>
            <w:r>
              <w:rPr>
                <w:rFonts w:hint="eastAsia" w:ascii="仿宋" w:hAnsi="仿宋" w:eastAsia="仿宋"/>
                <w:sz w:val="28"/>
                <w:szCs w:val="28"/>
                <w:lang w:val="en-US" w:eastAsia="zh-CN"/>
              </w:rPr>
              <w:t>8</w:t>
            </w:r>
            <w:r>
              <w:rPr>
                <w:rFonts w:hint="eastAsia" w:ascii="仿宋" w:hAnsi="仿宋" w:eastAsia="仿宋"/>
                <w:sz w:val="28"/>
                <w:szCs w:val="28"/>
              </w:rPr>
              <w:t>年度部门整体支出绩效自评工作的通知》（华财发【201</w:t>
            </w:r>
            <w:r>
              <w:rPr>
                <w:rFonts w:hint="eastAsia" w:ascii="仿宋" w:hAnsi="仿宋" w:eastAsia="仿宋"/>
                <w:sz w:val="28"/>
                <w:szCs w:val="28"/>
                <w:lang w:val="en-US" w:eastAsia="zh-CN"/>
              </w:rPr>
              <w:t>9</w:t>
            </w:r>
            <w:r>
              <w:rPr>
                <w:rFonts w:hint="eastAsia" w:ascii="仿宋" w:hAnsi="仿宋" w:eastAsia="仿宋"/>
                <w:sz w:val="28"/>
                <w:szCs w:val="28"/>
              </w:rPr>
              <w:t>】</w:t>
            </w:r>
            <w:r>
              <w:rPr>
                <w:rFonts w:hint="eastAsia" w:ascii="仿宋" w:hAnsi="仿宋" w:eastAsia="仿宋"/>
                <w:sz w:val="28"/>
                <w:szCs w:val="28"/>
                <w:lang w:val="en-US" w:eastAsia="zh-CN"/>
              </w:rPr>
              <w:t>23</w:t>
            </w:r>
            <w:r>
              <w:rPr>
                <w:rFonts w:hint="eastAsia" w:ascii="仿宋" w:hAnsi="仿宋" w:eastAsia="仿宋"/>
                <w:sz w:val="28"/>
                <w:szCs w:val="28"/>
              </w:rPr>
              <w:t>号）要求，现对华容县交通运输局201</w:t>
            </w:r>
            <w:r>
              <w:rPr>
                <w:rFonts w:hint="eastAsia" w:ascii="仿宋" w:hAnsi="仿宋" w:eastAsia="仿宋"/>
                <w:sz w:val="28"/>
                <w:szCs w:val="28"/>
                <w:lang w:val="en-US" w:eastAsia="zh-CN"/>
              </w:rPr>
              <w:t>8</w:t>
            </w:r>
            <w:r>
              <w:rPr>
                <w:rFonts w:hint="eastAsia" w:ascii="仿宋" w:hAnsi="仿宋" w:eastAsia="仿宋"/>
                <w:sz w:val="28"/>
                <w:szCs w:val="28"/>
              </w:rPr>
              <w:t>年度的部门整体支出开展绩效自评，现将情况汇报如下：</w:t>
            </w:r>
          </w:p>
          <w:p>
            <w:pPr>
              <w:shd w:val="clear"/>
              <w:spacing w:line="560" w:lineRule="exact"/>
              <w:ind w:firstLine="560" w:firstLineChars="200"/>
              <w:rPr>
                <w:rFonts w:hint="eastAsia" w:ascii="黑体" w:hAnsi="黑体" w:eastAsia="黑体" w:cs="黑体"/>
                <w:b w:val="0"/>
                <w:bCs w:val="0"/>
                <w:sz w:val="28"/>
                <w:szCs w:val="28"/>
              </w:rPr>
            </w:pPr>
            <w:r>
              <w:rPr>
                <w:rFonts w:hint="eastAsia" w:ascii="黑体" w:hAnsi="黑体" w:eastAsia="黑体" w:cs="黑体"/>
                <w:b w:val="0"/>
                <w:bCs w:val="0"/>
                <w:sz w:val="28"/>
                <w:szCs w:val="28"/>
              </w:rPr>
              <w:t>一、部门（单位）概况</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560" w:firstLineChars="200"/>
              <w:jc w:val="both"/>
              <w:textAlignment w:val="auto"/>
              <w:outlineLvl w:val="9"/>
              <w:rPr>
                <w:rFonts w:hint="eastAsia" w:ascii="仿宋" w:hAnsi="仿宋" w:eastAsia="仿宋"/>
                <w:sz w:val="28"/>
                <w:szCs w:val="28"/>
              </w:rPr>
            </w:pPr>
            <w:r>
              <w:rPr>
                <w:rFonts w:hint="eastAsia" w:ascii="仿宋_GB2312" w:hAnsi="仿宋_GB2312" w:eastAsia="仿宋_GB2312" w:cs="仿宋_GB2312"/>
                <w:b w:val="0"/>
                <w:bCs w:val="0"/>
                <w:sz w:val="28"/>
                <w:szCs w:val="28"/>
              </w:rPr>
              <w:t>（一）单位基本情况</w:t>
            </w:r>
            <w:r>
              <w:rPr>
                <w:rFonts w:hint="eastAsia" w:ascii="仿宋" w:hAnsi="仿宋" w:eastAsia="仿宋"/>
                <w:sz w:val="28"/>
                <w:szCs w:val="28"/>
              </w:rPr>
              <w:t xml:space="preserve"> </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560" w:firstLineChars="200"/>
              <w:jc w:val="both"/>
              <w:textAlignment w:val="auto"/>
              <w:outlineLvl w:val="9"/>
              <w:rPr>
                <w:rFonts w:hint="eastAsia" w:ascii="仿宋" w:hAnsi="仿宋" w:eastAsia="仿宋"/>
                <w:sz w:val="28"/>
                <w:szCs w:val="28"/>
              </w:rPr>
            </w:pPr>
            <w:r>
              <w:rPr>
                <w:rFonts w:hint="eastAsia" w:ascii="仿宋" w:hAnsi="仿宋" w:eastAsia="仿宋"/>
                <w:sz w:val="28"/>
                <w:szCs w:val="28"/>
              </w:rPr>
              <w:t>华容县交通运输局系县财政全额预算拨款单位。201</w:t>
            </w:r>
            <w:r>
              <w:rPr>
                <w:rFonts w:hint="eastAsia" w:ascii="仿宋" w:hAnsi="仿宋" w:eastAsia="仿宋"/>
                <w:sz w:val="28"/>
                <w:szCs w:val="28"/>
                <w:lang w:val="en-US" w:eastAsia="zh-CN"/>
              </w:rPr>
              <w:t>8</w:t>
            </w:r>
            <w:r>
              <w:rPr>
                <w:rFonts w:hint="eastAsia" w:ascii="仿宋" w:hAnsi="仿宋" w:eastAsia="仿宋"/>
                <w:sz w:val="28"/>
                <w:szCs w:val="28"/>
              </w:rPr>
              <w:t>年编制部门核实交通局人员编制1</w:t>
            </w:r>
            <w:r>
              <w:rPr>
                <w:rFonts w:hint="eastAsia" w:ascii="仿宋" w:hAnsi="仿宋" w:eastAsia="仿宋"/>
                <w:sz w:val="28"/>
                <w:szCs w:val="28"/>
                <w:lang w:val="en-US" w:eastAsia="zh-CN"/>
              </w:rPr>
              <w:t>6</w:t>
            </w:r>
            <w:r>
              <w:rPr>
                <w:rFonts w:hint="eastAsia" w:ascii="仿宋" w:hAnsi="仿宋" w:eastAsia="仿宋"/>
                <w:sz w:val="28"/>
                <w:szCs w:val="28"/>
              </w:rPr>
              <w:t>人，实有人数为2</w:t>
            </w:r>
            <w:r>
              <w:rPr>
                <w:rFonts w:hint="eastAsia" w:ascii="仿宋" w:hAnsi="仿宋" w:eastAsia="仿宋"/>
                <w:sz w:val="28"/>
                <w:szCs w:val="28"/>
                <w:lang w:val="en-US" w:eastAsia="zh-CN"/>
              </w:rPr>
              <w:t>1</w:t>
            </w:r>
            <w:r>
              <w:rPr>
                <w:rFonts w:hint="eastAsia" w:ascii="仿宋" w:hAnsi="仿宋" w:eastAsia="仿宋"/>
                <w:sz w:val="28"/>
                <w:szCs w:val="28"/>
              </w:rPr>
              <w:t>人。该局本级内设机构</w:t>
            </w:r>
            <w:r>
              <w:rPr>
                <w:rFonts w:hint="eastAsia" w:ascii="仿宋" w:hAnsi="仿宋" w:eastAsia="仿宋"/>
                <w:sz w:val="28"/>
                <w:szCs w:val="28"/>
                <w:lang w:val="en-US" w:eastAsia="zh-CN"/>
              </w:rPr>
              <w:t>6</w:t>
            </w:r>
            <w:r>
              <w:rPr>
                <w:rFonts w:hint="eastAsia" w:ascii="仿宋" w:hAnsi="仿宋" w:eastAsia="仿宋"/>
                <w:sz w:val="28"/>
                <w:szCs w:val="28"/>
              </w:rPr>
              <w:t>个：办公室、人事股、财务审计股、</w:t>
            </w:r>
            <w:r>
              <w:rPr>
                <w:rFonts w:hint="eastAsia" w:ascii="仿宋" w:hAnsi="仿宋" w:eastAsia="仿宋"/>
                <w:sz w:val="28"/>
                <w:szCs w:val="28"/>
                <w:lang w:eastAsia="zh-CN"/>
              </w:rPr>
              <w:t>计划基建</w:t>
            </w:r>
            <w:r>
              <w:rPr>
                <w:rFonts w:ascii="仿宋" w:hAnsi="仿宋" w:eastAsia="仿宋"/>
                <w:sz w:val="28"/>
                <w:szCs w:val="28"/>
              </w:rPr>
              <w:t>股</w:t>
            </w:r>
            <w:r>
              <w:rPr>
                <w:rFonts w:hint="eastAsia" w:ascii="仿宋" w:hAnsi="仿宋" w:eastAsia="仿宋"/>
                <w:sz w:val="28"/>
                <w:szCs w:val="28"/>
              </w:rPr>
              <w:t>、</w:t>
            </w:r>
            <w:r>
              <w:rPr>
                <w:rFonts w:hint="eastAsia" w:ascii="仿宋" w:hAnsi="仿宋" w:eastAsia="仿宋"/>
                <w:sz w:val="28"/>
                <w:szCs w:val="28"/>
                <w:lang w:eastAsia="zh-CN"/>
              </w:rPr>
              <w:t>法制</w:t>
            </w:r>
            <w:r>
              <w:rPr>
                <w:rFonts w:ascii="仿宋" w:hAnsi="仿宋" w:eastAsia="仿宋"/>
                <w:sz w:val="28"/>
                <w:szCs w:val="28"/>
              </w:rPr>
              <w:t>股</w:t>
            </w:r>
            <w:r>
              <w:rPr>
                <w:rFonts w:hint="eastAsia" w:ascii="仿宋" w:hAnsi="仿宋" w:eastAsia="仿宋"/>
                <w:sz w:val="28"/>
                <w:szCs w:val="28"/>
              </w:rPr>
              <w:t>、</w:t>
            </w:r>
            <w:r>
              <w:rPr>
                <w:rFonts w:hint="eastAsia" w:ascii="仿宋" w:hAnsi="仿宋" w:eastAsia="仿宋"/>
                <w:sz w:val="28"/>
                <w:szCs w:val="28"/>
                <w:lang w:eastAsia="zh-CN"/>
              </w:rPr>
              <w:t>安全运输</w:t>
            </w:r>
            <w:r>
              <w:rPr>
                <w:rFonts w:hint="eastAsia" w:ascii="仿宋" w:hAnsi="仿宋" w:eastAsia="仿宋"/>
                <w:sz w:val="28"/>
                <w:szCs w:val="28"/>
              </w:rPr>
              <w:t>股。</w:t>
            </w:r>
          </w:p>
          <w:p>
            <w:pPr>
              <w:numPr>
                <w:ilvl w:val="0"/>
                <w:numId w:val="0"/>
              </w:numPr>
              <w:spacing w:line="500" w:lineRule="exact"/>
              <w:ind w:firstLine="562" w:firstLineChars="200"/>
              <w:rPr>
                <w:rFonts w:hint="eastAsia" w:ascii="仿宋" w:hAnsi="仿宋" w:eastAsia="仿宋"/>
                <w:b/>
                <w:sz w:val="28"/>
                <w:szCs w:val="28"/>
              </w:rPr>
            </w:pPr>
            <w:r>
              <w:rPr>
                <w:rFonts w:hint="eastAsia" w:ascii="仿宋" w:hAnsi="仿宋" w:eastAsia="仿宋"/>
                <w:b/>
                <w:sz w:val="28"/>
                <w:szCs w:val="28"/>
                <w:lang w:val="en-US" w:eastAsia="zh-CN"/>
              </w:rPr>
              <w:t>（二）</w:t>
            </w:r>
            <w:r>
              <w:rPr>
                <w:rFonts w:hint="eastAsia" w:ascii="仿宋" w:hAnsi="仿宋" w:eastAsia="仿宋"/>
                <w:b/>
                <w:sz w:val="28"/>
                <w:szCs w:val="28"/>
              </w:rPr>
              <w:t>部门主要职能</w:t>
            </w:r>
          </w:p>
          <w:p>
            <w:pPr>
              <w:numPr>
                <w:ilvl w:val="0"/>
                <w:numId w:val="0"/>
              </w:numPr>
              <w:spacing w:line="500" w:lineRule="exact"/>
              <w:ind w:left="1095" w:leftChars="0"/>
              <w:jc w:val="left"/>
              <w:rPr>
                <w:rFonts w:hint="eastAsia" w:ascii="仿宋" w:hAnsi="仿宋" w:eastAsia="仿宋"/>
                <w:sz w:val="28"/>
                <w:szCs w:val="28"/>
              </w:rPr>
            </w:pPr>
            <w:r>
              <w:rPr>
                <w:rFonts w:hint="eastAsia" w:ascii="仿宋" w:hAnsi="仿宋" w:eastAsia="仿宋"/>
                <w:sz w:val="28"/>
                <w:szCs w:val="28"/>
                <w:lang w:val="en-US" w:eastAsia="zh-CN"/>
              </w:rPr>
              <w:t>1、</w:t>
            </w:r>
            <w:r>
              <w:rPr>
                <w:rFonts w:hint="eastAsia" w:ascii="仿宋" w:hAnsi="仿宋" w:eastAsia="仿宋"/>
                <w:sz w:val="28"/>
                <w:szCs w:val="28"/>
              </w:rPr>
              <w:t>负责履行有关法律、法规规定应由县级人民政府交通运输行政</w:t>
            </w:r>
            <w:r>
              <w:rPr>
                <w:rFonts w:hint="eastAsia" w:ascii="仿宋" w:hAnsi="仿宋" w:eastAsia="仿宋"/>
                <w:sz w:val="28"/>
                <w:szCs w:val="28"/>
                <w:lang w:eastAsia="zh-CN"/>
              </w:rPr>
              <w:t>主</w:t>
            </w:r>
            <w:r>
              <w:rPr>
                <w:rFonts w:hint="eastAsia" w:ascii="仿宋" w:hAnsi="仿宋" w:eastAsia="仿宋"/>
                <w:sz w:val="28"/>
                <w:szCs w:val="28"/>
              </w:rPr>
              <w:t>管部门承担的职责。</w:t>
            </w:r>
          </w:p>
          <w:p>
            <w:pPr>
              <w:numPr>
                <w:ilvl w:val="0"/>
                <w:numId w:val="0"/>
              </w:numPr>
              <w:spacing w:line="500" w:lineRule="exact"/>
              <w:ind w:left="1095" w:leftChars="0"/>
              <w:jc w:val="left"/>
              <w:rPr>
                <w:rFonts w:hint="eastAsia" w:ascii="仿宋" w:hAnsi="仿宋" w:eastAsia="仿宋"/>
                <w:sz w:val="28"/>
                <w:szCs w:val="28"/>
              </w:rPr>
            </w:pPr>
            <w:r>
              <w:rPr>
                <w:rFonts w:hint="eastAsia" w:ascii="仿宋" w:hAnsi="仿宋" w:eastAsia="仿宋"/>
                <w:sz w:val="28"/>
                <w:szCs w:val="28"/>
                <w:lang w:val="en-US" w:eastAsia="zh-CN"/>
              </w:rPr>
              <w:t>2、</w:t>
            </w:r>
            <w:r>
              <w:rPr>
                <w:rFonts w:hint="eastAsia" w:ascii="仿宋" w:hAnsi="仿宋" w:eastAsia="仿宋"/>
                <w:sz w:val="28"/>
                <w:szCs w:val="28"/>
              </w:rPr>
              <w:t>承担涉及综合运输体系的规划协调工作，会同有关部门组织编制全县综合运输体系规划，指导交通运输枢纽规划和管理；组织拟订全县公路、水路等行业规划并监督实施；参与拟订物流业发展战略和规划，拟订有关政策并监督实施；指导全县城乡客运货运及有关设施的规划和管理工作。</w:t>
            </w:r>
          </w:p>
          <w:p>
            <w:pPr>
              <w:numPr>
                <w:ilvl w:val="0"/>
                <w:numId w:val="0"/>
              </w:numPr>
              <w:spacing w:line="500" w:lineRule="exact"/>
              <w:ind w:left="1095" w:leftChars="0"/>
              <w:jc w:val="left"/>
              <w:rPr>
                <w:rFonts w:hint="eastAsia" w:ascii="仿宋" w:hAnsi="仿宋" w:eastAsia="仿宋"/>
                <w:sz w:val="28"/>
                <w:szCs w:val="28"/>
              </w:rPr>
            </w:pPr>
            <w:r>
              <w:rPr>
                <w:rFonts w:hint="eastAsia" w:ascii="仿宋" w:hAnsi="仿宋" w:eastAsia="仿宋"/>
                <w:sz w:val="28"/>
                <w:szCs w:val="28"/>
                <w:lang w:val="en-US" w:eastAsia="zh-CN"/>
              </w:rPr>
              <w:t>3、</w:t>
            </w:r>
            <w:r>
              <w:rPr>
                <w:rFonts w:hint="eastAsia" w:ascii="仿宋" w:hAnsi="仿宋" w:eastAsia="仿宋"/>
                <w:sz w:val="28"/>
                <w:szCs w:val="28"/>
              </w:rPr>
              <w:t>负责对全县道路、水路运输市场的监管工作；负责全县城市公共客运交通运输的监管工作；承担公共汽车、出租车运营的指导工作；监管城市客运市场；负责城市公交企业的行业监管。</w:t>
            </w:r>
          </w:p>
          <w:p>
            <w:pPr>
              <w:numPr>
                <w:ilvl w:val="0"/>
                <w:numId w:val="0"/>
              </w:numPr>
              <w:spacing w:line="500" w:lineRule="exact"/>
              <w:ind w:left="1095" w:leftChars="0"/>
              <w:jc w:val="left"/>
              <w:rPr>
                <w:rFonts w:hint="eastAsia" w:ascii="仿宋" w:hAnsi="仿宋" w:eastAsia="仿宋"/>
                <w:sz w:val="28"/>
                <w:szCs w:val="28"/>
              </w:rPr>
            </w:pPr>
            <w:r>
              <w:rPr>
                <w:rFonts w:hint="eastAsia" w:ascii="仿宋" w:hAnsi="仿宋" w:eastAsia="仿宋"/>
                <w:sz w:val="28"/>
                <w:szCs w:val="28"/>
                <w:lang w:val="en-US" w:eastAsia="zh-CN"/>
              </w:rPr>
              <w:t>4、</w:t>
            </w:r>
            <w:r>
              <w:rPr>
                <w:rFonts w:hint="eastAsia" w:ascii="仿宋" w:hAnsi="仿宋" w:eastAsia="仿宋"/>
                <w:sz w:val="28"/>
                <w:szCs w:val="28"/>
              </w:rPr>
              <w:t>负责对全县港口、航道及航道设施的建设、维护、管理和港航设施建设、使用岸线、通航水域内各种建筑设施建设的行业管理。</w:t>
            </w:r>
          </w:p>
          <w:p>
            <w:pPr>
              <w:numPr>
                <w:ilvl w:val="0"/>
                <w:numId w:val="0"/>
              </w:numPr>
              <w:spacing w:line="500" w:lineRule="exact"/>
              <w:ind w:left="1095" w:leftChars="0"/>
              <w:jc w:val="left"/>
              <w:rPr>
                <w:rFonts w:hint="eastAsia" w:ascii="仿宋" w:hAnsi="仿宋" w:eastAsia="仿宋"/>
                <w:sz w:val="28"/>
                <w:szCs w:val="28"/>
              </w:rPr>
            </w:pPr>
            <w:r>
              <w:rPr>
                <w:rFonts w:hint="eastAsia" w:ascii="仿宋" w:hAnsi="仿宋" w:eastAsia="仿宋"/>
                <w:sz w:val="28"/>
                <w:szCs w:val="28"/>
                <w:lang w:val="en-US" w:eastAsia="zh-CN"/>
              </w:rPr>
              <w:t>5、</w:t>
            </w:r>
            <w:r>
              <w:rPr>
                <w:rFonts w:hint="eastAsia" w:ascii="仿宋" w:hAnsi="仿宋" w:eastAsia="仿宋"/>
                <w:sz w:val="28"/>
                <w:szCs w:val="28"/>
              </w:rPr>
              <w:t>指导全县公路、水路行业有关体制改革工作；负责对全县公路、水路建设市场的监督管理。</w:t>
            </w:r>
          </w:p>
          <w:p>
            <w:pPr>
              <w:numPr>
                <w:ilvl w:val="0"/>
                <w:numId w:val="0"/>
              </w:numPr>
              <w:spacing w:line="500" w:lineRule="exact"/>
              <w:ind w:left="1120" w:hanging="1120" w:hangingChars="400"/>
              <w:jc w:val="left"/>
              <w:rPr>
                <w:rFonts w:hint="eastAsia" w:ascii="仿宋" w:hAnsi="仿宋" w:eastAsia="仿宋"/>
                <w:sz w:val="28"/>
                <w:szCs w:val="28"/>
              </w:rPr>
            </w:pPr>
            <w:r>
              <w:rPr>
                <w:rFonts w:hint="eastAsia" w:ascii="仿宋" w:hAnsi="仿宋" w:eastAsia="仿宋"/>
                <w:sz w:val="28"/>
                <w:szCs w:val="28"/>
                <w:lang w:val="en-US" w:eastAsia="zh-CN"/>
              </w:rPr>
              <w:t xml:space="preserve">        6、</w:t>
            </w:r>
            <w:r>
              <w:rPr>
                <w:rFonts w:hint="eastAsia" w:ascii="仿宋" w:hAnsi="仿宋" w:eastAsia="仿宋"/>
                <w:sz w:val="28"/>
                <w:szCs w:val="28"/>
              </w:rPr>
              <w:t>负责对全县公路、水路交通建设工程造价控制和工程质量、安全生产的监督管理。</w:t>
            </w:r>
          </w:p>
          <w:p>
            <w:pPr>
              <w:numPr>
                <w:ilvl w:val="0"/>
                <w:numId w:val="0"/>
              </w:numPr>
              <w:spacing w:line="500" w:lineRule="exact"/>
              <w:ind w:left="1095" w:leftChars="0"/>
              <w:jc w:val="left"/>
              <w:rPr>
                <w:rFonts w:hint="eastAsia" w:ascii="仿宋" w:hAnsi="仿宋" w:eastAsia="仿宋"/>
                <w:sz w:val="28"/>
                <w:szCs w:val="28"/>
              </w:rPr>
            </w:pPr>
            <w:r>
              <w:rPr>
                <w:rFonts w:hint="eastAsia" w:ascii="仿宋" w:hAnsi="仿宋" w:eastAsia="仿宋"/>
                <w:sz w:val="28"/>
                <w:szCs w:val="28"/>
                <w:lang w:val="en-US" w:eastAsia="zh-CN"/>
              </w:rPr>
              <w:t>7、</w:t>
            </w:r>
            <w:r>
              <w:rPr>
                <w:rFonts w:hint="eastAsia" w:ascii="仿宋" w:hAnsi="仿宋" w:eastAsia="仿宋"/>
                <w:sz w:val="28"/>
                <w:szCs w:val="28"/>
              </w:rPr>
              <w:t>负责对全县农村公路的建设、养护、路政及其他交通运输基础设施的监督管理；指导全县公路、水路行业安全生产和应急管理工作；负责对全县干线路网运行的监测和协调。</w:t>
            </w:r>
          </w:p>
          <w:p>
            <w:pPr>
              <w:numPr>
                <w:ilvl w:val="0"/>
                <w:numId w:val="0"/>
              </w:numPr>
              <w:spacing w:line="500" w:lineRule="exact"/>
              <w:ind w:left="1095" w:leftChars="0"/>
              <w:jc w:val="left"/>
              <w:rPr>
                <w:rFonts w:hint="eastAsia" w:ascii="仿宋" w:hAnsi="仿宋" w:eastAsia="仿宋"/>
                <w:sz w:val="28"/>
                <w:szCs w:val="28"/>
              </w:rPr>
            </w:pPr>
            <w:r>
              <w:rPr>
                <w:rFonts w:hint="eastAsia" w:ascii="仿宋" w:hAnsi="仿宋" w:eastAsia="仿宋"/>
                <w:sz w:val="28"/>
                <w:szCs w:val="28"/>
                <w:lang w:val="en-US" w:eastAsia="zh-CN"/>
              </w:rPr>
              <w:t>8、</w:t>
            </w:r>
            <w:r>
              <w:rPr>
                <w:rFonts w:hint="eastAsia" w:ascii="仿宋" w:hAnsi="仿宋" w:eastAsia="仿宋"/>
                <w:sz w:val="28"/>
                <w:szCs w:val="28"/>
              </w:rPr>
              <w:t>负责交通运输行政执法检查和监督；组织制定全县道路、水路运输有关政策和运营规范并监督实施；负责提出全县公路、水路固定资产投资规模和方向、县级财政性资金安排建议，按县人民政府规定权限审批、核准全县规划内和年度计划规模内固定资产投资项目；负责公路、桥梁、隧道的行业管理；提出有关财政、土地、价格等政策建议；组织实施或协调国家、省、市重点和大中型公路、水路交通工程建设；按规定组织协调全县重点物资和紧急客货运输。</w:t>
            </w:r>
          </w:p>
          <w:p>
            <w:pPr>
              <w:numPr>
                <w:ilvl w:val="0"/>
                <w:numId w:val="0"/>
              </w:numPr>
              <w:spacing w:line="500" w:lineRule="exact"/>
              <w:ind w:left="1095" w:leftChars="0"/>
              <w:jc w:val="left"/>
              <w:rPr>
                <w:rFonts w:hint="eastAsia" w:ascii="仿宋" w:hAnsi="仿宋" w:eastAsia="仿宋"/>
                <w:sz w:val="28"/>
                <w:szCs w:val="28"/>
              </w:rPr>
            </w:pPr>
            <w:r>
              <w:rPr>
                <w:rFonts w:hint="eastAsia" w:ascii="仿宋" w:hAnsi="仿宋" w:eastAsia="仿宋"/>
                <w:sz w:val="28"/>
                <w:szCs w:val="28"/>
                <w:lang w:val="en-US" w:eastAsia="zh-CN"/>
              </w:rPr>
              <w:t>9、</w:t>
            </w:r>
            <w:r>
              <w:rPr>
                <w:rFonts w:hint="eastAsia" w:ascii="仿宋" w:hAnsi="仿宋" w:eastAsia="仿宋"/>
                <w:sz w:val="28"/>
                <w:szCs w:val="28"/>
              </w:rPr>
              <w:t>负责全县交通运输行业科技工作；指导全县交通运输信息化建设，监测分析运行情况，开展相关统计工作，发布有关信息；指导公路、水路行业环境保护和节能减排工作；负责局属企、事业单位国有资产的监管工作。</w:t>
            </w:r>
          </w:p>
          <w:p>
            <w:pPr>
              <w:numPr>
                <w:ilvl w:val="0"/>
                <w:numId w:val="0"/>
              </w:numPr>
              <w:spacing w:line="500" w:lineRule="exact"/>
              <w:ind w:left="1120" w:hanging="1120" w:hangingChars="400"/>
              <w:jc w:val="left"/>
              <w:rPr>
                <w:rFonts w:hint="eastAsia" w:ascii="仿宋" w:hAnsi="仿宋" w:eastAsia="仿宋"/>
                <w:sz w:val="28"/>
                <w:szCs w:val="28"/>
              </w:rPr>
            </w:pPr>
            <w:r>
              <w:rPr>
                <w:rFonts w:hint="eastAsia" w:ascii="仿宋" w:hAnsi="仿宋" w:eastAsia="仿宋"/>
                <w:sz w:val="28"/>
                <w:szCs w:val="28"/>
                <w:lang w:val="en-US" w:eastAsia="zh-CN"/>
              </w:rPr>
              <w:t xml:space="preserve">       10、</w:t>
            </w:r>
            <w:r>
              <w:rPr>
                <w:rFonts w:hint="eastAsia" w:ascii="仿宋" w:hAnsi="仿宋" w:eastAsia="仿宋"/>
                <w:sz w:val="28"/>
                <w:szCs w:val="28"/>
              </w:rPr>
              <w:t>负责联系长江国家海事部门、县公路局及高速公路、铁道建设等管理部门的工作。</w:t>
            </w:r>
          </w:p>
          <w:p>
            <w:pPr>
              <w:tabs>
                <w:tab w:val="left" w:pos="7525"/>
              </w:tabs>
              <w:ind w:left="1095"/>
              <w:rPr>
                <w:rFonts w:hint="eastAsia" w:ascii="仿宋" w:hAnsi="仿宋" w:eastAsia="仿宋"/>
                <w:b/>
                <w:sz w:val="28"/>
                <w:szCs w:val="28"/>
              </w:rPr>
            </w:pPr>
            <w:r>
              <w:rPr>
                <w:rFonts w:hint="eastAsia" w:ascii="仿宋" w:hAnsi="仿宋" w:eastAsia="仿宋"/>
                <w:b/>
                <w:sz w:val="28"/>
                <w:szCs w:val="28"/>
              </w:rPr>
              <w:t>（</w:t>
            </w:r>
            <w:r>
              <w:rPr>
                <w:rFonts w:hint="eastAsia" w:ascii="仿宋" w:hAnsi="仿宋" w:eastAsia="仿宋"/>
                <w:b/>
                <w:sz w:val="28"/>
                <w:szCs w:val="28"/>
                <w:lang w:eastAsia="zh-CN"/>
              </w:rPr>
              <w:t>三</w:t>
            </w:r>
            <w:r>
              <w:rPr>
                <w:rFonts w:hint="eastAsia" w:ascii="仿宋" w:hAnsi="仿宋" w:eastAsia="仿宋"/>
                <w:b/>
                <w:sz w:val="28"/>
                <w:szCs w:val="28"/>
              </w:rPr>
              <w:t>）部门整体收支情况</w:t>
            </w:r>
          </w:p>
          <w:p>
            <w:pPr>
              <w:tabs>
                <w:tab w:val="left" w:pos="7525"/>
              </w:tabs>
              <w:ind w:left="1095"/>
              <w:rPr>
                <w:rFonts w:hint="eastAsia" w:ascii="仿宋" w:hAnsi="仿宋" w:eastAsia="仿宋"/>
                <w:b/>
                <w:sz w:val="28"/>
                <w:szCs w:val="28"/>
              </w:rPr>
            </w:pPr>
            <w:r>
              <w:rPr>
                <w:rFonts w:hint="eastAsia" w:ascii="仿宋" w:hAnsi="仿宋" w:eastAsia="仿宋"/>
                <w:b/>
                <w:sz w:val="28"/>
                <w:szCs w:val="28"/>
              </w:rPr>
              <w:t xml:space="preserve"> 1、部门整体收支情况：</w:t>
            </w:r>
          </w:p>
          <w:p>
            <w:pPr>
              <w:tabs>
                <w:tab w:val="left" w:pos="7525"/>
              </w:tabs>
              <w:ind w:left="1095"/>
              <w:rPr>
                <w:rFonts w:hint="eastAsia" w:ascii="仿宋" w:hAnsi="仿宋" w:eastAsia="仿宋"/>
                <w:sz w:val="28"/>
                <w:szCs w:val="28"/>
              </w:rPr>
            </w:pPr>
            <w:r>
              <w:rPr>
                <w:rFonts w:hint="eastAsia" w:ascii="仿宋" w:hAnsi="仿宋" w:eastAsia="仿宋"/>
                <w:sz w:val="28"/>
                <w:szCs w:val="28"/>
              </w:rPr>
              <w:t>（1）收入情况：全年收入</w:t>
            </w:r>
            <w:r>
              <w:rPr>
                <w:rFonts w:hint="eastAsia" w:ascii="仿宋" w:hAnsi="仿宋" w:eastAsia="仿宋"/>
                <w:sz w:val="28"/>
                <w:szCs w:val="28"/>
                <w:lang w:val="en-US" w:eastAsia="zh-CN"/>
              </w:rPr>
              <w:t>1986.81</w:t>
            </w:r>
            <w:r>
              <w:rPr>
                <w:rFonts w:hint="eastAsia" w:ascii="仿宋" w:hAnsi="仿宋" w:eastAsia="仿宋"/>
                <w:sz w:val="28"/>
                <w:szCs w:val="28"/>
              </w:rPr>
              <w:t>万元，其中：财政拨款收入</w:t>
            </w:r>
            <w:r>
              <w:rPr>
                <w:rFonts w:hint="eastAsia" w:ascii="仿宋" w:hAnsi="仿宋" w:eastAsia="仿宋" w:cs="仿宋"/>
                <w:color w:val="000000"/>
                <w:sz w:val="28"/>
                <w:szCs w:val="28"/>
                <w:lang w:val="en-US" w:eastAsia="zh-CN"/>
              </w:rPr>
              <w:t>1588.89</w:t>
            </w:r>
            <w:r>
              <w:rPr>
                <w:rFonts w:hint="eastAsia" w:ascii="仿宋" w:hAnsi="仿宋" w:eastAsia="仿宋"/>
                <w:sz w:val="28"/>
                <w:szCs w:val="28"/>
              </w:rPr>
              <w:t>万元，其他收入</w:t>
            </w:r>
            <w:r>
              <w:rPr>
                <w:rFonts w:hint="eastAsia" w:ascii="仿宋" w:hAnsi="仿宋" w:eastAsia="仿宋"/>
                <w:sz w:val="28"/>
                <w:szCs w:val="28"/>
                <w:lang w:val="en-US" w:eastAsia="zh-CN"/>
              </w:rPr>
              <w:t>397.92</w:t>
            </w:r>
            <w:r>
              <w:rPr>
                <w:rFonts w:hint="eastAsia" w:ascii="仿宋" w:hAnsi="仿宋" w:eastAsia="仿宋"/>
                <w:sz w:val="28"/>
                <w:szCs w:val="28"/>
              </w:rPr>
              <w:t>万元。</w:t>
            </w:r>
          </w:p>
          <w:p>
            <w:pPr>
              <w:tabs>
                <w:tab w:val="left" w:pos="7525"/>
              </w:tabs>
              <w:ind w:left="1095"/>
              <w:rPr>
                <w:rFonts w:hint="eastAsia" w:ascii="仿宋" w:hAnsi="仿宋" w:eastAsia="仿宋"/>
                <w:sz w:val="28"/>
                <w:szCs w:val="28"/>
                <w:lang w:val="en-US" w:eastAsia="zh-CN"/>
              </w:rPr>
            </w:pPr>
            <w:r>
              <w:rPr>
                <w:rFonts w:hint="eastAsia" w:ascii="仿宋" w:hAnsi="仿宋" w:eastAsia="仿宋"/>
                <w:sz w:val="28"/>
                <w:szCs w:val="28"/>
              </w:rPr>
              <w:t>（2）支出情况:全年支出</w:t>
            </w:r>
            <w:r>
              <w:rPr>
                <w:rFonts w:hint="eastAsia" w:ascii="仿宋_GB2312" w:hAnsi="仿宋_GB2312" w:eastAsia="仿宋_GB2312" w:cs="仿宋_GB2312"/>
                <w:color w:val="000000"/>
                <w:sz w:val="28"/>
                <w:szCs w:val="28"/>
                <w:lang w:val="en-US" w:eastAsia="zh-CN"/>
              </w:rPr>
              <w:t>2339.16</w:t>
            </w:r>
            <w:r>
              <w:rPr>
                <w:rFonts w:hint="eastAsia" w:ascii="仿宋" w:hAnsi="仿宋" w:eastAsia="仿宋"/>
                <w:sz w:val="28"/>
                <w:szCs w:val="28"/>
              </w:rPr>
              <w:t>万元，其中：基本支出</w:t>
            </w:r>
            <w:r>
              <w:rPr>
                <w:rFonts w:hint="eastAsia" w:ascii="仿宋" w:hAnsi="仿宋" w:eastAsia="仿宋"/>
                <w:sz w:val="28"/>
                <w:szCs w:val="28"/>
                <w:lang w:val="en-US" w:eastAsia="zh-CN"/>
              </w:rPr>
              <w:t>605.57</w:t>
            </w:r>
            <w:r>
              <w:rPr>
                <w:rFonts w:hint="eastAsia" w:ascii="仿宋" w:hAnsi="仿宋" w:eastAsia="仿宋"/>
                <w:sz w:val="28"/>
                <w:szCs w:val="28"/>
              </w:rPr>
              <w:t>万元，（人员经费</w:t>
            </w:r>
            <w:r>
              <w:rPr>
                <w:rFonts w:hint="eastAsia" w:ascii="仿宋" w:hAnsi="仿宋" w:eastAsia="仿宋"/>
                <w:sz w:val="28"/>
                <w:szCs w:val="28"/>
                <w:lang w:val="en-US" w:eastAsia="zh-CN"/>
              </w:rPr>
              <w:t>338.94</w:t>
            </w:r>
            <w:r>
              <w:rPr>
                <w:rFonts w:hint="eastAsia" w:ascii="仿宋" w:hAnsi="仿宋" w:eastAsia="仿宋"/>
                <w:sz w:val="28"/>
                <w:szCs w:val="28"/>
              </w:rPr>
              <w:t>万元，日常公用经费</w:t>
            </w:r>
            <w:r>
              <w:rPr>
                <w:rFonts w:hint="eastAsia" w:ascii="仿宋" w:hAnsi="仿宋" w:eastAsia="仿宋"/>
                <w:sz w:val="28"/>
                <w:szCs w:val="28"/>
                <w:lang w:val="en-US" w:eastAsia="zh-CN"/>
              </w:rPr>
              <w:t>266.63</w:t>
            </w:r>
            <w:r>
              <w:rPr>
                <w:rFonts w:hint="eastAsia" w:ascii="仿宋" w:hAnsi="仿宋" w:eastAsia="仿宋"/>
                <w:sz w:val="28"/>
                <w:szCs w:val="28"/>
              </w:rPr>
              <w:t>万元），项目支出</w:t>
            </w:r>
            <w:r>
              <w:rPr>
                <w:rFonts w:hint="eastAsia" w:ascii="仿宋" w:hAnsi="仿宋" w:eastAsia="仿宋"/>
                <w:sz w:val="28"/>
                <w:szCs w:val="28"/>
                <w:lang w:val="en-US" w:eastAsia="zh-CN"/>
              </w:rPr>
              <w:t>1733.59</w:t>
            </w:r>
            <w:r>
              <w:rPr>
                <w:rFonts w:hint="eastAsia" w:ascii="仿宋" w:hAnsi="仿宋" w:eastAsia="仿宋"/>
                <w:sz w:val="28"/>
                <w:szCs w:val="28"/>
              </w:rPr>
              <w:t>万元，（拨出经费</w:t>
            </w:r>
            <w:r>
              <w:rPr>
                <w:rFonts w:hint="eastAsia" w:ascii="仿宋" w:hAnsi="仿宋" w:eastAsia="仿宋"/>
                <w:sz w:val="28"/>
                <w:szCs w:val="28"/>
                <w:lang w:val="en-US" w:eastAsia="zh-CN"/>
              </w:rPr>
              <w:t>1482.63</w:t>
            </w:r>
            <w:r>
              <w:rPr>
                <w:rFonts w:hint="eastAsia" w:ascii="仿宋" w:hAnsi="仿宋" w:eastAsia="仿宋"/>
                <w:sz w:val="28"/>
                <w:szCs w:val="28"/>
              </w:rPr>
              <w:t>万元，项目支出</w:t>
            </w:r>
            <w:r>
              <w:rPr>
                <w:rFonts w:hint="eastAsia" w:ascii="仿宋" w:hAnsi="仿宋" w:eastAsia="仿宋"/>
                <w:sz w:val="28"/>
                <w:szCs w:val="28"/>
                <w:lang w:val="en-US" w:eastAsia="zh-CN"/>
              </w:rPr>
              <w:t>250.96</w:t>
            </w:r>
            <w:r>
              <w:rPr>
                <w:rFonts w:hint="eastAsia" w:ascii="仿宋" w:hAnsi="仿宋" w:eastAsia="仿宋"/>
                <w:sz w:val="28"/>
                <w:szCs w:val="28"/>
              </w:rPr>
              <w:t>万元），</w:t>
            </w:r>
            <w:r>
              <w:rPr>
                <w:rFonts w:hint="eastAsia" w:ascii="仿宋" w:hAnsi="仿宋" w:eastAsia="仿宋"/>
                <w:sz w:val="28"/>
                <w:szCs w:val="28"/>
                <w:lang w:eastAsia="zh-CN"/>
              </w:rPr>
              <w:t>本年结余</w:t>
            </w:r>
            <w:r>
              <w:rPr>
                <w:rFonts w:hint="eastAsia" w:ascii="仿宋" w:hAnsi="仿宋" w:eastAsia="仿宋"/>
                <w:sz w:val="28"/>
                <w:szCs w:val="28"/>
                <w:lang w:val="en-US" w:eastAsia="zh-CN"/>
              </w:rPr>
              <w:t>-352.35万元，</w:t>
            </w:r>
            <w:r>
              <w:rPr>
                <w:rFonts w:hint="eastAsia" w:ascii="仿宋" w:hAnsi="仿宋" w:eastAsia="仿宋"/>
                <w:sz w:val="28"/>
                <w:szCs w:val="28"/>
                <w:lang w:eastAsia="zh-CN"/>
              </w:rPr>
              <w:t>累计</w:t>
            </w:r>
            <w:r>
              <w:rPr>
                <w:rFonts w:hint="eastAsia" w:ascii="仿宋" w:hAnsi="仿宋" w:eastAsia="仿宋"/>
                <w:sz w:val="28"/>
                <w:szCs w:val="28"/>
              </w:rPr>
              <w:t>结余</w:t>
            </w:r>
            <w:r>
              <w:rPr>
                <w:rFonts w:hint="eastAsia" w:ascii="仿宋" w:hAnsi="仿宋" w:eastAsia="仿宋"/>
                <w:sz w:val="28"/>
                <w:szCs w:val="28"/>
                <w:lang w:val="en-US" w:eastAsia="zh-CN"/>
              </w:rPr>
              <w:t>-166.86</w:t>
            </w:r>
            <w:r>
              <w:rPr>
                <w:rFonts w:hint="eastAsia" w:ascii="仿宋" w:hAnsi="仿宋" w:eastAsia="仿宋"/>
                <w:sz w:val="28"/>
                <w:szCs w:val="28"/>
              </w:rPr>
              <w:t>万元。明细情况如下：</w:t>
            </w:r>
            <w:r>
              <w:rPr>
                <w:rFonts w:hint="eastAsia" w:ascii="仿宋" w:hAnsi="仿宋" w:eastAsia="仿宋"/>
                <w:sz w:val="28"/>
                <w:szCs w:val="28"/>
                <w:lang w:val="en-US" w:eastAsia="zh-CN"/>
              </w:rPr>
              <w:t xml:space="preserve"> </w:t>
            </w:r>
          </w:p>
          <w:p>
            <w:pPr>
              <w:tabs>
                <w:tab w:val="left" w:pos="7525"/>
              </w:tabs>
              <w:ind w:left="1095"/>
              <w:rPr>
                <w:rFonts w:hint="eastAsia" w:ascii="仿宋" w:hAnsi="仿宋" w:eastAsia="仿宋" w:cs="仿宋"/>
                <w:sz w:val="28"/>
                <w:szCs w:val="28"/>
              </w:rPr>
            </w:pPr>
            <w:r>
              <w:rPr>
                <w:rFonts w:hint="eastAsia" w:ascii="仿宋" w:hAnsi="仿宋" w:eastAsia="仿宋" w:cs="仿宋"/>
                <w:sz w:val="28"/>
                <w:szCs w:val="28"/>
              </w:rPr>
              <w:t xml:space="preserve">               部门整体支出情况表</w:t>
            </w:r>
          </w:p>
          <w:p>
            <w:pPr>
              <w:tabs>
                <w:tab w:val="left" w:pos="7525"/>
              </w:tabs>
              <w:ind w:left="1095"/>
              <w:rPr>
                <w:rFonts w:hint="eastAsia" w:ascii="仿宋" w:hAnsi="仿宋" w:eastAsia="仿宋" w:cs="仿宋"/>
                <w:sz w:val="28"/>
                <w:szCs w:val="28"/>
              </w:rPr>
            </w:pPr>
            <w:r>
              <w:rPr>
                <w:rFonts w:hint="eastAsia" w:ascii="仿宋" w:hAnsi="仿宋" w:eastAsia="仿宋" w:cs="仿宋"/>
                <w:sz w:val="28"/>
                <w:szCs w:val="28"/>
              </w:rPr>
              <w:t xml:space="preserve">                                         单位：万元</w:t>
            </w:r>
          </w:p>
          <w:tbl>
            <w:tblPr>
              <w:tblStyle w:val="5"/>
              <w:tblW w:w="97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74"/>
              <w:gridCol w:w="2163"/>
              <w:gridCol w:w="2163"/>
              <w:gridCol w:w="2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74" w:type="dxa"/>
                  <w:vMerge w:val="restart"/>
                  <w:vAlign w:val="top"/>
                </w:tcPr>
                <w:p>
                  <w:pPr>
                    <w:tabs>
                      <w:tab w:val="left" w:pos="7525"/>
                    </w:tabs>
                    <w:ind w:firstLine="280" w:firstLineChars="100"/>
                    <w:rPr>
                      <w:rFonts w:hint="eastAsia" w:ascii="仿宋" w:hAnsi="仿宋" w:eastAsia="仿宋" w:cs="仿宋"/>
                      <w:sz w:val="28"/>
                      <w:szCs w:val="28"/>
                    </w:rPr>
                  </w:pPr>
                  <w:r>
                    <w:rPr>
                      <w:rFonts w:hint="eastAsia" w:ascii="仿宋" w:hAnsi="仿宋" w:eastAsia="仿宋" w:cs="仿宋"/>
                      <w:sz w:val="28"/>
                      <w:szCs w:val="28"/>
                    </w:rPr>
                    <w:t>科目名称</w:t>
                  </w:r>
                </w:p>
              </w:tc>
              <w:tc>
                <w:tcPr>
                  <w:tcW w:w="4326" w:type="dxa"/>
                  <w:gridSpan w:val="2"/>
                  <w:vAlign w:val="top"/>
                </w:tcPr>
                <w:p>
                  <w:pPr>
                    <w:tabs>
                      <w:tab w:val="left" w:pos="7525"/>
                    </w:tabs>
                    <w:ind w:firstLine="1260" w:firstLineChars="450"/>
                    <w:rPr>
                      <w:rFonts w:hint="eastAsia" w:ascii="仿宋" w:hAnsi="仿宋" w:eastAsia="仿宋" w:cs="仿宋"/>
                      <w:sz w:val="28"/>
                      <w:szCs w:val="28"/>
                    </w:rPr>
                  </w:pPr>
                  <w:r>
                    <w:rPr>
                      <w:rFonts w:hint="eastAsia" w:ascii="仿宋" w:hAnsi="仿宋" w:eastAsia="仿宋" w:cs="仿宋"/>
                      <w:sz w:val="28"/>
                      <w:szCs w:val="28"/>
                    </w:rPr>
                    <w:t>基本支出</w:t>
                  </w:r>
                </w:p>
              </w:tc>
              <w:tc>
                <w:tcPr>
                  <w:tcW w:w="2560" w:type="dxa"/>
                  <w:vMerge w:val="restart"/>
                  <w:vAlign w:val="top"/>
                </w:tcPr>
                <w:p>
                  <w:pPr>
                    <w:tabs>
                      <w:tab w:val="left" w:pos="7525"/>
                    </w:tabs>
                    <w:ind w:left="281" w:leftChars="134"/>
                    <w:rPr>
                      <w:rFonts w:hint="eastAsia" w:ascii="仿宋" w:hAnsi="仿宋" w:eastAsia="仿宋" w:cs="仿宋"/>
                      <w:sz w:val="28"/>
                      <w:szCs w:val="28"/>
                    </w:rPr>
                  </w:pPr>
                  <w:r>
                    <w:rPr>
                      <w:rFonts w:hint="eastAsia" w:ascii="仿宋" w:hAnsi="仿宋" w:eastAsia="仿宋" w:cs="仿宋"/>
                      <w:sz w:val="28"/>
                      <w:szCs w:val="28"/>
                    </w:rPr>
                    <w:t>项目支出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74" w:type="dxa"/>
                  <w:vMerge w:val="continue"/>
                  <w:vAlign w:val="top"/>
                </w:tcPr>
                <w:p>
                  <w:pPr>
                    <w:tabs>
                      <w:tab w:val="left" w:pos="7525"/>
                    </w:tabs>
                    <w:rPr>
                      <w:rFonts w:hint="eastAsia" w:ascii="仿宋" w:hAnsi="仿宋" w:eastAsia="仿宋" w:cs="仿宋"/>
                      <w:sz w:val="28"/>
                      <w:szCs w:val="28"/>
                    </w:rPr>
                  </w:pPr>
                </w:p>
              </w:tc>
              <w:tc>
                <w:tcPr>
                  <w:tcW w:w="2163" w:type="dxa"/>
                  <w:vAlign w:val="top"/>
                </w:tcPr>
                <w:p>
                  <w:pPr>
                    <w:tabs>
                      <w:tab w:val="left" w:pos="7525"/>
                    </w:tabs>
                    <w:rPr>
                      <w:rFonts w:hint="eastAsia" w:ascii="仿宋" w:hAnsi="仿宋" w:eastAsia="仿宋" w:cs="仿宋"/>
                      <w:sz w:val="28"/>
                      <w:szCs w:val="28"/>
                    </w:rPr>
                  </w:pPr>
                  <w:r>
                    <w:rPr>
                      <w:rFonts w:hint="eastAsia" w:ascii="仿宋" w:hAnsi="仿宋" w:eastAsia="仿宋" w:cs="仿宋"/>
                      <w:sz w:val="28"/>
                      <w:szCs w:val="28"/>
                    </w:rPr>
                    <w:t>人员经费</w:t>
                  </w:r>
                </w:p>
              </w:tc>
              <w:tc>
                <w:tcPr>
                  <w:tcW w:w="2163" w:type="dxa"/>
                  <w:vAlign w:val="top"/>
                </w:tcPr>
                <w:p>
                  <w:pPr>
                    <w:tabs>
                      <w:tab w:val="left" w:pos="7525"/>
                    </w:tabs>
                    <w:rPr>
                      <w:rFonts w:hint="eastAsia" w:ascii="仿宋" w:hAnsi="仿宋" w:eastAsia="仿宋" w:cs="仿宋"/>
                      <w:sz w:val="28"/>
                      <w:szCs w:val="28"/>
                    </w:rPr>
                  </w:pPr>
                  <w:r>
                    <w:rPr>
                      <w:rFonts w:hint="eastAsia" w:ascii="仿宋" w:hAnsi="仿宋" w:eastAsia="仿宋" w:cs="仿宋"/>
                      <w:sz w:val="28"/>
                      <w:szCs w:val="28"/>
                    </w:rPr>
                    <w:t>日常公用经费</w:t>
                  </w:r>
                </w:p>
              </w:tc>
              <w:tc>
                <w:tcPr>
                  <w:tcW w:w="2560" w:type="dxa"/>
                  <w:vMerge w:val="continue"/>
                  <w:vAlign w:val="top"/>
                </w:tcPr>
                <w:p>
                  <w:pPr>
                    <w:tabs>
                      <w:tab w:val="left" w:pos="7525"/>
                    </w:tabs>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74" w:type="dxa"/>
                  <w:vAlign w:val="top"/>
                </w:tcPr>
                <w:p>
                  <w:pPr>
                    <w:tabs>
                      <w:tab w:val="left" w:pos="7525"/>
                    </w:tabs>
                    <w:rPr>
                      <w:rFonts w:hint="eastAsia" w:ascii="仿宋" w:hAnsi="仿宋" w:eastAsia="仿宋" w:cs="仿宋"/>
                      <w:sz w:val="28"/>
                      <w:szCs w:val="28"/>
                    </w:rPr>
                  </w:pPr>
                  <w:r>
                    <w:rPr>
                      <w:rFonts w:hint="eastAsia" w:ascii="仿宋" w:hAnsi="仿宋" w:eastAsia="仿宋" w:cs="仿宋"/>
                      <w:sz w:val="28"/>
                      <w:szCs w:val="28"/>
                    </w:rPr>
                    <w:t>工资福利支出</w:t>
                  </w:r>
                </w:p>
              </w:tc>
              <w:tc>
                <w:tcPr>
                  <w:tcW w:w="2163" w:type="dxa"/>
                  <w:vAlign w:val="top"/>
                </w:tcPr>
                <w:p>
                  <w:pPr>
                    <w:tabs>
                      <w:tab w:val="left" w:pos="7525"/>
                    </w:tabs>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311.65</w:t>
                  </w:r>
                </w:p>
              </w:tc>
              <w:tc>
                <w:tcPr>
                  <w:tcW w:w="2163" w:type="dxa"/>
                  <w:vAlign w:val="top"/>
                </w:tcPr>
                <w:p>
                  <w:pPr>
                    <w:tabs>
                      <w:tab w:val="left" w:pos="7525"/>
                    </w:tabs>
                    <w:jc w:val="center"/>
                    <w:rPr>
                      <w:rFonts w:hint="eastAsia" w:ascii="仿宋" w:hAnsi="仿宋" w:eastAsia="仿宋" w:cs="仿宋"/>
                      <w:sz w:val="28"/>
                      <w:szCs w:val="28"/>
                      <w:lang w:val="en-US" w:eastAsia="zh-CN"/>
                    </w:rPr>
                  </w:pPr>
                </w:p>
              </w:tc>
              <w:tc>
                <w:tcPr>
                  <w:tcW w:w="2560" w:type="dxa"/>
                  <w:vAlign w:val="top"/>
                </w:tcPr>
                <w:p>
                  <w:pPr>
                    <w:tabs>
                      <w:tab w:val="left" w:pos="7525"/>
                    </w:tabs>
                    <w:jc w:val="cente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74" w:type="dxa"/>
                  <w:vAlign w:val="top"/>
                </w:tcPr>
                <w:p>
                  <w:pPr>
                    <w:tabs>
                      <w:tab w:val="left" w:pos="7525"/>
                    </w:tabs>
                    <w:rPr>
                      <w:rFonts w:hint="eastAsia" w:ascii="仿宋" w:hAnsi="仿宋" w:eastAsia="仿宋" w:cs="仿宋"/>
                      <w:sz w:val="28"/>
                      <w:szCs w:val="28"/>
                    </w:rPr>
                  </w:pPr>
                  <w:r>
                    <w:rPr>
                      <w:rFonts w:hint="eastAsia" w:ascii="仿宋" w:hAnsi="仿宋" w:eastAsia="仿宋" w:cs="仿宋"/>
                      <w:sz w:val="28"/>
                      <w:szCs w:val="28"/>
                    </w:rPr>
                    <w:t>商品和服务支出</w:t>
                  </w:r>
                </w:p>
              </w:tc>
              <w:tc>
                <w:tcPr>
                  <w:tcW w:w="2163" w:type="dxa"/>
                  <w:vAlign w:val="top"/>
                </w:tcPr>
                <w:p>
                  <w:pPr>
                    <w:tabs>
                      <w:tab w:val="left" w:pos="7525"/>
                    </w:tabs>
                    <w:jc w:val="center"/>
                    <w:rPr>
                      <w:rFonts w:hint="eastAsia" w:ascii="仿宋" w:hAnsi="仿宋" w:eastAsia="仿宋" w:cs="仿宋"/>
                      <w:sz w:val="28"/>
                      <w:szCs w:val="28"/>
                    </w:rPr>
                  </w:pPr>
                </w:p>
              </w:tc>
              <w:tc>
                <w:tcPr>
                  <w:tcW w:w="2163" w:type="dxa"/>
                  <w:vAlign w:val="top"/>
                </w:tcPr>
                <w:p>
                  <w:pPr>
                    <w:tabs>
                      <w:tab w:val="left" w:pos="7525"/>
                    </w:tabs>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257.02</w:t>
                  </w:r>
                </w:p>
              </w:tc>
              <w:tc>
                <w:tcPr>
                  <w:tcW w:w="2560" w:type="dxa"/>
                  <w:vAlign w:val="top"/>
                </w:tcPr>
                <w:p>
                  <w:pPr>
                    <w:tabs>
                      <w:tab w:val="left" w:pos="7525"/>
                    </w:tabs>
                    <w:jc w:val="cente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74" w:type="dxa"/>
                  <w:vAlign w:val="top"/>
                </w:tcPr>
                <w:p>
                  <w:pPr>
                    <w:tabs>
                      <w:tab w:val="left" w:pos="7525"/>
                    </w:tabs>
                    <w:rPr>
                      <w:rFonts w:hint="eastAsia" w:ascii="仿宋" w:hAnsi="仿宋" w:eastAsia="仿宋" w:cs="仿宋"/>
                      <w:sz w:val="28"/>
                      <w:szCs w:val="28"/>
                    </w:rPr>
                  </w:pPr>
                  <w:r>
                    <w:rPr>
                      <w:rFonts w:hint="eastAsia" w:ascii="仿宋" w:hAnsi="仿宋" w:eastAsia="仿宋" w:cs="仿宋"/>
                      <w:sz w:val="28"/>
                      <w:szCs w:val="28"/>
                    </w:rPr>
                    <w:t>对个人和家庭的补助</w:t>
                  </w:r>
                </w:p>
              </w:tc>
              <w:tc>
                <w:tcPr>
                  <w:tcW w:w="2163" w:type="dxa"/>
                  <w:vAlign w:val="top"/>
                </w:tcPr>
                <w:p>
                  <w:pPr>
                    <w:tabs>
                      <w:tab w:val="left" w:pos="7525"/>
                    </w:tabs>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27.29</w:t>
                  </w:r>
                </w:p>
              </w:tc>
              <w:tc>
                <w:tcPr>
                  <w:tcW w:w="2163" w:type="dxa"/>
                  <w:vAlign w:val="top"/>
                </w:tcPr>
                <w:p>
                  <w:pPr>
                    <w:tabs>
                      <w:tab w:val="left" w:pos="7525"/>
                    </w:tabs>
                    <w:jc w:val="center"/>
                    <w:rPr>
                      <w:rFonts w:hint="eastAsia" w:ascii="仿宋" w:hAnsi="仿宋" w:eastAsia="仿宋" w:cs="仿宋"/>
                      <w:sz w:val="28"/>
                      <w:szCs w:val="28"/>
                    </w:rPr>
                  </w:pPr>
                </w:p>
              </w:tc>
              <w:tc>
                <w:tcPr>
                  <w:tcW w:w="2560" w:type="dxa"/>
                  <w:tcBorders>
                    <w:right w:val="single" w:color="auto" w:sz="4" w:space="0"/>
                  </w:tcBorders>
                  <w:vAlign w:val="top"/>
                </w:tcPr>
                <w:p>
                  <w:pPr>
                    <w:tabs>
                      <w:tab w:val="left" w:pos="7525"/>
                    </w:tabs>
                    <w:jc w:val="cente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74" w:type="dxa"/>
                  <w:vAlign w:val="top"/>
                </w:tcPr>
                <w:p>
                  <w:pPr>
                    <w:tabs>
                      <w:tab w:val="left" w:pos="7525"/>
                    </w:tabs>
                    <w:rPr>
                      <w:rFonts w:hint="eastAsia" w:ascii="仿宋" w:hAnsi="仿宋" w:eastAsia="仿宋" w:cs="仿宋"/>
                      <w:sz w:val="28"/>
                      <w:szCs w:val="28"/>
                      <w:lang w:eastAsia="zh-CN"/>
                    </w:rPr>
                  </w:pPr>
                  <w:r>
                    <w:rPr>
                      <w:rFonts w:hint="eastAsia" w:ascii="仿宋" w:hAnsi="仿宋" w:eastAsia="仿宋" w:cs="仿宋"/>
                      <w:sz w:val="28"/>
                      <w:szCs w:val="28"/>
                      <w:lang w:eastAsia="zh-CN"/>
                    </w:rPr>
                    <w:t>其他支出</w:t>
                  </w:r>
                </w:p>
              </w:tc>
              <w:tc>
                <w:tcPr>
                  <w:tcW w:w="2163" w:type="dxa"/>
                  <w:vAlign w:val="top"/>
                </w:tcPr>
                <w:p>
                  <w:pPr>
                    <w:tabs>
                      <w:tab w:val="left" w:pos="7525"/>
                    </w:tabs>
                    <w:jc w:val="center"/>
                    <w:rPr>
                      <w:rFonts w:hint="eastAsia" w:ascii="仿宋" w:hAnsi="仿宋" w:eastAsia="仿宋" w:cs="仿宋"/>
                      <w:sz w:val="28"/>
                      <w:szCs w:val="28"/>
                    </w:rPr>
                  </w:pPr>
                </w:p>
              </w:tc>
              <w:tc>
                <w:tcPr>
                  <w:tcW w:w="2163" w:type="dxa"/>
                  <w:vAlign w:val="top"/>
                </w:tcPr>
                <w:p>
                  <w:pPr>
                    <w:tabs>
                      <w:tab w:val="left" w:pos="7525"/>
                    </w:tabs>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9.61</w:t>
                  </w:r>
                </w:p>
              </w:tc>
              <w:tc>
                <w:tcPr>
                  <w:tcW w:w="2560" w:type="dxa"/>
                  <w:tcBorders>
                    <w:right w:val="single" w:color="auto" w:sz="4" w:space="0"/>
                  </w:tcBorders>
                  <w:vAlign w:val="top"/>
                </w:tcPr>
                <w:p>
                  <w:pPr>
                    <w:tabs>
                      <w:tab w:val="left" w:pos="7525"/>
                    </w:tabs>
                    <w:jc w:val="center"/>
                    <w:rPr>
                      <w:rFonts w:hint="eastAsia" w:ascii="仿宋" w:hAnsi="仿宋" w:eastAsia="仿宋" w:cs="仿宋"/>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74" w:type="dxa"/>
                  <w:vAlign w:val="top"/>
                </w:tcPr>
                <w:p>
                  <w:pPr>
                    <w:tabs>
                      <w:tab w:val="left" w:pos="7525"/>
                    </w:tabs>
                    <w:rPr>
                      <w:rFonts w:hint="eastAsia" w:ascii="仿宋" w:hAnsi="仿宋" w:eastAsia="仿宋" w:cs="仿宋"/>
                      <w:sz w:val="28"/>
                      <w:szCs w:val="28"/>
                    </w:rPr>
                  </w:pPr>
                  <w:r>
                    <w:rPr>
                      <w:rFonts w:hint="eastAsia" w:ascii="仿宋" w:hAnsi="仿宋" w:eastAsia="仿宋" w:cs="仿宋"/>
                      <w:sz w:val="28"/>
                      <w:szCs w:val="28"/>
                    </w:rPr>
                    <w:t>其他资本性支出</w:t>
                  </w:r>
                </w:p>
              </w:tc>
              <w:tc>
                <w:tcPr>
                  <w:tcW w:w="2163" w:type="dxa"/>
                  <w:vAlign w:val="top"/>
                </w:tcPr>
                <w:p>
                  <w:pPr>
                    <w:tabs>
                      <w:tab w:val="left" w:pos="7525"/>
                    </w:tabs>
                    <w:jc w:val="center"/>
                    <w:rPr>
                      <w:rFonts w:hint="eastAsia" w:ascii="仿宋" w:hAnsi="仿宋" w:eastAsia="仿宋" w:cs="仿宋"/>
                      <w:sz w:val="28"/>
                      <w:szCs w:val="28"/>
                    </w:rPr>
                  </w:pPr>
                </w:p>
              </w:tc>
              <w:tc>
                <w:tcPr>
                  <w:tcW w:w="2163" w:type="dxa"/>
                  <w:vAlign w:val="top"/>
                </w:tcPr>
                <w:p>
                  <w:pPr>
                    <w:tabs>
                      <w:tab w:val="left" w:pos="7525"/>
                    </w:tabs>
                    <w:jc w:val="center"/>
                    <w:rPr>
                      <w:rFonts w:hint="eastAsia" w:ascii="仿宋" w:hAnsi="仿宋" w:eastAsia="仿宋" w:cs="仿宋"/>
                      <w:sz w:val="28"/>
                      <w:szCs w:val="28"/>
                    </w:rPr>
                  </w:pPr>
                </w:p>
              </w:tc>
              <w:tc>
                <w:tcPr>
                  <w:tcW w:w="2560" w:type="dxa"/>
                  <w:tcBorders>
                    <w:right w:val="single" w:color="auto" w:sz="4" w:space="0"/>
                  </w:tcBorders>
                  <w:vAlign w:val="top"/>
                </w:tcPr>
                <w:p>
                  <w:pPr>
                    <w:tabs>
                      <w:tab w:val="left" w:pos="7525"/>
                    </w:tabs>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250.96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9" w:hRule="atLeast"/>
              </w:trPr>
              <w:tc>
                <w:tcPr>
                  <w:tcW w:w="2874" w:type="dxa"/>
                  <w:vAlign w:val="top"/>
                </w:tcPr>
                <w:p>
                  <w:pPr>
                    <w:tabs>
                      <w:tab w:val="left" w:pos="7525"/>
                    </w:tabs>
                    <w:rPr>
                      <w:rFonts w:hint="eastAsia" w:ascii="仿宋" w:hAnsi="仿宋" w:eastAsia="仿宋" w:cs="仿宋"/>
                      <w:sz w:val="28"/>
                      <w:szCs w:val="28"/>
                    </w:rPr>
                  </w:pPr>
                  <w:r>
                    <w:rPr>
                      <w:rFonts w:hint="eastAsia" w:ascii="仿宋" w:hAnsi="仿宋" w:eastAsia="仿宋" w:cs="仿宋"/>
                      <w:sz w:val="28"/>
                      <w:szCs w:val="28"/>
                    </w:rPr>
                    <w:t>拨出经费</w:t>
                  </w:r>
                </w:p>
              </w:tc>
              <w:tc>
                <w:tcPr>
                  <w:tcW w:w="2163" w:type="dxa"/>
                  <w:vAlign w:val="top"/>
                </w:tcPr>
                <w:p>
                  <w:pPr>
                    <w:tabs>
                      <w:tab w:val="left" w:pos="7525"/>
                    </w:tabs>
                    <w:jc w:val="center"/>
                    <w:rPr>
                      <w:rFonts w:hint="eastAsia" w:ascii="仿宋" w:hAnsi="仿宋" w:eastAsia="仿宋" w:cs="仿宋"/>
                      <w:sz w:val="28"/>
                      <w:szCs w:val="28"/>
                    </w:rPr>
                  </w:pPr>
                </w:p>
              </w:tc>
              <w:tc>
                <w:tcPr>
                  <w:tcW w:w="2163" w:type="dxa"/>
                  <w:vAlign w:val="top"/>
                </w:tcPr>
                <w:p>
                  <w:pPr>
                    <w:tabs>
                      <w:tab w:val="left" w:pos="7525"/>
                    </w:tabs>
                    <w:jc w:val="center"/>
                    <w:rPr>
                      <w:rFonts w:hint="eastAsia" w:ascii="仿宋" w:hAnsi="仿宋" w:eastAsia="仿宋" w:cs="仿宋"/>
                      <w:sz w:val="28"/>
                      <w:szCs w:val="28"/>
                    </w:rPr>
                  </w:pPr>
                </w:p>
              </w:tc>
              <w:tc>
                <w:tcPr>
                  <w:tcW w:w="2560" w:type="dxa"/>
                  <w:vAlign w:val="top"/>
                </w:tcPr>
                <w:p>
                  <w:pPr>
                    <w:tabs>
                      <w:tab w:val="left" w:pos="7525"/>
                    </w:tabs>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1482.63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74" w:type="dxa"/>
                  <w:vAlign w:val="top"/>
                </w:tcPr>
                <w:p>
                  <w:pPr>
                    <w:tabs>
                      <w:tab w:val="left" w:pos="7525"/>
                    </w:tabs>
                    <w:rPr>
                      <w:rFonts w:hint="eastAsia" w:ascii="仿宋" w:hAnsi="仿宋" w:eastAsia="仿宋" w:cs="仿宋"/>
                      <w:sz w:val="28"/>
                      <w:szCs w:val="28"/>
                    </w:rPr>
                  </w:pPr>
                  <w:r>
                    <w:rPr>
                      <w:rFonts w:hint="eastAsia" w:ascii="仿宋" w:hAnsi="仿宋" w:eastAsia="仿宋" w:cs="仿宋"/>
                      <w:sz w:val="28"/>
                      <w:szCs w:val="28"/>
                    </w:rPr>
                    <w:t>其他资金支出</w:t>
                  </w:r>
                </w:p>
              </w:tc>
              <w:tc>
                <w:tcPr>
                  <w:tcW w:w="2163" w:type="dxa"/>
                  <w:vAlign w:val="top"/>
                </w:tcPr>
                <w:p>
                  <w:pPr>
                    <w:tabs>
                      <w:tab w:val="left" w:pos="7525"/>
                    </w:tabs>
                    <w:jc w:val="center"/>
                    <w:rPr>
                      <w:rFonts w:hint="eastAsia" w:ascii="仿宋" w:hAnsi="仿宋" w:eastAsia="仿宋" w:cs="仿宋"/>
                      <w:sz w:val="28"/>
                      <w:szCs w:val="28"/>
                    </w:rPr>
                  </w:pPr>
                </w:p>
              </w:tc>
              <w:tc>
                <w:tcPr>
                  <w:tcW w:w="2163" w:type="dxa"/>
                  <w:vAlign w:val="top"/>
                </w:tcPr>
                <w:p>
                  <w:pPr>
                    <w:tabs>
                      <w:tab w:val="left" w:pos="7525"/>
                    </w:tabs>
                    <w:jc w:val="center"/>
                    <w:rPr>
                      <w:rFonts w:hint="eastAsia" w:ascii="仿宋" w:hAnsi="仿宋" w:eastAsia="仿宋" w:cs="仿宋"/>
                      <w:sz w:val="28"/>
                      <w:szCs w:val="28"/>
                    </w:rPr>
                  </w:pPr>
                </w:p>
              </w:tc>
              <w:tc>
                <w:tcPr>
                  <w:tcW w:w="2560" w:type="dxa"/>
                  <w:vAlign w:val="top"/>
                </w:tcPr>
                <w:p>
                  <w:pPr>
                    <w:tabs>
                      <w:tab w:val="left" w:pos="7525"/>
                    </w:tabs>
                    <w:jc w:val="center"/>
                    <w:rPr>
                      <w:rFonts w:hint="eastAsia" w:ascii="仿宋" w:hAnsi="仿宋" w:eastAsia="仿宋" w:cs="仿宋"/>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74" w:type="dxa"/>
                  <w:vAlign w:val="top"/>
                </w:tcPr>
                <w:p>
                  <w:pPr>
                    <w:tabs>
                      <w:tab w:val="left" w:pos="7525"/>
                    </w:tabs>
                    <w:rPr>
                      <w:rFonts w:hint="eastAsia" w:ascii="仿宋" w:hAnsi="仿宋" w:eastAsia="仿宋" w:cs="仿宋"/>
                      <w:sz w:val="28"/>
                      <w:szCs w:val="28"/>
                    </w:rPr>
                  </w:pPr>
                  <w:r>
                    <w:rPr>
                      <w:rFonts w:hint="eastAsia" w:ascii="仿宋" w:hAnsi="仿宋" w:eastAsia="仿宋" w:cs="仿宋"/>
                      <w:sz w:val="28"/>
                      <w:szCs w:val="28"/>
                    </w:rPr>
                    <w:t>合     计</w:t>
                  </w:r>
                </w:p>
              </w:tc>
              <w:tc>
                <w:tcPr>
                  <w:tcW w:w="2163" w:type="dxa"/>
                  <w:vAlign w:val="top"/>
                </w:tcPr>
                <w:p>
                  <w:pPr>
                    <w:tabs>
                      <w:tab w:val="left" w:pos="7525"/>
                    </w:tabs>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338.94</w:t>
                  </w:r>
                </w:p>
              </w:tc>
              <w:tc>
                <w:tcPr>
                  <w:tcW w:w="2163" w:type="dxa"/>
                  <w:vAlign w:val="top"/>
                </w:tcPr>
                <w:p>
                  <w:pPr>
                    <w:tabs>
                      <w:tab w:val="left" w:pos="7525"/>
                    </w:tabs>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266.63</w:t>
                  </w:r>
                </w:p>
              </w:tc>
              <w:tc>
                <w:tcPr>
                  <w:tcW w:w="2560" w:type="dxa"/>
                  <w:vAlign w:val="top"/>
                </w:tcPr>
                <w:p>
                  <w:pPr>
                    <w:tabs>
                      <w:tab w:val="left" w:pos="7525"/>
                    </w:tabs>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1733.59</w:t>
                  </w:r>
                </w:p>
              </w:tc>
            </w:tr>
          </w:tbl>
          <w:p>
            <w:pPr>
              <w:tabs>
                <w:tab w:val="left" w:pos="7525"/>
              </w:tabs>
              <w:ind w:left="1095"/>
              <w:rPr>
                <w:rFonts w:hint="eastAsia" w:ascii="仿宋" w:hAnsi="仿宋" w:eastAsia="仿宋"/>
                <w:sz w:val="28"/>
                <w:szCs w:val="28"/>
              </w:rPr>
            </w:pPr>
            <w:r>
              <w:rPr>
                <w:rFonts w:hint="eastAsia" w:ascii="仿宋" w:hAnsi="仿宋" w:eastAsia="仿宋"/>
                <w:b/>
                <w:sz w:val="28"/>
                <w:szCs w:val="28"/>
              </w:rPr>
              <w:t>2、三公经费支出情况</w:t>
            </w:r>
            <w:r>
              <w:rPr>
                <w:rFonts w:hint="eastAsia" w:ascii="仿宋" w:hAnsi="仿宋" w:eastAsia="仿宋"/>
                <w:sz w:val="28"/>
                <w:szCs w:val="28"/>
              </w:rPr>
              <w:t>：201</w:t>
            </w:r>
            <w:r>
              <w:rPr>
                <w:rFonts w:hint="eastAsia" w:ascii="仿宋" w:hAnsi="仿宋" w:eastAsia="仿宋"/>
                <w:sz w:val="28"/>
                <w:szCs w:val="28"/>
                <w:lang w:val="en-US" w:eastAsia="zh-CN"/>
              </w:rPr>
              <w:t>7</w:t>
            </w:r>
            <w:r>
              <w:rPr>
                <w:rFonts w:hint="eastAsia" w:ascii="仿宋" w:hAnsi="仿宋" w:eastAsia="仿宋"/>
                <w:sz w:val="28"/>
                <w:szCs w:val="28"/>
              </w:rPr>
              <w:t>年“三公”经费实际支出</w:t>
            </w:r>
            <w:r>
              <w:rPr>
                <w:rFonts w:hint="eastAsia" w:ascii="仿宋" w:hAnsi="仿宋" w:eastAsia="仿宋"/>
                <w:sz w:val="28"/>
                <w:szCs w:val="28"/>
                <w:lang w:val="en-US" w:eastAsia="zh-CN"/>
              </w:rPr>
              <w:t>5.6</w:t>
            </w:r>
            <w:r>
              <w:rPr>
                <w:rFonts w:hint="eastAsia" w:ascii="仿宋" w:hAnsi="仿宋" w:eastAsia="仿宋"/>
                <w:sz w:val="28"/>
                <w:szCs w:val="28"/>
              </w:rPr>
              <w:t>万元，其中公务接待费</w:t>
            </w:r>
            <w:r>
              <w:rPr>
                <w:rFonts w:hint="eastAsia" w:ascii="仿宋" w:hAnsi="仿宋" w:eastAsia="仿宋"/>
                <w:sz w:val="28"/>
                <w:szCs w:val="28"/>
                <w:lang w:val="en-US" w:eastAsia="zh-CN"/>
              </w:rPr>
              <w:t>5.6</w:t>
            </w:r>
            <w:r>
              <w:rPr>
                <w:rFonts w:hint="eastAsia" w:ascii="仿宋" w:hAnsi="仿宋" w:eastAsia="仿宋"/>
                <w:sz w:val="28"/>
                <w:szCs w:val="28"/>
              </w:rPr>
              <w:t>万元，</w:t>
            </w:r>
            <w:r>
              <w:rPr>
                <w:rFonts w:hint="eastAsia" w:ascii="仿宋" w:hAnsi="仿宋" w:eastAsia="仿宋"/>
                <w:sz w:val="28"/>
                <w:szCs w:val="28"/>
                <w:lang w:eastAsia="zh-CN"/>
              </w:rPr>
              <w:t>无</w:t>
            </w:r>
            <w:r>
              <w:rPr>
                <w:rFonts w:hint="eastAsia" w:ascii="仿宋" w:hAnsi="仿宋" w:eastAsia="仿宋"/>
                <w:sz w:val="28"/>
                <w:szCs w:val="28"/>
              </w:rPr>
              <w:t>公务用车运维费。</w:t>
            </w:r>
          </w:p>
          <w:p>
            <w:pPr>
              <w:tabs>
                <w:tab w:val="left" w:pos="7525"/>
              </w:tabs>
              <w:ind w:left="1095"/>
              <w:rPr>
                <w:rFonts w:hint="eastAsia" w:ascii="仿宋" w:hAnsi="仿宋" w:eastAsia="仿宋"/>
                <w:b/>
                <w:sz w:val="28"/>
                <w:szCs w:val="28"/>
              </w:rPr>
            </w:pPr>
            <w:r>
              <w:rPr>
                <w:rFonts w:hint="eastAsia" w:ascii="仿宋" w:hAnsi="仿宋" w:eastAsia="仿宋"/>
                <w:b/>
                <w:sz w:val="28"/>
                <w:szCs w:val="28"/>
              </w:rPr>
              <w:t>二、绩效评价工作情况</w:t>
            </w:r>
          </w:p>
          <w:p>
            <w:pPr>
              <w:tabs>
                <w:tab w:val="left" w:pos="7525"/>
              </w:tabs>
              <w:ind w:left="1095"/>
              <w:rPr>
                <w:rFonts w:hint="eastAsia" w:ascii="仿宋" w:hAnsi="仿宋" w:eastAsia="仿宋"/>
                <w:b/>
                <w:sz w:val="28"/>
                <w:szCs w:val="28"/>
              </w:rPr>
            </w:pPr>
            <w:r>
              <w:rPr>
                <w:rFonts w:hint="eastAsia" w:ascii="仿宋" w:hAnsi="仿宋" w:eastAsia="仿宋"/>
                <w:b/>
                <w:sz w:val="28"/>
                <w:szCs w:val="28"/>
              </w:rPr>
              <w:t>（一）部门整体支出绩效评价依据</w:t>
            </w:r>
          </w:p>
          <w:p>
            <w:pPr>
              <w:tabs>
                <w:tab w:val="left" w:pos="7525"/>
              </w:tabs>
              <w:ind w:left="1095"/>
              <w:rPr>
                <w:rFonts w:hint="eastAsia" w:ascii="仿宋" w:hAnsi="仿宋" w:eastAsia="仿宋"/>
                <w:sz w:val="28"/>
                <w:szCs w:val="28"/>
              </w:rPr>
            </w:pPr>
            <w:r>
              <w:rPr>
                <w:rFonts w:hint="eastAsia" w:ascii="仿宋" w:hAnsi="仿宋" w:eastAsia="仿宋"/>
                <w:sz w:val="28"/>
                <w:szCs w:val="28"/>
              </w:rPr>
              <w:t>1、《华容县财政局关于开展201</w:t>
            </w:r>
            <w:r>
              <w:rPr>
                <w:rFonts w:hint="eastAsia" w:ascii="仿宋" w:hAnsi="仿宋" w:eastAsia="仿宋"/>
                <w:sz w:val="28"/>
                <w:szCs w:val="28"/>
                <w:lang w:val="en-US" w:eastAsia="zh-CN"/>
              </w:rPr>
              <w:t>8</w:t>
            </w:r>
            <w:r>
              <w:rPr>
                <w:rFonts w:hint="eastAsia" w:ascii="仿宋" w:hAnsi="仿宋" w:eastAsia="仿宋"/>
                <w:sz w:val="28"/>
                <w:szCs w:val="28"/>
              </w:rPr>
              <w:t>年度部门整体支出绩效自评工作的通知》（华财发【201</w:t>
            </w:r>
            <w:r>
              <w:rPr>
                <w:rFonts w:hint="eastAsia" w:ascii="仿宋" w:hAnsi="仿宋" w:eastAsia="仿宋"/>
                <w:sz w:val="28"/>
                <w:szCs w:val="28"/>
                <w:lang w:val="en-US" w:eastAsia="zh-CN"/>
              </w:rPr>
              <w:t>9</w:t>
            </w:r>
            <w:r>
              <w:rPr>
                <w:rFonts w:hint="eastAsia" w:ascii="仿宋" w:hAnsi="仿宋" w:eastAsia="仿宋"/>
                <w:sz w:val="28"/>
                <w:szCs w:val="28"/>
              </w:rPr>
              <w:t>】</w:t>
            </w:r>
            <w:r>
              <w:rPr>
                <w:rFonts w:hint="eastAsia" w:ascii="仿宋" w:hAnsi="仿宋" w:eastAsia="仿宋"/>
                <w:sz w:val="28"/>
                <w:szCs w:val="28"/>
                <w:lang w:val="en-US" w:eastAsia="zh-CN"/>
              </w:rPr>
              <w:t>23</w:t>
            </w:r>
            <w:r>
              <w:rPr>
                <w:rFonts w:hint="eastAsia" w:ascii="仿宋" w:hAnsi="仿宋" w:eastAsia="仿宋"/>
                <w:sz w:val="28"/>
                <w:szCs w:val="28"/>
              </w:rPr>
              <w:t>号）。</w:t>
            </w:r>
          </w:p>
          <w:p>
            <w:pPr>
              <w:tabs>
                <w:tab w:val="left" w:pos="7525"/>
              </w:tabs>
              <w:ind w:left="1095"/>
              <w:rPr>
                <w:rFonts w:hint="eastAsia" w:ascii="仿宋" w:hAnsi="仿宋" w:eastAsia="仿宋"/>
                <w:b/>
                <w:sz w:val="28"/>
                <w:szCs w:val="28"/>
              </w:rPr>
            </w:pPr>
            <w:r>
              <w:rPr>
                <w:rFonts w:hint="eastAsia" w:ascii="仿宋" w:hAnsi="仿宋" w:eastAsia="仿宋"/>
                <w:b/>
                <w:sz w:val="28"/>
                <w:szCs w:val="28"/>
              </w:rPr>
              <w:t>（二）部门整体支出绩效评价目的</w:t>
            </w:r>
          </w:p>
          <w:p>
            <w:pPr>
              <w:tabs>
                <w:tab w:val="left" w:pos="7525"/>
              </w:tabs>
              <w:ind w:left="1094" w:leftChars="521"/>
              <w:rPr>
                <w:rFonts w:hint="eastAsia" w:ascii="仿宋" w:hAnsi="仿宋" w:eastAsia="仿宋"/>
                <w:sz w:val="28"/>
                <w:szCs w:val="28"/>
              </w:rPr>
            </w:pPr>
            <w:r>
              <w:rPr>
                <w:rFonts w:hint="eastAsia" w:ascii="仿宋" w:hAnsi="仿宋" w:eastAsia="仿宋"/>
                <w:sz w:val="28"/>
                <w:szCs w:val="28"/>
              </w:rPr>
              <w:t>通过对201</w:t>
            </w:r>
            <w:r>
              <w:rPr>
                <w:rFonts w:hint="eastAsia" w:ascii="仿宋" w:hAnsi="仿宋" w:eastAsia="仿宋"/>
                <w:sz w:val="28"/>
                <w:szCs w:val="28"/>
                <w:lang w:val="en-US" w:eastAsia="zh-CN"/>
              </w:rPr>
              <w:t>8</w:t>
            </w:r>
            <w:r>
              <w:rPr>
                <w:rFonts w:hint="eastAsia" w:ascii="仿宋" w:hAnsi="仿宋" w:eastAsia="仿宋"/>
                <w:sz w:val="28"/>
                <w:szCs w:val="28"/>
              </w:rPr>
              <w:t>年华容县交通运输局的预算配置、预算管理、资产管理、职责履行、履职效益等内容的绩效考评，提高财政资金的使用效率，为财政部门预算管理提供决策依据。</w:t>
            </w:r>
          </w:p>
          <w:p>
            <w:pPr>
              <w:tabs>
                <w:tab w:val="left" w:pos="7525"/>
              </w:tabs>
              <w:ind w:left="1095"/>
              <w:rPr>
                <w:rFonts w:hint="eastAsia" w:ascii="仿宋" w:hAnsi="仿宋" w:eastAsia="仿宋"/>
                <w:b/>
                <w:sz w:val="28"/>
                <w:szCs w:val="28"/>
              </w:rPr>
            </w:pPr>
            <w:r>
              <w:rPr>
                <w:rFonts w:hint="eastAsia" w:ascii="仿宋" w:hAnsi="仿宋" w:eastAsia="仿宋"/>
                <w:b/>
                <w:sz w:val="28"/>
                <w:szCs w:val="28"/>
              </w:rPr>
              <w:t>（三）部门整体支出评价原则、指标评价体系、评价方法</w:t>
            </w:r>
          </w:p>
          <w:p>
            <w:pPr>
              <w:tabs>
                <w:tab w:val="left" w:pos="7525"/>
              </w:tabs>
              <w:ind w:left="1095"/>
              <w:rPr>
                <w:rFonts w:hint="eastAsia" w:ascii="仿宋" w:hAnsi="仿宋" w:eastAsia="仿宋"/>
                <w:sz w:val="28"/>
                <w:szCs w:val="28"/>
              </w:rPr>
            </w:pPr>
            <w:r>
              <w:rPr>
                <w:rFonts w:hint="eastAsia" w:ascii="仿宋" w:hAnsi="仿宋" w:eastAsia="仿宋"/>
                <w:b/>
                <w:sz w:val="28"/>
                <w:szCs w:val="28"/>
              </w:rPr>
              <w:t>1、部门整体支出绩效评价原则</w:t>
            </w:r>
            <w:r>
              <w:rPr>
                <w:rFonts w:hint="eastAsia" w:ascii="仿宋" w:hAnsi="仿宋" w:eastAsia="仿宋"/>
                <w:sz w:val="28"/>
                <w:szCs w:val="28"/>
              </w:rPr>
              <w:t>：遵循客观公正，操作简便高效，尊重客观实际，实事求是的原则。</w:t>
            </w:r>
          </w:p>
          <w:p>
            <w:pPr>
              <w:tabs>
                <w:tab w:val="left" w:pos="7525"/>
              </w:tabs>
              <w:ind w:left="1095"/>
              <w:rPr>
                <w:rFonts w:hint="eastAsia" w:ascii="仿宋" w:hAnsi="仿宋" w:eastAsia="仿宋"/>
                <w:sz w:val="28"/>
                <w:szCs w:val="28"/>
              </w:rPr>
            </w:pPr>
            <w:r>
              <w:rPr>
                <w:rFonts w:hint="eastAsia" w:ascii="仿宋" w:hAnsi="仿宋" w:eastAsia="仿宋"/>
                <w:b/>
                <w:sz w:val="28"/>
                <w:szCs w:val="28"/>
              </w:rPr>
              <w:t>2、整体支出绩效评价体系</w:t>
            </w:r>
            <w:r>
              <w:rPr>
                <w:rFonts w:hint="eastAsia" w:ascii="仿宋" w:hAnsi="仿宋" w:eastAsia="仿宋"/>
                <w:sz w:val="28"/>
                <w:szCs w:val="28"/>
              </w:rPr>
              <w:t>：指标体系包括共性指标和个性指标两部分，本次主要参照了财政部门制定的《部门整体支出绩效评价指标体系》的相关内容，根据部门具体情况对个性指标进行了调整细化，形成《华容县201</w:t>
            </w:r>
            <w:r>
              <w:rPr>
                <w:rFonts w:hint="eastAsia" w:ascii="仿宋" w:hAnsi="仿宋" w:eastAsia="仿宋"/>
                <w:sz w:val="28"/>
                <w:szCs w:val="28"/>
                <w:lang w:val="en-US" w:eastAsia="zh-CN"/>
              </w:rPr>
              <w:t>8</w:t>
            </w:r>
            <w:r>
              <w:rPr>
                <w:rFonts w:hint="eastAsia" w:ascii="仿宋" w:hAnsi="仿宋" w:eastAsia="仿宋"/>
                <w:sz w:val="28"/>
                <w:szCs w:val="28"/>
              </w:rPr>
              <w:t>年度交通运输局部门整体支出绩效评价指标体系》</w:t>
            </w:r>
            <w:r>
              <w:rPr>
                <w:rFonts w:hint="eastAsia" w:ascii="仿宋" w:hAnsi="仿宋" w:eastAsia="仿宋"/>
                <w:sz w:val="28"/>
                <w:szCs w:val="28"/>
                <w:lang w:eastAsia="zh-CN"/>
              </w:rPr>
              <w:t>。</w:t>
            </w:r>
          </w:p>
          <w:p>
            <w:pPr>
              <w:tabs>
                <w:tab w:val="left" w:pos="7525"/>
              </w:tabs>
              <w:ind w:left="1095"/>
              <w:rPr>
                <w:rFonts w:hint="eastAsia" w:ascii="仿宋" w:hAnsi="仿宋" w:eastAsia="仿宋"/>
                <w:sz w:val="28"/>
                <w:szCs w:val="28"/>
              </w:rPr>
            </w:pPr>
            <w:r>
              <w:rPr>
                <w:rFonts w:hint="eastAsia" w:ascii="仿宋" w:hAnsi="仿宋" w:eastAsia="仿宋"/>
                <w:b/>
                <w:sz w:val="28"/>
                <w:szCs w:val="28"/>
              </w:rPr>
              <w:t>3、整体支出绩效评价方法</w:t>
            </w:r>
            <w:r>
              <w:rPr>
                <w:rFonts w:hint="eastAsia" w:ascii="仿宋" w:hAnsi="仿宋" w:eastAsia="仿宋"/>
                <w:sz w:val="28"/>
                <w:szCs w:val="28"/>
              </w:rPr>
              <w:t>：主要采用因素分析法、投入产出效益分析法、比较法，相关部门问卷调查等方法。</w:t>
            </w:r>
          </w:p>
          <w:p>
            <w:pPr>
              <w:tabs>
                <w:tab w:val="left" w:pos="7525"/>
              </w:tabs>
              <w:ind w:left="1095"/>
              <w:rPr>
                <w:rFonts w:hint="eastAsia" w:ascii="仿宋" w:hAnsi="仿宋" w:eastAsia="仿宋"/>
                <w:b/>
                <w:sz w:val="28"/>
                <w:szCs w:val="28"/>
              </w:rPr>
            </w:pPr>
            <w:r>
              <w:rPr>
                <w:rFonts w:hint="eastAsia" w:ascii="仿宋" w:hAnsi="仿宋" w:eastAsia="仿宋"/>
                <w:b/>
                <w:sz w:val="28"/>
                <w:szCs w:val="28"/>
              </w:rPr>
              <w:t>（四）整体支出绩效评价过程</w:t>
            </w:r>
          </w:p>
          <w:p>
            <w:pPr>
              <w:tabs>
                <w:tab w:val="left" w:pos="7525"/>
              </w:tabs>
              <w:ind w:left="1095"/>
              <w:rPr>
                <w:rFonts w:hint="eastAsia" w:ascii="仿宋" w:hAnsi="仿宋" w:eastAsia="仿宋"/>
                <w:sz w:val="28"/>
                <w:szCs w:val="28"/>
              </w:rPr>
            </w:pPr>
            <w:r>
              <w:rPr>
                <w:rFonts w:hint="eastAsia" w:ascii="仿宋" w:hAnsi="仿宋" w:eastAsia="仿宋"/>
                <w:b/>
                <w:sz w:val="28"/>
                <w:szCs w:val="28"/>
              </w:rPr>
              <w:t>1、前期准备</w:t>
            </w:r>
            <w:r>
              <w:rPr>
                <w:rFonts w:hint="eastAsia" w:ascii="仿宋" w:hAnsi="仿宋" w:eastAsia="仿宋"/>
                <w:sz w:val="28"/>
                <w:szCs w:val="28"/>
              </w:rPr>
              <w:t>：按照绩效自评工作要求，组成以</w:t>
            </w:r>
            <w:r>
              <w:rPr>
                <w:rFonts w:hint="eastAsia" w:ascii="仿宋" w:hAnsi="仿宋" w:eastAsia="仿宋"/>
                <w:sz w:val="28"/>
                <w:szCs w:val="28"/>
                <w:lang w:eastAsia="zh-CN"/>
              </w:rPr>
              <w:t>高翔</w:t>
            </w:r>
            <w:r>
              <w:rPr>
                <w:rFonts w:hint="eastAsia" w:ascii="仿宋" w:hAnsi="仿宋" w:eastAsia="仿宋"/>
                <w:sz w:val="28"/>
                <w:szCs w:val="28"/>
              </w:rPr>
              <w:t>同志为组长的绩效评价工作小组，对相关的国家法律法规进行了认真学习，掌握政策，根据部门整体收支情况制定了部门整体支出绩效评价实施方案，设计了绩效评价指标体系和问卷调查表。</w:t>
            </w:r>
          </w:p>
          <w:p>
            <w:pPr>
              <w:tabs>
                <w:tab w:val="left" w:pos="7525"/>
              </w:tabs>
              <w:ind w:left="1095"/>
              <w:rPr>
                <w:rFonts w:hint="eastAsia" w:ascii="仿宋" w:hAnsi="仿宋" w:eastAsia="仿宋"/>
                <w:sz w:val="28"/>
                <w:szCs w:val="28"/>
              </w:rPr>
            </w:pPr>
            <w:r>
              <w:rPr>
                <w:rFonts w:hint="eastAsia" w:ascii="仿宋" w:hAnsi="仿宋" w:eastAsia="仿宋"/>
                <w:b/>
                <w:sz w:val="28"/>
                <w:szCs w:val="28"/>
              </w:rPr>
              <w:t>2、组织实施</w:t>
            </w:r>
            <w:r>
              <w:rPr>
                <w:rFonts w:hint="eastAsia" w:ascii="仿宋" w:hAnsi="仿宋" w:eastAsia="仿宋"/>
                <w:sz w:val="28"/>
                <w:szCs w:val="28"/>
              </w:rPr>
              <w:t>：采用核查法核查201</w:t>
            </w:r>
            <w:r>
              <w:rPr>
                <w:rFonts w:hint="eastAsia" w:ascii="仿宋" w:hAnsi="仿宋" w:eastAsia="仿宋"/>
                <w:sz w:val="28"/>
                <w:szCs w:val="28"/>
                <w:lang w:val="en-US" w:eastAsia="zh-CN"/>
              </w:rPr>
              <w:t>8</w:t>
            </w:r>
            <w:r>
              <w:rPr>
                <w:rFonts w:hint="eastAsia" w:ascii="仿宋" w:hAnsi="仿宋" w:eastAsia="仿宋"/>
                <w:sz w:val="28"/>
                <w:szCs w:val="28"/>
              </w:rPr>
              <w:t>年同级财政预算批复执行及部门整体支出情况，着重核查了“三公”经费及资产管理、内部控制制度情况，对内设机构，根据部门职能和年初制定的绩效考核目标，进行了实地绩效考评。针对交通部门工作职能和履职情况，进行了社会问卷调查。</w:t>
            </w:r>
          </w:p>
          <w:p>
            <w:pPr>
              <w:tabs>
                <w:tab w:val="left" w:pos="7525"/>
              </w:tabs>
              <w:ind w:left="1095"/>
              <w:rPr>
                <w:rFonts w:hint="eastAsia" w:ascii="仿宋" w:hAnsi="仿宋" w:eastAsia="仿宋"/>
                <w:sz w:val="28"/>
                <w:szCs w:val="28"/>
              </w:rPr>
            </w:pPr>
            <w:r>
              <w:rPr>
                <w:rFonts w:hint="eastAsia" w:ascii="仿宋" w:hAnsi="仿宋" w:eastAsia="仿宋"/>
                <w:b/>
                <w:sz w:val="28"/>
                <w:szCs w:val="28"/>
              </w:rPr>
              <w:t>3、分析评价</w:t>
            </w:r>
            <w:r>
              <w:rPr>
                <w:rFonts w:hint="eastAsia" w:ascii="仿宋" w:hAnsi="仿宋" w:eastAsia="仿宋"/>
                <w:sz w:val="28"/>
                <w:szCs w:val="28"/>
              </w:rPr>
              <w:t>：对评价过程中收集资料进行归纳，汇总分析，依据设定的部门整体支出绩效评价指标体系进行了评分，形成了综合性书面报告。</w:t>
            </w:r>
          </w:p>
          <w:p>
            <w:pPr>
              <w:tabs>
                <w:tab w:val="left" w:pos="7525"/>
              </w:tabs>
              <w:ind w:left="1095"/>
              <w:rPr>
                <w:rFonts w:hint="eastAsia" w:ascii="仿宋" w:hAnsi="仿宋" w:eastAsia="仿宋"/>
                <w:b/>
                <w:sz w:val="28"/>
                <w:szCs w:val="28"/>
              </w:rPr>
            </w:pPr>
            <w:r>
              <w:rPr>
                <w:rFonts w:hint="eastAsia" w:ascii="仿宋" w:hAnsi="仿宋" w:eastAsia="仿宋"/>
                <w:b/>
                <w:sz w:val="28"/>
                <w:szCs w:val="28"/>
              </w:rPr>
              <w:t>三、 部门整体支出管理和使用情况分析</w:t>
            </w:r>
          </w:p>
          <w:p>
            <w:pPr>
              <w:tabs>
                <w:tab w:val="left" w:pos="7525"/>
              </w:tabs>
              <w:ind w:left="1095"/>
              <w:rPr>
                <w:rFonts w:hint="eastAsia" w:ascii="仿宋" w:hAnsi="仿宋" w:eastAsia="仿宋"/>
                <w:b/>
                <w:sz w:val="28"/>
                <w:szCs w:val="28"/>
              </w:rPr>
            </w:pPr>
            <w:r>
              <w:rPr>
                <w:rFonts w:hint="eastAsia" w:ascii="仿宋" w:hAnsi="仿宋" w:eastAsia="仿宋"/>
                <w:b/>
                <w:sz w:val="28"/>
                <w:szCs w:val="28"/>
              </w:rPr>
              <w:t>（一）部门整体支出情况分析</w:t>
            </w:r>
          </w:p>
          <w:p>
            <w:pPr>
              <w:tabs>
                <w:tab w:val="left" w:pos="7525"/>
              </w:tabs>
              <w:ind w:left="1095"/>
              <w:rPr>
                <w:rFonts w:hint="eastAsia" w:ascii="仿宋" w:hAnsi="仿宋" w:eastAsia="仿宋"/>
                <w:sz w:val="28"/>
                <w:szCs w:val="28"/>
              </w:rPr>
            </w:pPr>
            <w:r>
              <w:rPr>
                <w:rFonts w:hint="eastAsia" w:ascii="仿宋" w:hAnsi="仿宋" w:eastAsia="仿宋"/>
                <w:b/>
                <w:sz w:val="28"/>
                <w:szCs w:val="28"/>
              </w:rPr>
              <w:t>1、部门整体支出情况分析</w:t>
            </w:r>
            <w:r>
              <w:rPr>
                <w:rFonts w:hint="eastAsia" w:ascii="仿宋" w:hAnsi="仿宋" w:eastAsia="仿宋"/>
                <w:sz w:val="28"/>
                <w:szCs w:val="28"/>
              </w:rPr>
              <w:t>：201</w:t>
            </w:r>
            <w:r>
              <w:rPr>
                <w:rFonts w:hint="eastAsia" w:ascii="仿宋" w:hAnsi="仿宋" w:eastAsia="仿宋"/>
                <w:sz w:val="28"/>
                <w:szCs w:val="28"/>
                <w:lang w:val="en-US" w:eastAsia="zh-CN"/>
              </w:rPr>
              <w:t>8</w:t>
            </w:r>
            <w:r>
              <w:rPr>
                <w:rFonts w:hint="eastAsia" w:ascii="仿宋" w:hAnsi="仿宋" w:eastAsia="仿宋"/>
                <w:sz w:val="28"/>
                <w:szCs w:val="28"/>
              </w:rPr>
              <w:t>年交通部门整体支出</w:t>
            </w:r>
            <w:r>
              <w:rPr>
                <w:rFonts w:hint="eastAsia" w:ascii="仿宋" w:hAnsi="仿宋" w:eastAsia="仿宋" w:cs="仿宋"/>
                <w:color w:val="000000"/>
                <w:sz w:val="28"/>
                <w:szCs w:val="28"/>
                <w:lang w:val="en-US" w:eastAsia="zh-CN"/>
              </w:rPr>
              <w:t>2339.16</w:t>
            </w:r>
            <w:r>
              <w:rPr>
                <w:rFonts w:hint="eastAsia" w:ascii="仿宋" w:hAnsi="仿宋" w:eastAsia="仿宋"/>
                <w:sz w:val="28"/>
                <w:szCs w:val="28"/>
              </w:rPr>
              <w:t>万元，其中基本支出</w:t>
            </w:r>
            <w:r>
              <w:rPr>
                <w:rFonts w:hint="eastAsia" w:ascii="仿宋" w:hAnsi="仿宋" w:eastAsia="仿宋"/>
                <w:sz w:val="28"/>
                <w:szCs w:val="28"/>
                <w:lang w:val="en-US" w:eastAsia="zh-CN"/>
              </w:rPr>
              <w:t>605.57</w:t>
            </w:r>
            <w:r>
              <w:rPr>
                <w:rFonts w:hint="eastAsia" w:ascii="仿宋" w:hAnsi="仿宋" w:eastAsia="仿宋"/>
                <w:sz w:val="28"/>
                <w:szCs w:val="28"/>
              </w:rPr>
              <w:t>万元，占总支出</w:t>
            </w:r>
            <w:r>
              <w:rPr>
                <w:rFonts w:hint="eastAsia" w:ascii="仿宋" w:hAnsi="仿宋" w:eastAsia="仿宋"/>
                <w:sz w:val="28"/>
                <w:szCs w:val="28"/>
                <w:lang w:val="en-US" w:eastAsia="zh-CN"/>
              </w:rPr>
              <w:t>25.89</w:t>
            </w:r>
            <w:r>
              <w:rPr>
                <w:rFonts w:hint="eastAsia" w:ascii="仿宋" w:hAnsi="仿宋" w:eastAsia="仿宋"/>
                <w:sz w:val="28"/>
                <w:szCs w:val="28"/>
              </w:rPr>
              <w:t>%，人员支出</w:t>
            </w:r>
            <w:r>
              <w:rPr>
                <w:rFonts w:hint="eastAsia" w:ascii="仿宋" w:hAnsi="仿宋" w:eastAsia="仿宋"/>
                <w:sz w:val="28"/>
                <w:szCs w:val="28"/>
                <w:lang w:val="en-US" w:eastAsia="zh-CN"/>
              </w:rPr>
              <w:t>338.94</w:t>
            </w:r>
            <w:r>
              <w:rPr>
                <w:rFonts w:hint="eastAsia" w:ascii="仿宋" w:hAnsi="仿宋" w:eastAsia="仿宋"/>
                <w:sz w:val="28"/>
                <w:szCs w:val="28"/>
              </w:rPr>
              <w:t>万元，占基本支出</w:t>
            </w:r>
            <w:r>
              <w:rPr>
                <w:rFonts w:hint="eastAsia" w:ascii="仿宋" w:hAnsi="仿宋" w:eastAsia="仿宋"/>
                <w:sz w:val="28"/>
                <w:szCs w:val="28"/>
                <w:lang w:val="en-US" w:eastAsia="zh-CN"/>
              </w:rPr>
              <w:t>55.98</w:t>
            </w:r>
            <w:r>
              <w:rPr>
                <w:rFonts w:hint="eastAsia" w:ascii="仿宋" w:hAnsi="仿宋" w:eastAsia="仿宋"/>
                <w:sz w:val="28"/>
                <w:szCs w:val="28"/>
              </w:rPr>
              <w:t>%，公用支出</w:t>
            </w:r>
            <w:r>
              <w:rPr>
                <w:rFonts w:hint="eastAsia" w:ascii="仿宋" w:hAnsi="仿宋" w:eastAsia="仿宋"/>
                <w:sz w:val="28"/>
                <w:szCs w:val="28"/>
                <w:lang w:val="en-US" w:eastAsia="zh-CN"/>
              </w:rPr>
              <w:t>266.63</w:t>
            </w:r>
            <w:r>
              <w:rPr>
                <w:rFonts w:hint="eastAsia" w:ascii="仿宋" w:hAnsi="仿宋" w:eastAsia="仿宋"/>
                <w:sz w:val="28"/>
                <w:szCs w:val="28"/>
              </w:rPr>
              <w:t>万元，占基本支出</w:t>
            </w:r>
            <w:r>
              <w:rPr>
                <w:rFonts w:hint="eastAsia" w:ascii="仿宋" w:hAnsi="仿宋" w:eastAsia="仿宋"/>
                <w:sz w:val="28"/>
                <w:szCs w:val="28"/>
                <w:lang w:val="en-US" w:eastAsia="zh-CN"/>
              </w:rPr>
              <w:t>44.02</w:t>
            </w:r>
            <w:r>
              <w:rPr>
                <w:rFonts w:hint="eastAsia" w:ascii="仿宋" w:hAnsi="仿宋" w:eastAsia="仿宋"/>
                <w:sz w:val="28"/>
                <w:szCs w:val="28"/>
              </w:rPr>
              <w:t>%，</w:t>
            </w:r>
            <w:r>
              <w:rPr>
                <w:rFonts w:hint="eastAsia" w:ascii="仿宋" w:hAnsi="仿宋" w:eastAsia="仿宋"/>
                <w:sz w:val="28"/>
                <w:szCs w:val="28"/>
                <w:lang w:eastAsia="zh-CN"/>
              </w:rPr>
              <w:t>其他资本性</w:t>
            </w:r>
            <w:r>
              <w:rPr>
                <w:rFonts w:hint="eastAsia" w:ascii="仿宋" w:hAnsi="仿宋" w:eastAsia="仿宋"/>
                <w:sz w:val="28"/>
                <w:szCs w:val="28"/>
              </w:rPr>
              <w:t>支出</w:t>
            </w:r>
            <w:r>
              <w:rPr>
                <w:rFonts w:hint="eastAsia" w:ascii="仿宋" w:hAnsi="仿宋" w:eastAsia="仿宋" w:cs="仿宋"/>
                <w:sz w:val="28"/>
                <w:szCs w:val="28"/>
                <w:lang w:val="en-US" w:eastAsia="zh-CN"/>
              </w:rPr>
              <w:t>250.96</w:t>
            </w:r>
            <w:r>
              <w:rPr>
                <w:rFonts w:hint="eastAsia" w:ascii="仿宋" w:hAnsi="仿宋" w:eastAsia="仿宋"/>
                <w:sz w:val="28"/>
                <w:szCs w:val="28"/>
              </w:rPr>
              <w:t>万元，占</w:t>
            </w:r>
            <w:r>
              <w:rPr>
                <w:rFonts w:hint="eastAsia" w:ascii="仿宋" w:hAnsi="仿宋" w:eastAsia="仿宋"/>
                <w:sz w:val="28"/>
                <w:szCs w:val="28"/>
                <w:lang w:eastAsia="zh-CN"/>
              </w:rPr>
              <w:t>项目</w:t>
            </w:r>
            <w:r>
              <w:rPr>
                <w:rFonts w:hint="eastAsia" w:ascii="仿宋" w:hAnsi="仿宋" w:eastAsia="仿宋"/>
                <w:sz w:val="28"/>
                <w:szCs w:val="28"/>
              </w:rPr>
              <w:t>支出</w:t>
            </w:r>
            <w:r>
              <w:rPr>
                <w:rFonts w:hint="eastAsia" w:ascii="仿宋" w:hAnsi="仿宋" w:eastAsia="仿宋"/>
                <w:sz w:val="28"/>
                <w:szCs w:val="28"/>
                <w:lang w:val="en-US" w:eastAsia="zh-CN"/>
              </w:rPr>
              <w:t>14.48</w:t>
            </w:r>
            <w:r>
              <w:rPr>
                <w:rFonts w:hint="eastAsia" w:ascii="仿宋" w:hAnsi="仿宋" w:eastAsia="仿宋"/>
                <w:sz w:val="28"/>
                <w:szCs w:val="28"/>
              </w:rPr>
              <w:t>%，拨出经费</w:t>
            </w:r>
            <w:r>
              <w:rPr>
                <w:rFonts w:hint="eastAsia" w:ascii="仿宋" w:hAnsi="仿宋" w:eastAsia="仿宋" w:cs="仿宋"/>
                <w:sz w:val="28"/>
                <w:szCs w:val="28"/>
                <w:lang w:val="en-US" w:eastAsia="zh-CN"/>
              </w:rPr>
              <w:t>1482.63</w:t>
            </w:r>
            <w:r>
              <w:rPr>
                <w:rFonts w:hint="eastAsia" w:ascii="仿宋" w:hAnsi="仿宋" w:eastAsia="仿宋"/>
                <w:sz w:val="28"/>
                <w:szCs w:val="28"/>
              </w:rPr>
              <w:t>万元，</w:t>
            </w:r>
            <w:r>
              <w:rPr>
                <w:rFonts w:hint="eastAsia" w:ascii="仿宋" w:hAnsi="仿宋" w:eastAsia="仿宋"/>
                <w:sz w:val="28"/>
                <w:szCs w:val="28"/>
                <w:lang w:eastAsia="zh-CN"/>
              </w:rPr>
              <w:t>占项目</w:t>
            </w:r>
            <w:r>
              <w:rPr>
                <w:rFonts w:hint="eastAsia" w:ascii="仿宋" w:hAnsi="仿宋" w:eastAsia="仿宋"/>
                <w:sz w:val="28"/>
                <w:szCs w:val="28"/>
              </w:rPr>
              <w:t>支出</w:t>
            </w:r>
            <w:r>
              <w:rPr>
                <w:rFonts w:hint="eastAsia" w:ascii="仿宋" w:hAnsi="仿宋" w:eastAsia="仿宋"/>
                <w:sz w:val="28"/>
                <w:szCs w:val="28"/>
                <w:lang w:val="en-US" w:eastAsia="zh-CN"/>
              </w:rPr>
              <w:t>85.52</w:t>
            </w:r>
            <w:r>
              <w:rPr>
                <w:rFonts w:hint="eastAsia" w:ascii="仿宋" w:hAnsi="仿宋" w:eastAsia="仿宋"/>
                <w:sz w:val="28"/>
                <w:szCs w:val="28"/>
              </w:rPr>
              <w:t>%</w:t>
            </w:r>
            <w:r>
              <w:rPr>
                <w:rFonts w:hint="eastAsia" w:ascii="仿宋" w:hAnsi="仿宋" w:eastAsia="仿宋"/>
                <w:sz w:val="28"/>
                <w:szCs w:val="28"/>
                <w:lang w:eastAsia="zh-CN"/>
              </w:rPr>
              <w:t>。</w:t>
            </w:r>
          </w:p>
          <w:p>
            <w:pPr>
              <w:tabs>
                <w:tab w:val="left" w:pos="7525"/>
              </w:tabs>
              <w:ind w:left="1095"/>
              <w:rPr>
                <w:rFonts w:hint="eastAsia" w:ascii="仿宋" w:hAnsi="仿宋" w:eastAsia="仿宋"/>
                <w:sz w:val="28"/>
                <w:szCs w:val="28"/>
              </w:rPr>
            </w:pPr>
            <w:r>
              <w:rPr>
                <w:rFonts w:hint="eastAsia" w:ascii="仿宋" w:hAnsi="仿宋" w:eastAsia="仿宋"/>
                <w:b/>
                <w:sz w:val="28"/>
                <w:szCs w:val="28"/>
              </w:rPr>
              <w:t>2、“三公”经费支出情况分析</w:t>
            </w:r>
            <w:r>
              <w:rPr>
                <w:rFonts w:hint="eastAsia" w:ascii="仿宋" w:hAnsi="仿宋" w:eastAsia="仿宋"/>
                <w:sz w:val="28"/>
                <w:szCs w:val="28"/>
              </w:rPr>
              <w:t>：201</w:t>
            </w:r>
            <w:r>
              <w:rPr>
                <w:rFonts w:hint="eastAsia" w:ascii="仿宋" w:hAnsi="仿宋" w:eastAsia="仿宋"/>
                <w:sz w:val="28"/>
                <w:szCs w:val="28"/>
                <w:lang w:val="en-US" w:eastAsia="zh-CN"/>
              </w:rPr>
              <w:t>8</w:t>
            </w:r>
            <w:r>
              <w:rPr>
                <w:rFonts w:hint="eastAsia" w:ascii="仿宋" w:hAnsi="仿宋" w:eastAsia="仿宋"/>
                <w:sz w:val="28"/>
                <w:szCs w:val="28"/>
              </w:rPr>
              <w:t>年交通局“三公”经费实际支出</w:t>
            </w:r>
            <w:r>
              <w:rPr>
                <w:rFonts w:hint="eastAsia" w:ascii="仿宋" w:hAnsi="仿宋" w:eastAsia="仿宋"/>
                <w:sz w:val="28"/>
                <w:szCs w:val="28"/>
                <w:lang w:val="en-US" w:eastAsia="zh-CN"/>
              </w:rPr>
              <w:t>5.6</w:t>
            </w:r>
            <w:r>
              <w:rPr>
                <w:rFonts w:hint="eastAsia" w:ascii="仿宋" w:hAnsi="仿宋" w:eastAsia="仿宋"/>
                <w:sz w:val="28"/>
                <w:szCs w:val="28"/>
              </w:rPr>
              <w:t>万元，比去年的</w:t>
            </w:r>
            <w:r>
              <w:rPr>
                <w:rFonts w:hint="eastAsia" w:ascii="仿宋" w:hAnsi="仿宋" w:eastAsia="仿宋"/>
                <w:sz w:val="28"/>
                <w:szCs w:val="28"/>
                <w:lang w:val="en-US" w:eastAsia="zh-CN"/>
              </w:rPr>
              <w:t>18.6</w:t>
            </w:r>
            <w:r>
              <w:rPr>
                <w:rFonts w:hint="eastAsia" w:ascii="仿宋" w:hAnsi="仿宋" w:eastAsia="仿宋"/>
                <w:sz w:val="28"/>
                <w:szCs w:val="28"/>
              </w:rPr>
              <w:t>万元压缩了</w:t>
            </w:r>
            <w:r>
              <w:rPr>
                <w:rFonts w:hint="eastAsia" w:ascii="仿宋" w:hAnsi="仿宋" w:eastAsia="仿宋"/>
                <w:sz w:val="28"/>
                <w:szCs w:val="28"/>
                <w:lang w:val="en-US" w:eastAsia="zh-CN"/>
              </w:rPr>
              <w:t>13</w:t>
            </w:r>
            <w:r>
              <w:rPr>
                <w:rFonts w:hint="eastAsia" w:ascii="仿宋" w:hAnsi="仿宋" w:eastAsia="仿宋"/>
                <w:sz w:val="28"/>
                <w:szCs w:val="28"/>
              </w:rPr>
              <w:t>万元。</w:t>
            </w:r>
          </w:p>
          <w:p>
            <w:pPr>
              <w:tabs>
                <w:tab w:val="left" w:pos="7525"/>
              </w:tabs>
              <w:ind w:left="1095"/>
              <w:rPr>
                <w:rFonts w:hint="eastAsia" w:ascii="仿宋" w:hAnsi="仿宋" w:eastAsia="仿宋"/>
                <w:sz w:val="28"/>
                <w:szCs w:val="28"/>
              </w:rPr>
            </w:pPr>
            <w:r>
              <w:rPr>
                <w:rFonts w:hint="eastAsia" w:ascii="仿宋" w:hAnsi="仿宋" w:eastAsia="仿宋"/>
                <w:b/>
                <w:sz w:val="28"/>
                <w:szCs w:val="28"/>
                <w:lang w:val="en-US" w:eastAsia="zh-CN"/>
              </w:rPr>
              <w:t>3</w:t>
            </w:r>
            <w:r>
              <w:rPr>
                <w:rFonts w:hint="eastAsia" w:ascii="仿宋" w:hAnsi="仿宋" w:eastAsia="仿宋"/>
                <w:b/>
                <w:sz w:val="28"/>
                <w:szCs w:val="28"/>
              </w:rPr>
              <w:t>、固定资产管理情况分析</w:t>
            </w:r>
            <w:r>
              <w:rPr>
                <w:rFonts w:hint="eastAsia" w:ascii="仿宋" w:hAnsi="仿宋" w:eastAsia="仿宋"/>
                <w:sz w:val="28"/>
                <w:szCs w:val="28"/>
              </w:rPr>
              <w:t>：按照例行节约，物尽其用的原则，交通部门资产管理采取统一建账，统一核算管理，对每件固定资产使用明确保管职责，至201</w:t>
            </w:r>
            <w:r>
              <w:rPr>
                <w:rFonts w:hint="eastAsia" w:ascii="仿宋" w:hAnsi="仿宋" w:eastAsia="仿宋"/>
                <w:sz w:val="28"/>
                <w:szCs w:val="28"/>
                <w:lang w:val="en-US" w:eastAsia="zh-CN"/>
              </w:rPr>
              <w:t>8</w:t>
            </w:r>
            <w:r>
              <w:rPr>
                <w:rFonts w:hint="eastAsia" w:ascii="仿宋" w:hAnsi="仿宋" w:eastAsia="仿宋"/>
                <w:sz w:val="28"/>
                <w:szCs w:val="28"/>
              </w:rPr>
              <w:t>年12月末固定资产</w:t>
            </w:r>
            <w:r>
              <w:rPr>
                <w:rFonts w:hint="eastAsia" w:ascii="仿宋" w:hAnsi="仿宋" w:eastAsia="仿宋"/>
                <w:sz w:val="28"/>
                <w:szCs w:val="28"/>
                <w:lang w:val="en-US" w:eastAsia="zh-CN"/>
              </w:rPr>
              <w:t>219.86</w:t>
            </w:r>
            <w:r>
              <w:rPr>
                <w:rFonts w:hint="eastAsia" w:ascii="仿宋" w:hAnsi="仿宋" w:eastAsia="仿宋"/>
                <w:sz w:val="28"/>
                <w:szCs w:val="28"/>
              </w:rPr>
              <w:t>万元。</w:t>
            </w:r>
          </w:p>
          <w:p>
            <w:pPr>
              <w:tabs>
                <w:tab w:val="left" w:pos="7525"/>
              </w:tabs>
              <w:ind w:left="1095"/>
              <w:rPr>
                <w:rFonts w:hint="eastAsia" w:ascii="仿宋" w:hAnsi="仿宋" w:eastAsia="仿宋"/>
                <w:b/>
                <w:sz w:val="28"/>
                <w:szCs w:val="28"/>
              </w:rPr>
            </w:pPr>
            <w:r>
              <w:rPr>
                <w:rFonts w:hint="eastAsia" w:ascii="仿宋" w:hAnsi="仿宋" w:eastAsia="仿宋"/>
                <w:b/>
                <w:sz w:val="28"/>
                <w:szCs w:val="28"/>
              </w:rPr>
              <w:t>（二）部门整体支出管理情况分析</w:t>
            </w:r>
          </w:p>
          <w:p>
            <w:pPr>
              <w:tabs>
                <w:tab w:val="left" w:pos="7525"/>
              </w:tabs>
              <w:ind w:left="1095"/>
              <w:rPr>
                <w:rFonts w:hint="eastAsia" w:ascii="仿宋" w:hAnsi="仿宋" w:eastAsia="仿宋"/>
                <w:sz w:val="28"/>
                <w:szCs w:val="28"/>
              </w:rPr>
            </w:pPr>
            <w:r>
              <w:rPr>
                <w:rFonts w:hint="eastAsia" w:ascii="仿宋" w:hAnsi="仿宋" w:eastAsia="仿宋"/>
                <w:sz w:val="28"/>
                <w:szCs w:val="28"/>
              </w:rPr>
              <w:t>1、严格预算支出管理。在支出预算编制上，人员经费按照配置定额，逐人核定编制，公用经费分类分档，按定额编制；根据“总量控制、计划管理</w:t>
            </w:r>
            <w:r>
              <w:rPr>
                <w:rFonts w:ascii="仿宋" w:hAnsi="仿宋" w:eastAsia="仿宋"/>
                <w:sz w:val="28"/>
                <w:szCs w:val="28"/>
              </w:rPr>
              <w:t>”</w:t>
            </w:r>
            <w:r>
              <w:rPr>
                <w:rFonts w:hint="eastAsia" w:ascii="仿宋" w:hAnsi="仿宋" w:eastAsia="仿宋"/>
                <w:sz w:val="28"/>
                <w:szCs w:val="28"/>
              </w:rPr>
              <w:t>的要求从严控制行政经费，压缩公务费开支，严格控制“三公”经费，资产的配置严格政府采购，按照预算科目和项目资金的规定使用财政资金，保障部门整体支出的规范化、制度化。</w:t>
            </w:r>
          </w:p>
          <w:p>
            <w:pPr>
              <w:tabs>
                <w:tab w:val="left" w:pos="7525"/>
              </w:tabs>
              <w:ind w:left="1095"/>
              <w:rPr>
                <w:rFonts w:hint="eastAsia" w:ascii="仿宋" w:hAnsi="仿宋" w:eastAsia="仿宋"/>
                <w:sz w:val="28"/>
                <w:szCs w:val="28"/>
              </w:rPr>
            </w:pPr>
            <w:r>
              <w:rPr>
                <w:rFonts w:hint="eastAsia" w:ascii="仿宋" w:hAnsi="仿宋" w:eastAsia="仿宋"/>
                <w:sz w:val="28"/>
                <w:szCs w:val="28"/>
              </w:rPr>
              <w:t>2、财务管理上，按照国家相关法律法规，制定了机关财务、公物购置使用、接待、会务、因公出国、车辆使用等管理制度，并严格按照制度管理和执行，防范风险，保证财政资金的安全和高效运行。</w:t>
            </w:r>
          </w:p>
          <w:p>
            <w:pPr>
              <w:tabs>
                <w:tab w:val="left" w:pos="7525"/>
              </w:tabs>
              <w:ind w:left="1095"/>
              <w:rPr>
                <w:rFonts w:hint="eastAsia" w:ascii="仿宋" w:hAnsi="仿宋" w:eastAsia="仿宋"/>
                <w:b/>
                <w:sz w:val="28"/>
                <w:szCs w:val="28"/>
              </w:rPr>
            </w:pPr>
            <w:r>
              <w:rPr>
                <w:rFonts w:hint="eastAsia" w:ascii="仿宋" w:hAnsi="仿宋" w:eastAsia="仿宋"/>
                <w:b/>
                <w:sz w:val="28"/>
                <w:szCs w:val="28"/>
              </w:rPr>
              <w:t>四、整体支出绩效情况分析</w:t>
            </w:r>
          </w:p>
          <w:p>
            <w:pPr>
              <w:tabs>
                <w:tab w:val="left" w:pos="7525"/>
              </w:tabs>
              <w:ind w:left="1095"/>
              <w:rPr>
                <w:rFonts w:hint="eastAsia" w:ascii="仿宋" w:hAnsi="仿宋" w:eastAsia="仿宋"/>
                <w:sz w:val="28"/>
                <w:szCs w:val="28"/>
              </w:rPr>
            </w:pPr>
            <w:r>
              <w:rPr>
                <w:rFonts w:hint="eastAsia" w:ascii="仿宋" w:hAnsi="仿宋" w:eastAsia="仿宋"/>
                <w:sz w:val="28"/>
                <w:szCs w:val="28"/>
              </w:rPr>
              <w:t>201</w:t>
            </w:r>
            <w:r>
              <w:rPr>
                <w:rFonts w:hint="eastAsia" w:ascii="仿宋" w:hAnsi="仿宋" w:eastAsia="仿宋"/>
                <w:sz w:val="28"/>
                <w:szCs w:val="28"/>
                <w:lang w:val="en-US" w:eastAsia="zh-CN"/>
              </w:rPr>
              <w:t>8</w:t>
            </w:r>
            <w:r>
              <w:rPr>
                <w:rFonts w:hint="eastAsia" w:ascii="仿宋" w:hAnsi="仿宋" w:eastAsia="仿宋"/>
                <w:sz w:val="28"/>
                <w:szCs w:val="28"/>
              </w:rPr>
              <w:t>年，根据该局年初工作规划和重点工作，围绕县委、县政府的工作部署，积极履行职责，强化管理，较好地完成了年度工作目标，同时加强预算收支的管理，建立健全内部管理制度，严格内部管理流程，部门整体支出管理得到了提升。201</w:t>
            </w:r>
            <w:r>
              <w:rPr>
                <w:rFonts w:hint="eastAsia" w:ascii="仿宋" w:hAnsi="仿宋" w:eastAsia="仿宋"/>
                <w:sz w:val="28"/>
                <w:szCs w:val="28"/>
                <w:lang w:val="en-US" w:eastAsia="zh-CN"/>
              </w:rPr>
              <w:t>8</w:t>
            </w:r>
            <w:r>
              <w:rPr>
                <w:rFonts w:hint="eastAsia" w:ascii="仿宋" w:hAnsi="仿宋" w:eastAsia="仿宋"/>
                <w:sz w:val="28"/>
                <w:szCs w:val="28"/>
              </w:rPr>
              <w:t>年度部门整体支出绩效情况如下：</w:t>
            </w:r>
          </w:p>
          <w:p>
            <w:pPr>
              <w:numPr>
                <w:ilvl w:val="0"/>
                <w:numId w:val="0"/>
              </w:numPr>
              <w:tabs>
                <w:tab w:val="left" w:pos="7525"/>
              </w:tabs>
              <w:ind w:left="1515" w:leftChars="0"/>
              <w:rPr>
                <w:rFonts w:hint="eastAsia" w:ascii="仿宋" w:hAnsi="仿宋" w:eastAsia="仿宋"/>
                <w:sz w:val="28"/>
                <w:szCs w:val="28"/>
              </w:rPr>
            </w:pPr>
            <w:r>
              <w:rPr>
                <w:rFonts w:hint="eastAsia" w:ascii="仿宋" w:hAnsi="仿宋" w:eastAsia="仿宋"/>
                <w:sz w:val="28"/>
                <w:szCs w:val="28"/>
                <w:lang w:val="en-US" w:eastAsia="zh-CN"/>
              </w:rPr>
              <w:t>1、</w:t>
            </w:r>
            <w:r>
              <w:rPr>
                <w:rFonts w:hint="eastAsia" w:ascii="仿宋" w:hAnsi="仿宋" w:eastAsia="仿宋"/>
                <w:sz w:val="28"/>
                <w:szCs w:val="28"/>
              </w:rPr>
              <w:t>本年“三公”经费较上年有减少。</w:t>
            </w:r>
          </w:p>
          <w:p>
            <w:pPr>
              <w:numPr>
                <w:ilvl w:val="0"/>
                <w:numId w:val="0"/>
              </w:numPr>
              <w:tabs>
                <w:tab w:val="left" w:pos="7525"/>
              </w:tabs>
              <w:ind w:left="1515" w:leftChars="0"/>
              <w:rPr>
                <w:rFonts w:hint="eastAsia" w:ascii="仿宋" w:hAnsi="仿宋" w:eastAsia="仿宋"/>
                <w:sz w:val="28"/>
                <w:szCs w:val="28"/>
              </w:rPr>
            </w:pPr>
            <w:r>
              <w:rPr>
                <w:rFonts w:hint="eastAsia" w:ascii="仿宋" w:hAnsi="仿宋" w:eastAsia="仿宋"/>
                <w:sz w:val="28"/>
                <w:szCs w:val="28"/>
                <w:lang w:val="en-US" w:eastAsia="zh-CN"/>
              </w:rPr>
              <w:t>2、</w:t>
            </w:r>
            <w:r>
              <w:rPr>
                <w:rFonts w:hint="eastAsia" w:ascii="仿宋" w:hAnsi="仿宋" w:eastAsia="仿宋"/>
                <w:sz w:val="28"/>
                <w:szCs w:val="28"/>
              </w:rPr>
              <w:t>预算执行方面，该单位预算资金按规定管理使用。</w:t>
            </w:r>
          </w:p>
          <w:p>
            <w:pPr>
              <w:numPr>
                <w:ilvl w:val="0"/>
                <w:numId w:val="0"/>
              </w:numPr>
              <w:tabs>
                <w:tab w:val="left" w:pos="7525"/>
              </w:tabs>
              <w:ind w:left="1515" w:leftChars="0"/>
              <w:rPr>
                <w:rFonts w:hint="eastAsia" w:ascii="仿宋" w:hAnsi="仿宋" w:eastAsia="仿宋"/>
                <w:sz w:val="28"/>
                <w:szCs w:val="28"/>
              </w:rPr>
            </w:pPr>
            <w:r>
              <w:rPr>
                <w:rFonts w:hint="eastAsia" w:ascii="仿宋" w:hAnsi="仿宋" w:eastAsia="仿宋"/>
                <w:sz w:val="28"/>
                <w:szCs w:val="28"/>
                <w:lang w:val="en-US" w:eastAsia="zh-CN"/>
              </w:rPr>
              <w:t>3、</w:t>
            </w:r>
            <w:r>
              <w:rPr>
                <w:rFonts w:hint="eastAsia" w:ascii="仿宋" w:hAnsi="仿宋" w:eastAsia="仿宋"/>
                <w:sz w:val="28"/>
                <w:szCs w:val="28"/>
              </w:rPr>
              <w:t>预算管理方面，交通部门制定了切实有效的内部财务、资产内部管理制度，执行总体较为有效。</w:t>
            </w:r>
          </w:p>
          <w:p>
            <w:pPr>
              <w:numPr>
                <w:ilvl w:val="0"/>
                <w:numId w:val="0"/>
              </w:numPr>
              <w:tabs>
                <w:tab w:val="left" w:pos="7525"/>
              </w:tabs>
              <w:ind w:left="1515" w:leftChars="0"/>
              <w:rPr>
                <w:rFonts w:hint="eastAsia" w:ascii="仿宋" w:hAnsi="仿宋" w:eastAsia="仿宋"/>
                <w:sz w:val="28"/>
                <w:szCs w:val="28"/>
                <w:lang w:eastAsia="zh-CN"/>
              </w:rPr>
            </w:pPr>
            <w:r>
              <w:rPr>
                <w:rFonts w:hint="eastAsia" w:ascii="仿宋" w:hAnsi="仿宋" w:eastAsia="仿宋"/>
                <w:sz w:val="28"/>
                <w:szCs w:val="28"/>
                <w:lang w:val="en-US" w:eastAsia="zh-CN"/>
              </w:rPr>
              <w:t>4、</w:t>
            </w:r>
            <w:r>
              <w:rPr>
                <w:rFonts w:hint="eastAsia" w:ascii="仿宋" w:hAnsi="仿宋" w:eastAsia="仿宋"/>
                <w:sz w:val="28"/>
                <w:szCs w:val="28"/>
                <w:lang w:eastAsia="zh-CN"/>
              </w:rPr>
              <w:t>重大项目建设协调推进有力。容城大道完成投资12851万元，年度目标任务完成率86.7%；绕城公路完成投资9600万元，路基、桥梁、涵洞三项工程综合完成率95%；农村公路建设综合完成率87.5%；梅田湖大桥施工单位已进场，启动了15号桩基冲击钻试钻。华容河航道项目完成投资9536万元，旗杆咀船闸主体工程完成率72.4%；县道张白线升级改造已完工通车，完成投资3000万元。新北线升级改造已完成40%的工程量。</w:t>
            </w:r>
          </w:p>
          <w:p>
            <w:pPr>
              <w:numPr>
                <w:ilvl w:val="0"/>
                <w:numId w:val="0"/>
              </w:numPr>
              <w:tabs>
                <w:tab w:val="left" w:pos="7525"/>
              </w:tabs>
              <w:ind w:left="1515" w:leftChars="0"/>
              <w:rPr>
                <w:rFonts w:hint="eastAsia" w:ascii="仿宋" w:hAnsi="仿宋" w:eastAsia="仿宋"/>
                <w:sz w:val="32"/>
                <w:lang w:eastAsia="zh-CN"/>
              </w:rPr>
            </w:pPr>
            <w:r>
              <w:rPr>
                <w:rFonts w:hint="eastAsia" w:ascii="仿宋" w:hAnsi="仿宋" w:eastAsia="仿宋"/>
                <w:sz w:val="28"/>
                <w:szCs w:val="28"/>
                <w:lang w:val="en-US" w:eastAsia="zh-CN"/>
              </w:rPr>
              <w:t>5、</w:t>
            </w:r>
            <w:r>
              <w:rPr>
                <w:rFonts w:hint="eastAsia" w:ascii="仿宋" w:hAnsi="仿宋" w:eastAsia="仿宋"/>
                <w:sz w:val="28"/>
                <w:szCs w:val="28"/>
                <w:lang w:eastAsia="zh-CN"/>
              </w:rPr>
              <w:t>服务上级重大决策积极有为。长江岸线港口码头专项整治工作落实有效；“僵尸船”清理整治工作落实有效；出租汽车续牌更新顺利完成；城区公交线路调整到位文明创建工作落实有效。</w:t>
            </w:r>
          </w:p>
          <w:p>
            <w:pPr>
              <w:tabs>
                <w:tab w:val="left" w:pos="7525"/>
              </w:tabs>
              <w:ind w:firstLine="1405" w:firstLineChars="500"/>
              <w:rPr>
                <w:rFonts w:hint="eastAsia" w:ascii="仿宋" w:hAnsi="仿宋" w:eastAsia="仿宋"/>
                <w:b/>
                <w:sz w:val="28"/>
                <w:szCs w:val="28"/>
              </w:rPr>
            </w:pPr>
            <w:r>
              <w:rPr>
                <w:rFonts w:hint="eastAsia" w:ascii="仿宋" w:hAnsi="仿宋" w:eastAsia="仿宋"/>
                <w:b/>
                <w:sz w:val="28"/>
                <w:szCs w:val="28"/>
              </w:rPr>
              <w:t>五、整体支出综合评价及结论</w:t>
            </w:r>
          </w:p>
          <w:p>
            <w:pPr>
              <w:tabs>
                <w:tab w:val="left" w:pos="7525"/>
              </w:tabs>
              <w:rPr>
                <w:rFonts w:hint="eastAsia" w:ascii="仿宋" w:hAnsi="仿宋" w:eastAsia="仿宋"/>
                <w:sz w:val="28"/>
                <w:szCs w:val="28"/>
              </w:rPr>
            </w:pPr>
            <w:r>
              <w:rPr>
                <w:rFonts w:hint="eastAsia" w:ascii="仿宋" w:hAnsi="仿宋" w:eastAsia="仿宋"/>
                <w:sz w:val="28"/>
                <w:szCs w:val="28"/>
              </w:rPr>
              <w:t xml:space="preserve">           根据考核评分细则，考评组认为华容县交通部门201</w:t>
            </w:r>
            <w:r>
              <w:rPr>
                <w:rFonts w:hint="eastAsia" w:ascii="仿宋" w:hAnsi="仿宋" w:eastAsia="仿宋"/>
                <w:sz w:val="28"/>
                <w:szCs w:val="28"/>
                <w:lang w:val="en-US" w:eastAsia="zh-CN"/>
              </w:rPr>
              <w:t>8</w:t>
            </w:r>
            <w:r>
              <w:rPr>
                <w:rFonts w:hint="eastAsia" w:ascii="仿宋" w:hAnsi="仿宋" w:eastAsia="仿宋"/>
                <w:sz w:val="28"/>
                <w:szCs w:val="28"/>
              </w:rPr>
              <w:t>年整体支出，严格按照国家的相关财务管理制度规定，财务制度健全、会计核算规范，依照计划管理使用，交通部门的整体支出对保障交通部门工作的正常运行，贯彻执行国家和省办方针、政策、法律法规，发挥了重要作用，强化部门的责任，交通建设取得了一定的成绩。按照部门整体支出绩效评价指标体系对照打分的出结果为99分，等级为优秀。</w:t>
            </w:r>
          </w:p>
          <w:p>
            <w:pPr>
              <w:tabs>
                <w:tab w:val="left" w:pos="7525"/>
              </w:tabs>
              <w:rPr>
                <w:rFonts w:hint="eastAsia" w:ascii="仿宋" w:hAnsi="仿宋" w:eastAsia="仿宋"/>
                <w:b/>
                <w:sz w:val="28"/>
                <w:szCs w:val="28"/>
              </w:rPr>
            </w:pPr>
            <w:r>
              <w:rPr>
                <w:rFonts w:hint="eastAsia" w:ascii="仿宋" w:hAnsi="仿宋" w:eastAsia="仿宋"/>
                <w:sz w:val="28"/>
                <w:szCs w:val="28"/>
              </w:rPr>
              <w:t xml:space="preserve">           </w:t>
            </w:r>
            <w:r>
              <w:rPr>
                <w:rFonts w:hint="eastAsia" w:ascii="仿宋" w:hAnsi="仿宋" w:eastAsia="仿宋"/>
                <w:b/>
                <w:sz w:val="28"/>
                <w:szCs w:val="28"/>
              </w:rPr>
              <w:t>六、存在的问题</w:t>
            </w:r>
          </w:p>
          <w:p>
            <w:pPr>
              <w:tabs>
                <w:tab w:val="left" w:pos="7525"/>
              </w:tabs>
              <w:rPr>
                <w:rFonts w:hint="eastAsia" w:ascii="仿宋" w:hAnsi="仿宋" w:eastAsia="仿宋"/>
                <w:sz w:val="28"/>
                <w:szCs w:val="28"/>
              </w:rPr>
            </w:pPr>
            <w:r>
              <w:rPr>
                <w:rFonts w:hint="eastAsia" w:ascii="仿宋" w:hAnsi="仿宋" w:eastAsia="仿宋"/>
                <w:sz w:val="28"/>
                <w:szCs w:val="28"/>
              </w:rPr>
              <w:t xml:space="preserve">        预算编制有待更严格执行，预算编制与实际支出项目有的存在差异。</w:t>
            </w:r>
          </w:p>
          <w:p>
            <w:pPr>
              <w:tabs>
                <w:tab w:val="left" w:pos="7525"/>
              </w:tabs>
              <w:rPr>
                <w:rFonts w:hint="eastAsia" w:ascii="仿宋" w:hAnsi="仿宋" w:eastAsia="仿宋"/>
                <w:b/>
                <w:sz w:val="28"/>
                <w:szCs w:val="28"/>
              </w:rPr>
            </w:pPr>
            <w:r>
              <w:rPr>
                <w:rFonts w:hint="eastAsia" w:ascii="仿宋" w:hAnsi="仿宋" w:eastAsia="仿宋"/>
                <w:sz w:val="28"/>
                <w:szCs w:val="28"/>
              </w:rPr>
              <w:t xml:space="preserve">          </w:t>
            </w:r>
            <w:r>
              <w:rPr>
                <w:rFonts w:hint="eastAsia" w:ascii="仿宋" w:hAnsi="仿宋" w:eastAsia="仿宋"/>
                <w:b/>
                <w:sz w:val="28"/>
                <w:szCs w:val="28"/>
              </w:rPr>
              <w:t xml:space="preserve"> 七、工作建议</w:t>
            </w:r>
          </w:p>
          <w:p>
            <w:pPr>
              <w:tabs>
                <w:tab w:val="left" w:pos="7525"/>
              </w:tabs>
              <w:rPr>
                <w:rFonts w:hint="eastAsia" w:ascii="仿宋" w:hAnsi="仿宋" w:eastAsia="仿宋"/>
                <w:sz w:val="28"/>
                <w:szCs w:val="28"/>
              </w:rPr>
            </w:pPr>
            <w:r>
              <w:rPr>
                <w:rFonts w:hint="eastAsia" w:ascii="仿宋" w:hAnsi="仿宋" w:eastAsia="仿宋"/>
                <w:sz w:val="28"/>
                <w:szCs w:val="28"/>
              </w:rPr>
              <w:t xml:space="preserve">           一是按照预算规定的项目和用途严格财务审核，经费支出严格按预算规定项目的财务支出内容进行财务核算，在预算金额内严格控制费用的支出。</w:t>
            </w:r>
          </w:p>
          <w:p>
            <w:pPr>
              <w:tabs>
                <w:tab w:val="left" w:pos="7525"/>
              </w:tabs>
              <w:rPr>
                <w:rFonts w:hint="eastAsia" w:ascii="仿宋" w:hAnsi="仿宋" w:eastAsia="仿宋"/>
                <w:sz w:val="28"/>
                <w:szCs w:val="28"/>
              </w:rPr>
            </w:pPr>
            <w:r>
              <w:rPr>
                <w:rFonts w:hint="eastAsia" w:ascii="仿宋" w:hAnsi="仿宋" w:eastAsia="仿宋"/>
                <w:sz w:val="28"/>
                <w:szCs w:val="28"/>
              </w:rPr>
              <w:t xml:space="preserve">           二是严格控制“三公”经费支出，杜绝挪用和挤占其他预算资金；进一步细化“三公”经费管理，压缩“三公”经费支出。</w:t>
            </w:r>
          </w:p>
          <w:p>
            <w:pPr>
              <w:tabs>
                <w:tab w:val="left" w:pos="7525"/>
              </w:tabs>
              <w:rPr>
                <w:rFonts w:hint="eastAsia" w:ascii="仿宋" w:hAnsi="仿宋" w:eastAsia="仿宋"/>
                <w:sz w:val="28"/>
                <w:szCs w:val="28"/>
              </w:rPr>
            </w:pPr>
            <w:r>
              <w:rPr>
                <w:rFonts w:hint="eastAsia" w:ascii="仿宋" w:hAnsi="仿宋" w:eastAsia="仿宋"/>
                <w:sz w:val="28"/>
                <w:szCs w:val="28"/>
              </w:rPr>
              <w:t xml:space="preserve">           三是预算财务分析常态化，定期做好预算支出财务分析，做好部门整体支出预算评价工作。</w:t>
            </w:r>
          </w:p>
          <w:p>
            <w:pPr>
              <w:tabs>
                <w:tab w:val="left" w:pos="7525"/>
              </w:tabs>
              <w:rPr>
                <w:rFonts w:hint="eastAsia" w:ascii="仿宋" w:hAnsi="仿宋" w:eastAsia="仿宋"/>
                <w:sz w:val="28"/>
                <w:szCs w:val="28"/>
              </w:rPr>
            </w:pPr>
          </w:p>
          <w:p>
            <w:pPr>
              <w:tabs>
                <w:tab w:val="left" w:pos="7525"/>
              </w:tabs>
              <w:rPr>
                <w:rFonts w:hint="eastAsia" w:ascii="仿宋" w:hAnsi="仿宋" w:eastAsia="仿宋"/>
                <w:sz w:val="28"/>
                <w:szCs w:val="28"/>
              </w:rPr>
            </w:pPr>
            <w:r>
              <w:rPr>
                <w:rFonts w:hint="eastAsia" w:ascii="仿宋" w:hAnsi="仿宋" w:eastAsia="仿宋"/>
                <w:sz w:val="28"/>
                <w:szCs w:val="28"/>
              </w:rPr>
              <w:t xml:space="preserve">                                          </w:t>
            </w:r>
            <w:r>
              <w:rPr>
                <w:rFonts w:hint="eastAsia" w:ascii="仿宋" w:hAnsi="仿宋" w:eastAsia="仿宋"/>
                <w:sz w:val="28"/>
                <w:szCs w:val="28"/>
                <w:lang w:val="en-US" w:eastAsia="zh-CN"/>
              </w:rPr>
              <w:t xml:space="preserve">    </w:t>
            </w:r>
            <w:r>
              <w:rPr>
                <w:rFonts w:hint="eastAsia" w:ascii="仿宋" w:hAnsi="仿宋" w:eastAsia="仿宋"/>
                <w:sz w:val="28"/>
                <w:szCs w:val="28"/>
              </w:rPr>
              <w:t xml:space="preserve"> 华容县交通运输局</w:t>
            </w:r>
          </w:p>
          <w:p>
            <w:pPr>
              <w:spacing w:line="500" w:lineRule="exact"/>
              <w:ind w:firstLine="560" w:firstLineChars="200"/>
              <w:rPr>
                <w:rFonts w:hint="eastAsia" w:ascii="黑体" w:hAnsi="黑体" w:eastAsia="黑体" w:cs="黑体"/>
                <w:bCs/>
                <w:sz w:val="28"/>
                <w:szCs w:val="28"/>
              </w:rPr>
            </w:pPr>
            <w:r>
              <w:rPr>
                <w:rFonts w:hint="eastAsia" w:ascii="仿宋" w:hAnsi="仿宋" w:eastAsia="仿宋"/>
                <w:sz w:val="28"/>
                <w:szCs w:val="28"/>
              </w:rPr>
              <w:t xml:space="preserve">                                             201</w:t>
            </w:r>
            <w:r>
              <w:rPr>
                <w:rFonts w:hint="eastAsia" w:ascii="仿宋" w:hAnsi="仿宋" w:eastAsia="仿宋"/>
                <w:sz w:val="28"/>
                <w:szCs w:val="28"/>
                <w:lang w:val="en-US" w:eastAsia="zh-CN"/>
              </w:rPr>
              <w:t>9</w:t>
            </w:r>
            <w:r>
              <w:rPr>
                <w:rFonts w:hint="eastAsia" w:ascii="仿宋" w:hAnsi="仿宋" w:eastAsia="仿宋"/>
                <w:sz w:val="28"/>
                <w:szCs w:val="28"/>
              </w:rPr>
              <w:t>年</w:t>
            </w:r>
            <w:r>
              <w:rPr>
                <w:rFonts w:hint="eastAsia" w:ascii="仿宋" w:hAnsi="仿宋" w:eastAsia="仿宋"/>
                <w:sz w:val="28"/>
                <w:szCs w:val="28"/>
                <w:lang w:val="en-US" w:eastAsia="zh-CN"/>
              </w:rPr>
              <w:t>9</w:t>
            </w:r>
            <w:r>
              <w:rPr>
                <w:rFonts w:hint="eastAsia" w:ascii="仿宋" w:hAnsi="仿宋" w:eastAsia="仿宋"/>
                <w:sz w:val="28"/>
                <w:szCs w:val="28"/>
              </w:rPr>
              <w:t>月</w:t>
            </w:r>
          </w:p>
          <w:p>
            <w:pPr>
              <w:shd w:val="clear"/>
              <w:rPr>
                <w:rFonts w:eastAsia="楷体_GB2312"/>
                <w:b w:val="0"/>
                <w:bCs w:val="0"/>
                <w:sz w:val="28"/>
                <w:szCs w:val="28"/>
              </w:rPr>
            </w:pPr>
          </w:p>
        </w:tc>
      </w:tr>
    </w:tbl>
    <w:p>
      <w:pPr>
        <w:shd w:val="clear"/>
        <w:spacing w:line="348" w:lineRule="auto"/>
        <w:rPr>
          <w:rFonts w:eastAsia="楷体_GB2312"/>
          <w:bCs/>
          <w:sz w:val="28"/>
          <w:szCs w:val="28"/>
        </w:rPr>
      </w:pPr>
    </w:p>
    <w:p>
      <w:pPr>
        <w:shd w:val="clear"/>
        <w:rPr>
          <w:rFonts w:hint="eastAsia" w:ascii="黑体" w:hAnsi="黑体" w:eastAsia="黑体"/>
          <w:sz w:val="32"/>
          <w:szCs w:val="32"/>
        </w:rPr>
      </w:pPr>
      <w:r>
        <w:rPr>
          <w:rFonts w:eastAsia="楷体_GB2312"/>
          <w:bCs/>
          <w:sz w:val="28"/>
          <w:szCs w:val="28"/>
        </w:rPr>
        <w:br w:type="page"/>
      </w:r>
    </w:p>
    <w:p>
      <w:pPr>
        <w:jc w:val="center"/>
        <w:rPr>
          <w:rFonts w:hint="eastAsia" w:ascii="方正小标宋简体" w:eastAsia="方正小标宋简体"/>
          <w:sz w:val="38"/>
          <w:szCs w:val="38"/>
        </w:rPr>
      </w:pPr>
    </w:p>
    <w:p>
      <w:pPr>
        <w:jc w:val="center"/>
        <w:rPr>
          <w:rFonts w:hint="eastAsia" w:ascii="方正小标宋简体" w:eastAsia="方正小标宋简体"/>
          <w:sz w:val="38"/>
          <w:szCs w:val="38"/>
        </w:rPr>
      </w:pPr>
      <w:r>
        <w:rPr>
          <w:rFonts w:hint="eastAsia" w:ascii="方正小标宋简体" w:eastAsia="方正小标宋简体"/>
          <w:sz w:val="38"/>
          <w:szCs w:val="38"/>
          <w:lang w:eastAsia="zh-CN"/>
        </w:rPr>
        <w:t>交通局</w:t>
      </w:r>
      <w:r>
        <w:rPr>
          <w:rFonts w:hint="eastAsia" w:ascii="方正小标宋简体" w:eastAsia="方正小标宋简体"/>
          <w:sz w:val="38"/>
          <w:szCs w:val="38"/>
        </w:rPr>
        <w:t>部门整体支出绩效评价评分表</w:t>
      </w:r>
    </w:p>
    <w:tbl>
      <w:tblPr>
        <w:tblStyle w:val="4"/>
        <w:tblW w:w="9894" w:type="dxa"/>
        <w:jc w:val="center"/>
        <w:tblInd w:w="0" w:type="dxa"/>
        <w:tblLayout w:type="fixed"/>
        <w:tblCellMar>
          <w:top w:w="0" w:type="dxa"/>
          <w:left w:w="108" w:type="dxa"/>
          <w:bottom w:w="0" w:type="dxa"/>
          <w:right w:w="108" w:type="dxa"/>
        </w:tblCellMar>
      </w:tblPr>
      <w:tblGrid>
        <w:gridCol w:w="976"/>
        <w:gridCol w:w="939"/>
        <w:gridCol w:w="1389"/>
        <w:gridCol w:w="4171"/>
        <w:gridCol w:w="619"/>
        <w:gridCol w:w="720"/>
        <w:gridCol w:w="1080"/>
      </w:tblGrid>
      <w:tr>
        <w:tblPrEx>
          <w:tblLayout w:type="fixed"/>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Layout w:type="fixed"/>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  入</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1039"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495"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6</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915"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②相关管理制度合法、合规、完整，1分；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②资金拨付有完整的审批程序和手续；</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③项目支出按规定经过评估论证；</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④支出符合部门预算批复的用途；</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⑤资金使用无截留、挤占、挪用、虚列支出等情况。</w:t>
            </w:r>
            <w:r>
              <w:rPr>
                <w:rFonts w:hint="eastAsia" w:ascii="仿宋_GB2312" w:hAnsi="宋体" w:eastAsia="仿宋_GB2312" w:cs="宋体"/>
                <w:spacing w:val="-6"/>
                <w:kern w:val="0"/>
                <w:sz w:val="18"/>
                <w:szCs w:val="18"/>
              </w:rPr>
              <w:br w:type="textWrapping"/>
            </w: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45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②按规定时限公开预决算信息，0.5分；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③基础数据信息和会计信息资料真实，0.5分；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④基础数据信息和会计信息资料完整，0.5分；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57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w:t>
            </w:r>
            <w:r>
              <w:rPr>
                <w:rFonts w:hint="eastAsia" w:ascii="仿宋_GB2312" w:hAnsi="宋体" w:eastAsia="仿宋_GB2312" w:cs="宋体"/>
                <w:kern w:val="0"/>
                <w:sz w:val="18"/>
                <w:szCs w:val="18"/>
                <w:lang w:val="en-US" w:eastAsia="zh-CN"/>
              </w:rPr>
              <w:t>7</w:t>
            </w:r>
            <w:r>
              <w:rPr>
                <w:rFonts w:hint="eastAsia" w:ascii="仿宋_GB2312" w:hAnsi="宋体" w:eastAsia="仿宋_GB2312" w:cs="宋体"/>
                <w:kern w:val="0"/>
                <w:sz w:val="18"/>
                <w:szCs w:val="18"/>
              </w:rPr>
              <w:t>0％以上的，得3分。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73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bl>
    <w:p/>
    <w:tbl>
      <w:tblPr>
        <w:tblStyle w:val="4"/>
        <w:tblW w:w="9894" w:type="dxa"/>
        <w:jc w:val="center"/>
        <w:tblInd w:w="0" w:type="dxa"/>
        <w:tblLayout w:type="fixed"/>
        <w:tblCellMar>
          <w:top w:w="0" w:type="dxa"/>
          <w:left w:w="108" w:type="dxa"/>
          <w:bottom w:w="0" w:type="dxa"/>
          <w:right w:w="108" w:type="dxa"/>
        </w:tblCellMar>
      </w:tblPr>
      <w:tblGrid>
        <w:gridCol w:w="976"/>
        <w:gridCol w:w="939"/>
        <w:gridCol w:w="1389"/>
        <w:gridCol w:w="4171"/>
        <w:gridCol w:w="619"/>
        <w:gridCol w:w="720"/>
        <w:gridCol w:w="1080"/>
      </w:tblGrid>
      <w:tr>
        <w:tblPrEx>
          <w:tblLayout w:type="fixed"/>
          <w:tblCellMar>
            <w:top w:w="0" w:type="dxa"/>
            <w:left w:w="108" w:type="dxa"/>
            <w:bottom w:w="0" w:type="dxa"/>
            <w:right w:w="108" w:type="dxa"/>
          </w:tblCellMar>
        </w:tblPrEx>
        <w:trPr>
          <w:trHeight w:val="609"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Layout w:type="fixed"/>
          <w:tblCellMar>
            <w:top w:w="0" w:type="dxa"/>
            <w:left w:w="108" w:type="dxa"/>
            <w:bottom w:w="0" w:type="dxa"/>
            <w:right w:w="108" w:type="dxa"/>
          </w:tblCellMar>
        </w:tblPrEx>
        <w:trPr>
          <w:trHeight w:val="2011" w:hRule="atLeast"/>
          <w:jc w:val="center"/>
        </w:trPr>
        <w:tc>
          <w:tcPr>
            <w:tcW w:w="976"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安全性</w:t>
            </w:r>
          </w:p>
        </w:tc>
        <w:tc>
          <w:tcPr>
            <w:tcW w:w="417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②资产配置合理；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③资产处置规范； </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④资产账务管理合规，帐实相符；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⑤资产有偿使用及处置收入及时足额上缴；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以上情况每出现一例不符合有关要求的扣1分，扣完为止。</w:t>
            </w:r>
          </w:p>
        </w:tc>
        <w:tc>
          <w:tcPr>
            <w:tcW w:w="61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774"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利用率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9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39"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（25分）</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推进全面小康建设指标任务完成情况</w:t>
            </w:r>
          </w:p>
        </w:tc>
        <w:tc>
          <w:tcPr>
            <w:tcW w:w="4171"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ascii="仿宋_GB2312" w:hAnsi="宋体" w:cs="宋体"/>
                <w:kern w:val="0"/>
                <w:sz w:val="18"/>
                <w:szCs w:val="18"/>
              </w:rPr>
              <w:t>此项指标根据《中共华容县委  华容县人民政府〈关于下达“六大工程”暨“四大会战”2018年度重大项目重点工作任务〉的通知》（华发[2018]1号）考核内容设置。</w:t>
            </w:r>
            <w:r>
              <w:rPr>
                <w:rFonts w:ascii="仿宋_GB2312" w:hAnsi="宋体" w:cs="宋体"/>
                <w:kern w:val="0"/>
                <w:sz w:val="18"/>
                <w:szCs w:val="18"/>
              </w:rPr>
              <w:br w:type="textWrapping"/>
            </w:r>
            <w:r>
              <w:rPr>
                <w:rFonts w:ascii="仿宋_GB2312" w:hAnsi="宋体" w:cs="宋体"/>
                <w:kern w:val="0"/>
                <w:sz w:val="18"/>
                <w:szCs w:val="18"/>
              </w:rPr>
              <w:t>部门单位应根据部门实际进行调整，并将其细化成相应的个性化指标。</w:t>
            </w:r>
            <w:r>
              <w:rPr>
                <w:rFonts w:hint="eastAsia" w:ascii="仿宋_GB2312" w:hAnsi="宋体" w:eastAsia="仿宋_GB2312" w:cs="宋体"/>
                <w:kern w:val="0"/>
                <w:sz w:val="18"/>
                <w:szCs w:val="18"/>
              </w:rPr>
              <w:t>。</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建设湖南新增极目标任务完成情况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7</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8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8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  果</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939"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71"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19"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1113"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70" w:hRule="atLeast"/>
          <w:jc w:val="center"/>
        </w:trPr>
        <w:tc>
          <w:tcPr>
            <w:tcW w:w="976"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3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4171"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b/>
                <w:bCs/>
                <w:kern w:val="0"/>
                <w:sz w:val="18"/>
                <w:szCs w:val="18"/>
                <w:lang w:val="en-US" w:eastAsia="zh-CN"/>
              </w:rPr>
            </w:pPr>
            <w:r>
              <w:rPr>
                <w:rFonts w:hint="eastAsia" w:ascii="仿宋_GB2312" w:hAnsi="宋体" w:eastAsia="仿宋_GB2312" w:cs="宋体"/>
                <w:b/>
                <w:bCs/>
                <w:kern w:val="0"/>
                <w:sz w:val="18"/>
                <w:szCs w:val="18"/>
                <w:lang w:val="en-US" w:eastAsia="zh-CN"/>
              </w:rPr>
              <w:t>99</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r>
    </w:tbl>
    <w:p>
      <w:pPr>
        <w:adjustRightInd w:val="0"/>
        <w:snapToGrid w:val="0"/>
        <w:spacing w:before="156" w:beforeLines="50"/>
        <w:contextualSpacing/>
        <w:rPr>
          <w:rFonts w:hint="eastAsia" w:ascii="仿宋_GB2312" w:hAnsi="宋体" w:eastAsia="仿宋_GB2312" w:cs="宋体"/>
          <w:kern w:val="0"/>
          <w:szCs w:val="21"/>
          <w:lang w:eastAsia="zh-CN"/>
        </w:rPr>
      </w:pPr>
      <w:r>
        <w:rPr>
          <w:rFonts w:hint="eastAsia" w:ascii="仿宋_GB2312" w:hAnsi="宋体" w:eastAsia="仿宋_GB2312" w:cs="宋体"/>
          <w:kern w:val="0"/>
          <w:szCs w:val="21"/>
        </w:rPr>
        <w:t>备注：部门（单位）</w:t>
      </w:r>
      <w:r>
        <w:rPr>
          <w:rFonts w:hint="eastAsia" w:ascii="仿宋_GB2312" w:hAnsi="宋体" w:eastAsia="仿宋_GB2312" w:cs="宋体"/>
          <w:kern w:val="0"/>
          <w:szCs w:val="21"/>
          <w:lang w:eastAsia="zh-CN"/>
        </w:rPr>
        <w:t>可</w:t>
      </w:r>
      <w:r>
        <w:rPr>
          <w:rFonts w:hint="eastAsia" w:ascii="仿宋_GB2312" w:hAnsi="宋体" w:eastAsia="仿宋_GB2312" w:cs="宋体"/>
          <w:kern w:val="0"/>
          <w:szCs w:val="21"/>
        </w:rPr>
        <w:t>根据本部门实际情况</w:t>
      </w:r>
      <w:r>
        <w:rPr>
          <w:rFonts w:hint="eastAsia" w:ascii="仿宋_GB2312" w:hAnsi="宋体" w:eastAsia="仿宋_GB2312" w:cs="宋体"/>
          <w:kern w:val="0"/>
          <w:szCs w:val="21"/>
          <w:lang w:eastAsia="zh-CN"/>
        </w:rPr>
        <w:t>，对评价指标体系</w:t>
      </w:r>
      <w:r>
        <w:rPr>
          <w:rFonts w:hint="eastAsia" w:ascii="仿宋_GB2312" w:eastAsia="仿宋_GB2312"/>
        </w:rPr>
        <w:t>进一步完善、量化、细化个性指标，形成本</w:t>
      </w:r>
      <w:r>
        <w:rPr>
          <w:rFonts w:hint="eastAsia" w:ascii="仿宋_GB2312" w:eastAsia="仿宋_GB2312"/>
          <w:lang w:eastAsia="zh-CN"/>
        </w:rPr>
        <w:t>部门</w:t>
      </w:r>
      <w:r>
        <w:rPr>
          <w:rFonts w:hint="eastAsia" w:ascii="仿宋_GB2312" w:eastAsia="仿宋_GB2312"/>
        </w:rPr>
        <w:t>的指标体系</w:t>
      </w:r>
      <w:r>
        <w:rPr>
          <w:rFonts w:hint="eastAsia" w:ascii="仿宋_GB2312" w:eastAsia="仿宋_GB2312"/>
          <w:lang w:eastAsia="zh-CN"/>
        </w:rPr>
        <w:t>。</w:t>
      </w:r>
    </w:p>
    <w:p>
      <w:pPr>
        <w:spacing w:before="156" w:beforeLines="50" w:line="560" w:lineRule="exact"/>
        <w:rPr>
          <w:rFonts w:hint="eastAsia" w:ascii="黑体" w:hAnsi="黑体" w:eastAsia="黑体"/>
          <w:sz w:val="32"/>
          <w:szCs w:val="32"/>
        </w:rPr>
      </w:pPr>
    </w:p>
    <w:p>
      <w:pPr>
        <w:spacing w:line="200" w:lineRule="exact"/>
        <w:jc w:val="both"/>
        <w:rPr>
          <w:rFonts w:hint="eastAsia" w:eastAsia="仿宋_GB2312"/>
          <w:sz w:val="32"/>
        </w:rPr>
      </w:pPr>
    </w:p>
    <w:sectPr>
      <w:footerReference r:id="rId5" w:type="default"/>
      <w:footerReference r:id="rId6" w:type="even"/>
      <w:pgSz w:w="11906" w:h="16838"/>
      <w:pgMar w:top="1588" w:right="1588" w:bottom="1588" w:left="1588"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sz w:val="24"/>
        <w:szCs w:val="24"/>
      </w:rPr>
    </w:pPr>
    <w:r>
      <w:rPr>
        <w:rStyle w:val="7"/>
        <w:rFonts w:hint="eastAsia"/>
        <w:sz w:val="24"/>
        <w:szCs w:val="24"/>
      </w:rPr>
      <w:t xml:space="preserve">— </w:t>
    </w:r>
    <w:r>
      <w:rPr>
        <w:sz w:val="24"/>
        <w:szCs w:val="24"/>
      </w:rPr>
      <w:fldChar w:fldCharType="begin"/>
    </w:r>
    <w:r>
      <w:rPr>
        <w:rStyle w:val="7"/>
        <w:sz w:val="24"/>
        <w:szCs w:val="24"/>
      </w:rPr>
      <w:instrText xml:space="preserve">PAGE  </w:instrText>
    </w:r>
    <w:r>
      <w:rPr>
        <w:sz w:val="24"/>
        <w:szCs w:val="24"/>
      </w:rPr>
      <w:fldChar w:fldCharType="separate"/>
    </w:r>
    <w:r>
      <w:rPr>
        <w:rStyle w:val="7"/>
        <w:sz w:val="24"/>
        <w:szCs w:val="24"/>
      </w:rPr>
      <w:t>1</w:t>
    </w:r>
    <w:r>
      <w:rPr>
        <w:sz w:val="24"/>
        <w:szCs w:val="24"/>
      </w:rPr>
      <w:fldChar w:fldCharType="end"/>
    </w:r>
    <w:r>
      <w:rPr>
        <w:rStyle w:val="7"/>
        <w:rFonts w:hint="eastAsia"/>
        <w:sz w:val="24"/>
        <w:szCs w:val="24"/>
      </w:rPr>
      <w:t xml:space="preserve"> —</w: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sz w:val="24"/>
        <w:szCs w:val="24"/>
      </w:rPr>
    </w:pPr>
    <w:r>
      <w:rPr>
        <w:rStyle w:val="7"/>
        <w:rFonts w:hint="eastAsia"/>
        <w:sz w:val="24"/>
        <w:szCs w:val="24"/>
      </w:rPr>
      <w:t xml:space="preserve">— </w:t>
    </w:r>
    <w:r>
      <w:rPr>
        <w:sz w:val="24"/>
        <w:szCs w:val="24"/>
      </w:rPr>
      <w:fldChar w:fldCharType="begin"/>
    </w:r>
    <w:r>
      <w:rPr>
        <w:rStyle w:val="7"/>
        <w:sz w:val="24"/>
        <w:szCs w:val="24"/>
      </w:rPr>
      <w:instrText xml:space="preserve">PAGE  </w:instrText>
    </w:r>
    <w:r>
      <w:rPr>
        <w:sz w:val="24"/>
        <w:szCs w:val="24"/>
      </w:rPr>
      <w:fldChar w:fldCharType="separate"/>
    </w:r>
    <w:r>
      <w:rPr>
        <w:rStyle w:val="7"/>
        <w:sz w:val="24"/>
        <w:szCs w:val="24"/>
      </w:rPr>
      <w:t>18</w:t>
    </w:r>
    <w:r>
      <w:rPr>
        <w:sz w:val="24"/>
        <w:szCs w:val="24"/>
      </w:rPr>
      <w:fldChar w:fldCharType="end"/>
    </w:r>
    <w:r>
      <w:rPr>
        <w:rStyle w:val="7"/>
        <w:rFonts w:hint="eastAsia"/>
        <w:sz w:val="24"/>
        <w:szCs w:val="24"/>
      </w:rPr>
      <w:t xml:space="preserve"> —</w:t>
    </w:r>
  </w:p>
  <w:p>
    <w:pPr>
      <w:pStyle w:val="3"/>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rPr>
    </w:pPr>
    <w:r>
      <w:fldChar w:fldCharType="begin"/>
    </w:r>
    <w:r>
      <w:rPr>
        <w:rStyle w:val="7"/>
      </w:rPr>
      <w:instrText xml:space="preserve">PAGE  </w:instrText>
    </w:r>
    <w:r>
      <w:fldChar w:fldCharType="end"/>
    </w:r>
  </w:p>
  <w:p>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E55C20"/>
    <w:rsid w:val="006F2E91"/>
    <w:rsid w:val="007B2063"/>
    <w:rsid w:val="03036F80"/>
    <w:rsid w:val="03D86B59"/>
    <w:rsid w:val="083749E7"/>
    <w:rsid w:val="0DE528CD"/>
    <w:rsid w:val="10901C41"/>
    <w:rsid w:val="183A77DD"/>
    <w:rsid w:val="18725427"/>
    <w:rsid w:val="19093FD8"/>
    <w:rsid w:val="1A8C30B9"/>
    <w:rsid w:val="1DFB30A3"/>
    <w:rsid w:val="22C40A6E"/>
    <w:rsid w:val="24D076EF"/>
    <w:rsid w:val="2704490D"/>
    <w:rsid w:val="271A3F37"/>
    <w:rsid w:val="27BA1917"/>
    <w:rsid w:val="2A377962"/>
    <w:rsid w:val="2C762295"/>
    <w:rsid w:val="2C7A6E24"/>
    <w:rsid w:val="2CA33441"/>
    <w:rsid w:val="2CE55C20"/>
    <w:rsid w:val="2D9E573C"/>
    <w:rsid w:val="2E432A66"/>
    <w:rsid w:val="2F287302"/>
    <w:rsid w:val="30426D13"/>
    <w:rsid w:val="34DD6A6A"/>
    <w:rsid w:val="3874653C"/>
    <w:rsid w:val="3A43255A"/>
    <w:rsid w:val="3A6D7541"/>
    <w:rsid w:val="3D6201A1"/>
    <w:rsid w:val="3DBD19D8"/>
    <w:rsid w:val="3EA75EF8"/>
    <w:rsid w:val="416A0C56"/>
    <w:rsid w:val="41ED26A8"/>
    <w:rsid w:val="42311403"/>
    <w:rsid w:val="46686756"/>
    <w:rsid w:val="477245B4"/>
    <w:rsid w:val="49887A7D"/>
    <w:rsid w:val="4E4F0BB0"/>
    <w:rsid w:val="507A6384"/>
    <w:rsid w:val="515A33D9"/>
    <w:rsid w:val="51A3377C"/>
    <w:rsid w:val="53D200B3"/>
    <w:rsid w:val="543D5197"/>
    <w:rsid w:val="547F096F"/>
    <w:rsid w:val="55B159B9"/>
    <w:rsid w:val="597D4357"/>
    <w:rsid w:val="599215C4"/>
    <w:rsid w:val="5BC02D6E"/>
    <w:rsid w:val="5BE95901"/>
    <w:rsid w:val="5DBF60FA"/>
    <w:rsid w:val="5E0A1976"/>
    <w:rsid w:val="5E3138B8"/>
    <w:rsid w:val="5E624B51"/>
    <w:rsid w:val="5FAB18D8"/>
    <w:rsid w:val="620D78E8"/>
    <w:rsid w:val="625F22EF"/>
    <w:rsid w:val="65283F65"/>
    <w:rsid w:val="66B82CF9"/>
    <w:rsid w:val="66F64109"/>
    <w:rsid w:val="678B0EC5"/>
    <w:rsid w:val="678B34F2"/>
    <w:rsid w:val="6A0A15CD"/>
    <w:rsid w:val="6CBF5625"/>
    <w:rsid w:val="6CE372A6"/>
    <w:rsid w:val="6DF352BD"/>
    <w:rsid w:val="6E5E528C"/>
    <w:rsid w:val="7001653D"/>
    <w:rsid w:val="705E3E6D"/>
    <w:rsid w:val="71C1048A"/>
    <w:rsid w:val="72551E1F"/>
    <w:rsid w:val="729442BC"/>
    <w:rsid w:val="73F35F5B"/>
    <w:rsid w:val="767B5D75"/>
    <w:rsid w:val="78671038"/>
    <w:rsid w:val="79654884"/>
    <w:rsid w:val="7AE056E6"/>
    <w:rsid w:val="7BE652A7"/>
    <w:rsid w:val="7D1F0DA2"/>
    <w:rsid w:val="7F4358AF"/>
    <w:rsid w:val="7F9448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Body Text Indent 2"/>
    <w:basedOn w:val="1"/>
    <w:unhideWhenUsed/>
    <w:qFormat/>
    <w:uiPriority w:val="0"/>
    <w:pPr>
      <w:ind w:firstLine="588" w:firstLineChars="200"/>
    </w:pPr>
    <w:rPr>
      <w:rFonts w:ascii="仿宋_GB2312" w:hAnsi="Calibri" w:eastAsia="仿宋_GB2312"/>
      <w:sz w:val="32"/>
    </w:rPr>
  </w:style>
  <w:style w:type="paragraph" w:styleId="3">
    <w:name w:val="footer"/>
    <w:basedOn w:val="1"/>
    <w:qFormat/>
    <w:uiPriority w:val="0"/>
    <w:pPr>
      <w:tabs>
        <w:tab w:val="center" w:pos="4153"/>
        <w:tab w:val="right" w:pos="8306"/>
      </w:tabs>
      <w:snapToGrid w:val="0"/>
      <w:jc w:val="left"/>
    </w:pPr>
    <w:rPr>
      <w:kern w:val="0"/>
      <w:sz w:val="18"/>
      <w:szCs w:val="18"/>
    </w:rPr>
  </w:style>
  <w:style w:type="table" w:styleId="5">
    <w:name w:val="Table Grid"/>
    <w:basedOn w:val="4"/>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7">
    <w:name w:val="page number"/>
    <w:qFormat/>
    <w:uiPriority w:val="0"/>
  </w:style>
  <w:style w:type="character" w:customStyle="1" w:styleId="8">
    <w:name w:val="标题 3 Char Char"/>
    <w:qFormat/>
    <w:uiPriority w:val="0"/>
    <w:rPr>
      <w:rFonts w:eastAsia="楷体_GB2312"/>
      <w:b/>
      <w:kern w:val="2"/>
      <w:sz w:val="32"/>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2019-05-08T01:00:00Z</dcterms:created>
  <dc:creator>Administrator</dc:creator>
  <cp:lastModifiedBy>Administrator</cp:lastModifiedBy>
  <cp:lastPrinted>2019-08-12T01:11:00Z</cp:lastPrinted>
  <dcterms:modified xsi:type="dcterms:W3CDTF">2019-09-16T00:37:32Z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