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w:t>
      </w:r>
      <w:r>
        <w:rPr>
          <w:rFonts w:hint="eastAsia" w:eastAsia="方正小标宋简体"/>
          <w:bCs/>
          <w:sz w:val="46"/>
          <w:szCs w:val="46"/>
          <w:u w:val="single"/>
        </w:rPr>
        <w:t>19</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部门(单位)名称：华容县水利局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码：40100</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2020年 10 月 10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7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48"/>
        <w:gridCol w:w="259"/>
        <w:gridCol w:w="442"/>
        <w:gridCol w:w="638"/>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707"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049"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073"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吴志刚</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13107302333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049"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073"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110</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9" w:hRule="atLeast"/>
          <w:jc w:val="center"/>
        </w:trPr>
        <w:tc>
          <w:tcPr>
            <w:tcW w:w="2049"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658" w:type="dxa"/>
            <w:gridSpan w:val="14"/>
            <w:noWrap/>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 w:eastAsia="仿宋_GB2312"/>
                <w:sz w:val="24"/>
                <w:szCs w:val="28"/>
              </w:rPr>
              <w:t>防汛抗旱，水利工程建设与管理，水资源管理与保护，水土保持监督，涉水事务管理，水行政执法，水库移民政策的执行，后续移民扶持及产业开发项目的实施。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07" w:hRule="atLeast"/>
          <w:jc w:val="center"/>
        </w:trPr>
        <w:tc>
          <w:tcPr>
            <w:tcW w:w="2049"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658" w:type="dxa"/>
            <w:gridSpan w:val="14"/>
            <w:noWrap/>
            <w:vAlign w:val="center"/>
          </w:tcPr>
          <w:p>
            <w:pPr>
              <w:spacing w:line="440" w:lineRule="exact"/>
              <w:ind w:firstLine="480" w:firstLineChars="200"/>
              <w:jc w:val="left"/>
              <w:rPr>
                <w:rFonts w:ascii="仿宋_GB2312" w:hAnsi="仿宋_GB2312" w:eastAsia="仿宋_GB2312" w:cs="仿宋_GB2312"/>
                <w:color w:val="000000"/>
                <w:sz w:val="24"/>
              </w:rPr>
            </w:pPr>
            <w:r>
              <w:rPr>
                <w:rFonts w:hint="eastAsia" w:ascii="仿宋_GB2312" w:hAnsi="宋体" w:eastAsia="仿宋_GB2312"/>
                <w:sz w:val="24"/>
              </w:rPr>
              <w:t>负责保障水资源的开发利用，负责指导水利设施、水域及岸线的管理，负责制定水利工程建设和运行管理制度并组织实施，负责指导水利工程的组织实施，负责农村水利、水土保持、移民开发等工作，负责涉水违法事件的查处等。</w:t>
            </w:r>
            <w:r>
              <w:rPr>
                <w:rFonts w:hint="eastAsia" w:ascii="仿宋_GB2312" w:hAnsi="仿宋" w:eastAsia="仿宋_GB2312"/>
                <w:sz w:val="24"/>
              </w:rPr>
              <w:t>，协调指导全县防洪、排涝、抗旱工作，负责县境内江河、湖泊、水库的防汛抗旱调度。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2049" w:type="dxa"/>
            <w:gridSpan w:val="3"/>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658" w:type="dxa"/>
            <w:gridSpan w:val="14"/>
            <w:noWrap/>
            <w:vAlign w:val="center"/>
          </w:tcPr>
          <w:p>
            <w:pPr>
              <w:spacing w:line="440" w:lineRule="exact"/>
              <w:ind w:firstLine="482" w:firstLineChars="200"/>
              <w:rPr>
                <w:rFonts w:ascii="仿宋_GB2312" w:hAnsi="仿宋" w:eastAsia="仿宋_GB2312"/>
                <w:color w:val="FF0000"/>
                <w:sz w:val="24"/>
                <w:szCs w:val="28"/>
              </w:rPr>
            </w:pPr>
            <w:r>
              <w:rPr>
                <w:rFonts w:hint="eastAsia" w:ascii="仿宋_GB2312" w:hAnsi="仿宋" w:eastAsia="仿宋_GB2312"/>
                <w:b/>
                <w:color w:val="FF0000"/>
                <w:sz w:val="24"/>
                <w:szCs w:val="28"/>
              </w:rPr>
              <w:t>1、预算平衡情况：</w:t>
            </w:r>
            <w:r>
              <w:rPr>
                <w:rFonts w:hint="eastAsia" w:ascii="仿宋_GB2312" w:hAnsi="仿宋" w:eastAsia="仿宋_GB2312"/>
                <w:color w:val="FF0000"/>
                <w:sz w:val="24"/>
                <w:szCs w:val="28"/>
              </w:rPr>
              <w:t>2019年预算总收入929万元。其中：经费拨款929万元；纳入一般公共预算管理的非税收入0万元。预算总支出929万元。预算收支平衡。</w:t>
            </w:r>
          </w:p>
          <w:p>
            <w:pPr>
              <w:spacing w:line="440" w:lineRule="exact"/>
              <w:ind w:firstLine="482" w:firstLineChars="200"/>
              <w:rPr>
                <w:rFonts w:ascii="仿宋_GB2312" w:hAnsi="仿宋_GB2312" w:eastAsia="仿宋_GB2312" w:cs="仿宋_GB2312"/>
                <w:color w:val="000000"/>
                <w:sz w:val="24"/>
              </w:rPr>
            </w:pPr>
            <w:r>
              <w:rPr>
                <w:rFonts w:hint="eastAsia" w:ascii="仿宋_GB2312" w:hAnsi="仿宋" w:eastAsia="仿宋_GB2312"/>
                <w:b/>
                <w:color w:val="FF0000"/>
                <w:sz w:val="24"/>
                <w:szCs w:val="28"/>
              </w:rPr>
              <w:t>2、预算支出分析：</w:t>
            </w:r>
            <w:r>
              <w:rPr>
                <w:rFonts w:hint="eastAsia" w:ascii="仿宋_GB2312" w:hAnsi="仿宋" w:eastAsia="仿宋_GB2312"/>
                <w:color w:val="FF0000"/>
                <w:sz w:val="24"/>
                <w:szCs w:val="28"/>
              </w:rPr>
              <w:t>2019年基本支出918万元，其中：工资福利支出739.09万元；一般商品和服务支出171.21万元；对个人和家庭的补助5.34万元；其他支出2.36万元。项目支出11万元，其中：专项商品服务支出11万元；专项对个人和家庭的补助0万元；债务利息及费用支出0万元；资本性支出（基本建设）0万元；资本性支出0万元；对企业补助（基本建设）0万元；对企业补助0万元；对社会保障基金补助0万元；其他支出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9" w:hRule="atLeast"/>
          <w:jc w:val="center"/>
        </w:trPr>
        <w:tc>
          <w:tcPr>
            <w:tcW w:w="9707"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8" w:hRule="atLeast"/>
          <w:jc w:val="center"/>
        </w:trPr>
        <w:tc>
          <w:tcPr>
            <w:tcW w:w="9707"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0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gridSpan w:val="2"/>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0" w:hRule="atLeast"/>
          <w:jc w:val="center"/>
        </w:trPr>
        <w:tc>
          <w:tcPr>
            <w:tcW w:w="160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60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929</w:t>
            </w: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929</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07" w:type="dxa"/>
            <w:gridSpan w:val="2"/>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479</w:t>
            </w:r>
          </w:p>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479</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07" w:type="dxa"/>
            <w:gridSpan w:val="2"/>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2移民开发服务中心</w:t>
            </w:r>
          </w:p>
        </w:tc>
        <w:tc>
          <w:tcPr>
            <w:tcW w:w="1080" w:type="dxa"/>
            <w:gridSpan w:val="2"/>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180</w:t>
            </w: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07" w:type="dxa"/>
            <w:gridSpan w:val="2"/>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3、水政监察大队</w:t>
            </w:r>
          </w:p>
        </w:tc>
        <w:tc>
          <w:tcPr>
            <w:tcW w:w="1080" w:type="dxa"/>
            <w:gridSpan w:val="2"/>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145</w:t>
            </w: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145</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07" w:type="dxa"/>
            <w:gridSpan w:val="2"/>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4、防汛抗旱办</w:t>
            </w:r>
          </w:p>
        </w:tc>
        <w:tc>
          <w:tcPr>
            <w:tcW w:w="1080" w:type="dxa"/>
            <w:gridSpan w:val="2"/>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125</w:t>
            </w: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125</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707"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607"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918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746.79</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171.21</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479</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382.4</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96.6</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2、移民开发服务中心</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145.11</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34.89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3、水政监察大队</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124.75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20.25</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4、、防汛抗旱办</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94.53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19.47</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607"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2、移民开发服务中心</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3、水政监察大队</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4、防汛抗旱办</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0.85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607"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2209.6</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2009.6</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2184.48</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1984.48</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2、移民开发服务中心</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8.51</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8.51</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3、水政监察大队</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10.21</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10.21</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07"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4、防汛抗旱办</w:t>
            </w:r>
          </w:p>
        </w:tc>
        <w:tc>
          <w:tcPr>
            <w:tcW w:w="1080"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707"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48"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目标1：防汛抗灾</w:t>
            </w:r>
          </w:p>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目标2：水行政执法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目标3：水资源管理水土保持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48"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指标1：防守一线大堤325公里</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6"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指标2：防守垸内渍堤129公里</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指标3：防守干堤131公里</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指标1：改善基础设施的状况。</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指标2：提高农业保收的能力。指标3：保证人民生命财产安全。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spacing w:line="400" w:lineRule="exact"/>
              <w:ind w:firstLine="480" w:firstLineChars="200"/>
              <w:rPr>
                <w:rFonts w:ascii="仿宋_GB2312" w:hAnsi="仿宋_GB2312" w:eastAsia="仿宋_GB2312" w:cs="仿宋_GB2312"/>
                <w:b/>
                <w:color w:val="000000"/>
                <w:sz w:val="24"/>
              </w:rPr>
            </w:pPr>
            <w:r>
              <w:rPr>
                <w:rFonts w:hint="eastAsia" w:ascii="仿宋_GB2312" w:eastAsia="仿宋_GB2312"/>
                <w:sz w:val="24"/>
              </w:rPr>
              <w:t>完成的主要工作：1.重点垸堤防加固前期工作。2.华一水库除险加固工程。3.洞庭湖北部补水工程华容段4.2019年度沟渠塘坝清淤增蓄专项行动。5.2019年汛前应急整险防渗工程。6.小型除险加固工程。</w:t>
            </w:r>
            <w:r>
              <w:rPr>
                <w:rFonts w:hint="eastAsia" w:ascii="仿宋_GB2312" w:eastAsia="仿宋_GB2312"/>
                <w:bCs/>
                <w:sz w:val="24"/>
              </w:rPr>
              <w:t>7.重点易涝区域排涝能力建设项目。</w:t>
            </w:r>
            <w:r>
              <w:rPr>
                <w:rFonts w:hint="eastAsia" w:ascii="仿宋_GB2312" w:hAnsi="仿宋_GB2312" w:eastAsia="仿宋_GB2312" w:cs="仿宋_GB2312"/>
                <w:bCs/>
                <w:sz w:val="24"/>
              </w:rPr>
              <w:t>8.六门闸排涝工程。9.移民工作10.其他工作：</w:t>
            </w:r>
            <w:r>
              <w:rPr>
                <w:rFonts w:hint="eastAsia" w:ascii="仿宋_GB2312" w:eastAsia="仿宋_GB2312"/>
                <w:bCs/>
                <w:sz w:val="24"/>
              </w:rPr>
              <w:t>完成县农村饮水水质检测职能划转，相关设备、资料已全部移交卫计部门。二是加强了长江取水口生态保护，实行24小时视频监控，水质一月一检测。三是水土保持监管得力，全年收取水土保持补偿费280万元，下发责令整改通知37个。四是加强水政执法，结合扫黑除恶工作，制止违法采砂取土案件9起、乱堆乱建案件19起、胡泊围挽1起。五是配合纪检组完成系统5人次提醒谈话、3人次诫勉谈话、6人次违纪事项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897"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897"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9707"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049"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073"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4" w:hRule="atLeast"/>
          <w:jc w:val="center"/>
        </w:trPr>
        <w:tc>
          <w:tcPr>
            <w:tcW w:w="2049"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陈广军</w:t>
            </w:r>
          </w:p>
        </w:tc>
        <w:tc>
          <w:tcPr>
            <w:tcW w:w="3073"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副局长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水利局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2049"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汤</w:t>
            </w:r>
            <w:r>
              <w:rPr>
                <w:rFonts w:hint="eastAsia" w:ascii="仿宋_GB2312" w:hAnsi="仿宋_GB2312" w:eastAsia="仿宋_GB2312" w:cs="仿宋_GB2312"/>
                <w:color w:val="000000"/>
                <w:sz w:val="24"/>
              </w:rPr>
              <w:t xml:space="preserve">  </w:t>
            </w:r>
            <w:r>
              <w:rPr>
                <w:rFonts w:ascii="仿宋_GB2312" w:hAnsi="仿宋_GB2312" w:eastAsia="仿宋_GB2312" w:cs="仿宋_GB2312"/>
                <w:color w:val="000000"/>
                <w:sz w:val="24"/>
              </w:rPr>
              <w:t>勇</w:t>
            </w:r>
          </w:p>
        </w:tc>
        <w:tc>
          <w:tcPr>
            <w:tcW w:w="3073"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副局长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水利局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2049"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许建红</w:t>
            </w:r>
          </w:p>
        </w:tc>
        <w:tc>
          <w:tcPr>
            <w:tcW w:w="3073"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法制股长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水利局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6" w:hRule="atLeast"/>
          <w:jc w:val="center"/>
        </w:trPr>
        <w:tc>
          <w:tcPr>
            <w:tcW w:w="2049"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吴志刚</w:t>
            </w:r>
          </w:p>
        </w:tc>
        <w:tc>
          <w:tcPr>
            <w:tcW w:w="3073"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财务股长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水利局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11" w:hRule="atLeast"/>
          <w:jc w:val="center"/>
        </w:trPr>
        <w:tc>
          <w:tcPr>
            <w:tcW w:w="9707"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88" w:hRule="atLeast"/>
          <w:jc w:val="center"/>
        </w:trPr>
        <w:tc>
          <w:tcPr>
            <w:tcW w:w="9707"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3" w:hRule="atLeast"/>
          <w:jc w:val="center"/>
        </w:trPr>
        <w:tc>
          <w:tcPr>
            <w:tcW w:w="9707"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水利局2019年度部门整体支出</w:t>
            </w:r>
          </w:p>
          <w:p>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绩效评价自评报告</w:t>
            </w:r>
          </w:p>
          <w:p>
            <w:pPr>
              <w:spacing w:line="600" w:lineRule="exact"/>
              <w:jc w:val="center"/>
              <w:rPr>
                <w:rFonts w:hint="eastAsia" w:ascii="仿宋_GB2312" w:hAnsi="黑体" w:eastAsia="仿宋_GB2312"/>
                <w:sz w:val="32"/>
                <w:szCs w:val="32"/>
              </w:rPr>
            </w:pP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一、部门基本情况</w:t>
            </w:r>
          </w:p>
          <w:p>
            <w:pPr>
              <w:spacing w:line="600" w:lineRule="exact"/>
              <w:ind w:firstLine="640" w:firstLineChars="200"/>
              <w:rPr>
                <w:rFonts w:hint="eastAsia" w:ascii="仿宋_GB2312" w:hAnsi="黑体" w:eastAsia="仿宋_GB2312"/>
                <w:color w:val="000000"/>
                <w:sz w:val="32"/>
                <w:szCs w:val="32"/>
              </w:rPr>
            </w:pPr>
            <w:r>
              <w:rPr>
                <w:rFonts w:hint="eastAsia" w:ascii="仿宋_GB2312" w:hAnsi="宋体" w:eastAsia="仿宋_GB2312"/>
                <w:sz w:val="32"/>
                <w:szCs w:val="32"/>
              </w:rPr>
              <w:t>华容县水利局为政府组阁局，是我县水务、水利建设与管理的行政主管部门，负责全县水务行政管理、防汛抗旱抗灾、水利建设与管理方面的工作。内设工作管理股、河湖管理股、电排管理股、规计股等11个股室，下设水旱灾害防御事务中心、水政监察大队、移民开发服务中心、花兰窖电排站、石山矶电排站等直属二级单位17个。</w:t>
            </w:r>
          </w:p>
          <w:p>
            <w:pPr>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华容县水利局机关有人员编制90名，（其中：行政编制18名；事业全额编制69名；事业差额编制0名；自收自支编制0名；工勤编制3名）；实有人员87人（其中：全额人员87人；差额人员0人）。</w:t>
            </w:r>
          </w:p>
          <w:p>
            <w:pPr>
              <w:spacing w:line="6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二、整体支出管理及使用情况</w:t>
            </w:r>
          </w:p>
          <w:p>
            <w:pPr>
              <w:spacing w:line="600" w:lineRule="exact"/>
              <w:ind w:firstLine="643" w:firstLineChars="200"/>
              <w:rPr>
                <w:rFonts w:hint="eastAsia" w:ascii="仿宋_GB2312" w:hAnsi="仿宋" w:eastAsia="仿宋_GB2312"/>
                <w:color w:val="000000"/>
                <w:sz w:val="32"/>
                <w:szCs w:val="32"/>
              </w:rPr>
            </w:pPr>
            <w:r>
              <w:rPr>
                <w:rFonts w:hint="eastAsia" w:ascii="楷体_GB2312" w:hAnsi="仿宋" w:eastAsia="楷体_GB2312"/>
                <w:b/>
                <w:color w:val="000000"/>
                <w:sz w:val="32"/>
                <w:szCs w:val="32"/>
              </w:rPr>
              <w:t>1.预算收入情况：</w:t>
            </w:r>
            <w:r>
              <w:rPr>
                <w:rFonts w:hint="eastAsia" w:ascii="仿宋_GB2312" w:hAnsi="仿宋" w:eastAsia="仿宋_GB2312"/>
                <w:color w:val="000000"/>
                <w:sz w:val="32"/>
                <w:szCs w:val="32"/>
              </w:rPr>
              <w:t>2019年预算总收入929万元。其中：经费拨款929万元；纳入一般公共预算管理的非税收入0万元。预算总支出929万元。预算收支平衡。</w:t>
            </w:r>
          </w:p>
          <w:p>
            <w:pPr>
              <w:spacing w:line="600" w:lineRule="exact"/>
              <w:ind w:firstLine="643" w:firstLineChars="200"/>
              <w:rPr>
                <w:rFonts w:hint="eastAsia" w:ascii="仿宋_GB2312" w:eastAsia="仿宋_GB2312"/>
                <w:color w:val="000000"/>
                <w:sz w:val="32"/>
                <w:szCs w:val="32"/>
              </w:rPr>
            </w:pPr>
            <w:r>
              <w:rPr>
                <w:rFonts w:hint="eastAsia" w:ascii="楷体_GB2312" w:hAnsi="仿宋" w:eastAsia="楷体_GB2312"/>
                <w:b/>
                <w:color w:val="000000"/>
                <w:sz w:val="32"/>
                <w:szCs w:val="32"/>
              </w:rPr>
              <w:t>2.预算支出情况：</w:t>
            </w:r>
            <w:r>
              <w:rPr>
                <w:rFonts w:hint="eastAsia" w:ascii="仿宋_GB2312" w:hAnsi="仿宋" w:eastAsia="仿宋_GB2312"/>
                <w:color w:val="000000"/>
                <w:sz w:val="32"/>
                <w:szCs w:val="32"/>
              </w:rPr>
              <w:t>2019年基本支出918万元，其中：工资福利支出739.09万元；一般商品和服务支出171.21万元；对个人和家庭的补助5.34万元；其他支出2.36万元。项目支出11万元，其中：专项商品服务支出11万元；专项对个人和家庭的补助0万元；债务利息及费用支出0万元；资本性支出（基本建设）0万元；资本性支出0万元；对企业补助（基本建设）0万元；对企业补助0万元；对社会保障基金补助0万元；其他支出0万元。</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三、整体支出绩效情况</w:t>
            </w:r>
          </w:p>
          <w:p>
            <w:pPr>
              <w:spacing w:line="600" w:lineRule="exact"/>
              <w:ind w:firstLine="643" w:firstLineChars="200"/>
              <w:rPr>
                <w:rFonts w:hint="eastAsia" w:ascii="仿宋_GB2312" w:eastAsia="仿宋_GB2312"/>
                <w:color w:val="000000"/>
                <w:sz w:val="32"/>
                <w:szCs w:val="32"/>
              </w:rPr>
            </w:pPr>
            <w:r>
              <w:rPr>
                <w:rFonts w:hint="eastAsia" w:ascii="楷体_GB2312" w:eastAsia="楷体_GB2312"/>
                <w:b/>
                <w:sz w:val="32"/>
                <w:szCs w:val="32"/>
              </w:rPr>
              <w:t>1.重点垸堤防加固前期工作。</w:t>
            </w:r>
            <w:r>
              <w:rPr>
                <w:rFonts w:hint="eastAsia" w:ascii="仿宋_GB2312" w:eastAsia="仿宋_GB2312"/>
                <w:color w:val="000000"/>
                <w:sz w:val="32"/>
                <w:szCs w:val="32"/>
              </w:rPr>
              <w:t>今年2月，省水利厅组织召开了前期工作推进会；6月3日，与省设计院进行了工程规模对接；6月11日，省水利厅组织进行了前期工作签约仪式及工程规模研讨会。目前，项目可研设计已完成，初步预算投资7.03亿元，现送水利部待审查批复。</w:t>
            </w:r>
          </w:p>
          <w:p>
            <w:pPr>
              <w:autoSpaceDE w:val="0"/>
              <w:autoSpaceDN w:val="0"/>
              <w:spacing w:line="600" w:lineRule="exact"/>
              <w:ind w:firstLine="643" w:firstLineChars="200"/>
              <w:rPr>
                <w:rFonts w:hint="eastAsia" w:ascii="仿宋_GB2312" w:hAnsi="宋体" w:eastAsia="仿宋_GB2312"/>
                <w:color w:val="000000"/>
                <w:sz w:val="32"/>
                <w:szCs w:val="32"/>
              </w:rPr>
            </w:pPr>
            <w:r>
              <w:rPr>
                <w:rFonts w:hint="eastAsia" w:ascii="楷体_GB2312" w:eastAsia="楷体_GB2312"/>
                <w:b/>
                <w:sz w:val="32"/>
                <w:szCs w:val="32"/>
              </w:rPr>
              <w:t>2.华一水库除险加固工程。</w:t>
            </w:r>
            <w:r>
              <w:rPr>
                <w:rFonts w:hint="eastAsia" w:ascii="仿宋_GB2312" w:eastAsia="仿宋_GB2312"/>
                <w:color w:val="000000"/>
                <w:sz w:val="32"/>
                <w:szCs w:val="32"/>
              </w:rPr>
              <w:t>总投资3908万元，6月份完成初步设计及评审；10月份完成技设、财评及招投标工作，工程实施采取EPC模式，实施单位为华容水利水电建筑工程有限公司；10月下旬完成项目部组建，排空库水，目前施工机械等设备已进场，“三通一平”工作已完成，待开工令下达后施工。</w:t>
            </w:r>
          </w:p>
          <w:p>
            <w:pPr>
              <w:spacing w:line="600" w:lineRule="exact"/>
              <w:ind w:firstLine="643" w:firstLineChars="200"/>
              <w:rPr>
                <w:rFonts w:hint="eastAsia" w:ascii="仿宋_GB2312" w:eastAsia="仿宋_GB2312"/>
                <w:color w:val="000000"/>
                <w:sz w:val="32"/>
                <w:szCs w:val="32"/>
              </w:rPr>
            </w:pPr>
            <w:r>
              <w:rPr>
                <w:rFonts w:hint="eastAsia" w:ascii="楷体_GB2312" w:eastAsia="楷体_GB2312"/>
                <w:b/>
                <w:sz w:val="32"/>
                <w:szCs w:val="32"/>
              </w:rPr>
              <w:t>3.洞庭湖北部补水工程华容段。</w:t>
            </w:r>
            <w:r>
              <w:rPr>
                <w:rFonts w:hint="eastAsia" w:ascii="仿宋_GB2312" w:eastAsia="仿宋_GB2312"/>
                <w:color w:val="000000"/>
                <w:sz w:val="32"/>
                <w:szCs w:val="32"/>
              </w:rPr>
              <w:t>该工程由市水利局担任法人，委托我县组建现场协调指挥部，负责施工中的房屋拆迁及相关协调工作。工程于2018年9月30日正式动工，目前房屋拆迁工作己完成，堤防工程已完成大堤坡清表、岸坡边坡整形、白蚁防治普查、连锁式生态护坡、大堤培厚、堤顶公路路面整治，新建涵闸已完工，拆旧重建涵闸已完工，泵站改造正在进行施工，整体形象进度87%。</w:t>
            </w:r>
          </w:p>
          <w:p>
            <w:pPr>
              <w:spacing w:line="600" w:lineRule="exact"/>
              <w:ind w:firstLine="643" w:firstLineChars="200"/>
              <w:rPr>
                <w:rFonts w:hint="eastAsia" w:ascii="仿宋_GB2312" w:eastAsia="仿宋_GB2312"/>
                <w:sz w:val="32"/>
                <w:szCs w:val="32"/>
              </w:rPr>
            </w:pPr>
            <w:r>
              <w:rPr>
                <w:rFonts w:hint="eastAsia" w:ascii="楷体_GB2312" w:eastAsia="楷体_GB2312"/>
                <w:b/>
                <w:sz w:val="32"/>
                <w:szCs w:val="32"/>
              </w:rPr>
              <w:t>4.2019年度沟渠塘坝清淤增蓄专项行动。</w:t>
            </w:r>
            <w:r>
              <w:rPr>
                <w:rFonts w:hint="eastAsia" w:ascii="仿宋_GB2312" w:eastAsia="仿宋_GB2312"/>
                <w:sz w:val="32"/>
                <w:szCs w:val="32"/>
              </w:rPr>
              <w:t>今年计划清淤增蓄大型塘坝21口、中型塘坝228口、小型塘坝376口，疏浚小型沟渠1011.1公里、微型沟渠665.5公里，总投入资金1155.18万元，其中省级奖补大中型塘坝清淤增蓄资金582万元，其余由县、乡、村三级自筹实施。目前，工程建设已全面开工，整体进度30%。</w:t>
            </w:r>
          </w:p>
          <w:p>
            <w:pPr>
              <w:spacing w:line="600" w:lineRule="exact"/>
              <w:ind w:firstLine="643" w:firstLineChars="200"/>
              <w:rPr>
                <w:rFonts w:hint="eastAsia" w:ascii="仿宋_GB2312" w:eastAsia="仿宋_GB2312"/>
                <w:sz w:val="32"/>
                <w:szCs w:val="32"/>
              </w:rPr>
            </w:pPr>
            <w:r>
              <w:rPr>
                <w:rFonts w:hint="eastAsia" w:ascii="楷体_GB2312" w:eastAsia="楷体_GB2312"/>
                <w:b/>
                <w:sz w:val="32"/>
                <w:szCs w:val="32"/>
              </w:rPr>
              <w:t>5.2019年汛前应急整险防渗工程。</w:t>
            </w:r>
            <w:r>
              <w:rPr>
                <w:rFonts w:hint="eastAsia" w:ascii="仿宋_GB2312" w:eastAsia="仿宋_GB2312"/>
                <w:sz w:val="32"/>
                <w:szCs w:val="32"/>
              </w:rPr>
              <w:t>工程总投资1000万元，主要对梅田湖、万庾、治河渡、东山等乡镇7250米一线防洪大堤防渗灌浆，注滋口镇北堤闸防渗灌浆，老虎湾等6座水库防渗灌浆。目前，工程已全部完工。</w:t>
            </w:r>
          </w:p>
          <w:p>
            <w:pPr>
              <w:spacing w:line="600" w:lineRule="exact"/>
              <w:ind w:firstLine="643" w:firstLineChars="200"/>
              <w:rPr>
                <w:rFonts w:hint="eastAsia" w:ascii="仿宋_GB2312" w:eastAsia="仿宋_GB2312"/>
                <w:sz w:val="32"/>
                <w:szCs w:val="32"/>
              </w:rPr>
            </w:pPr>
            <w:r>
              <w:rPr>
                <w:rFonts w:hint="eastAsia" w:ascii="楷体_GB2312" w:eastAsia="楷体_GB2312"/>
                <w:b/>
                <w:sz w:val="32"/>
                <w:szCs w:val="32"/>
              </w:rPr>
              <w:t>6.小型除险加固工程。</w:t>
            </w:r>
            <w:r>
              <w:rPr>
                <w:rFonts w:hint="eastAsia" w:ascii="仿宋_GB2312" w:eastAsia="仿宋_GB2312"/>
                <w:sz w:val="32"/>
                <w:szCs w:val="32"/>
              </w:rPr>
              <w:t>总投资170万元，实施万庾洋汊湾水库和禹山周家庄水库，主要建设任务为大坝上游坡粘土斜墙砼六方块护坡及防渗，取水设施建设，溢洪道除险加固及观测设施建设等。两处工程于10月15日动工，目前进度40%。</w:t>
            </w:r>
          </w:p>
          <w:p>
            <w:pPr>
              <w:spacing w:line="600" w:lineRule="exact"/>
              <w:ind w:firstLine="643" w:firstLineChars="200"/>
              <w:rPr>
                <w:rFonts w:hint="eastAsia" w:ascii="仿宋_GB2312" w:eastAsia="仿宋_GB2312"/>
                <w:bCs/>
                <w:sz w:val="32"/>
                <w:szCs w:val="32"/>
              </w:rPr>
            </w:pPr>
            <w:r>
              <w:rPr>
                <w:rFonts w:hint="eastAsia" w:ascii="楷体_GB2312" w:eastAsia="楷体_GB2312"/>
                <w:b/>
                <w:sz w:val="32"/>
                <w:szCs w:val="32"/>
              </w:rPr>
              <w:t>7.重点易涝区域排涝能力建设项目。</w:t>
            </w:r>
            <w:r>
              <w:rPr>
                <w:rFonts w:hint="eastAsia" w:ascii="仿宋_GB2312" w:eastAsia="仿宋_GB2312"/>
                <w:bCs/>
                <w:sz w:val="32"/>
                <w:szCs w:val="32"/>
              </w:rPr>
              <w:t>规划投资3.58亿元，今年工作任务是完成4个涝区的初步设计及批复。6月份，与设计单位签订了设计合同，并约定先设计后付费的模式；9月份，完成了四个涝区的可研设计与批复，完成了初步设计报告的评审。目前，初设计已上报市水利局待审定批复，在全市同类项目中进度排第一。</w:t>
            </w:r>
          </w:p>
          <w:p>
            <w:pPr>
              <w:spacing w:line="600" w:lineRule="exact"/>
              <w:ind w:firstLine="643" w:firstLineChars="200"/>
              <w:rPr>
                <w:rFonts w:hint="eastAsia" w:ascii="仿宋_GB2312" w:eastAsia="仿宋_GB2312"/>
                <w:bCs/>
                <w:sz w:val="32"/>
                <w:szCs w:val="32"/>
              </w:rPr>
            </w:pPr>
            <w:r>
              <w:rPr>
                <w:rFonts w:hint="eastAsia" w:ascii="楷体_GB2312" w:eastAsia="楷体_GB2312"/>
                <w:b/>
                <w:sz w:val="32"/>
                <w:szCs w:val="32"/>
              </w:rPr>
              <w:t>8.六门闸排涝工程。</w:t>
            </w:r>
            <w:r>
              <w:rPr>
                <w:rFonts w:hint="eastAsia" w:ascii="仿宋_GB2312" w:eastAsia="仿宋_GB2312"/>
                <w:bCs/>
                <w:sz w:val="32"/>
                <w:szCs w:val="32"/>
              </w:rPr>
              <w:t>一是完成了项目前期的可行性研究、水土保持、用地、电力、定界报告的审查批复。同时完成了工程选址及中华圆田螺、生态、环评、生物多样性报告的编制；二是经与华夏文化基金会积极对接，明确捐建工作正式启动，约定自初步设计阶段开始，由中南设计院进行初步设计、由基金会筹备工程建设资金、由县人民政府配合协调。三是目前初步设计报告编制由省水利院移交到中南院并完成初稿，正向省水利厅递交评审申请。</w:t>
            </w:r>
          </w:p>
          <w:p>
            <w:pPr>
              <w:spacing w:line="600" w:lineRule="exact"/>
              <w:ind w:firstLine="643" w:firstLineChars="200"/>
              <w:rPr>
                <w:rFonts w:hint="eastAsia" w:ascii="仿宋_GB2312" w:eastAsia="仿宋_GB2312"/>
                <w:bCs/>
                <w:sz w:val="32"/>
                <w:szCs w:val="32"/>
              </w:rPr>
            </w:pPr>
            <w:r>
              <w:rPr>
                <w:rFonts w:hint="eastAsia" w:ascii="楷体_GB2312" w:eastAsia="楷体_GB2312"/>
                <w:b/>
                <w:sz w:val="32"/>
                <w:szCs w:val="32"/>
              </w:rPr>
              <w:t>9.移民工作。</w:t>
            </w:r>
            <w:r>
              <w:rPr>
                <w:rFonts w:hint="eastAsia" w:ascii="仿宋_GB2312" w:eastAsia="仿宋_GB2312"/>
                <w:bCs/>
                <w:sz w:val="32"/>
                <w:szCs w:val="32"/>
              </w:rPr>
              <w:t>一是完成东山镇仙鹅寺等4个移民村的美丽乡村示范点建设，通过市级验收；二是完成东山镇三郎堰安全护栏、游园路硬化等基础设施建设；三是完成了华一水库与东山水库连接通道建设；四是解决了三封寺镇松木桥村五湖9组养殖户投诉工业园污水污染的多年信访问题，争资完成了松木桥村机埠及渠道建设。</w:t>
            </w:r>
          </w:p>
          <w:p>
            <w:pPr>
              <w:spacing w:line="600" w:lineRule="exact"/>
              <w:ind w:firstLine="643" w:firstLineChars="200"/>
              <w:rPr>
                <w:rFonts w:hint="eastAsia" w:ascii="仿宋_GB2312" w:eastAsia="仿宋_GB2312"/>
                <w:bCs/>
                <w:sz w:val="32"/>
                <w:szCs w:val="32"/>
              </w:rPr>
            </w:pPr>
            <w:r>
              <w:rPr>
                <w:rFonts w:hint="eastAsia" w:ascii="楷体_GB2312" w:eastAsia="楷体_GB2312"/>
                <w:b/>
                <w:sz w:val="32"/>
                <w:szCs w:val="32"/>
              </w:rPr>
              <w:t>10.其他重点工作。</w:t>
            </w:r>
            <w:r>
              <w:rPr>
                <w:rFonts w:hint="eastAsia" w:ascii="仿宋_GB2312" w:eastAsia="仿宋_GB2312"/>
                <w:bCs/>
                <w:sz w:val="32"/>
                <w:szCs w:val="32"/>
              </w:rPr>
              <w:t>一是完成县农村饮水水质检测职能划转，相关设备、资料已全部移交卫计部门。二是加强了长江取水口生态保护，实行24小时视频监控，水质一月一检测。三是水土保持监管得力，全年收取水土保持补偿费280万元，下发责令整改通知37个。四是加强水政执法，结合扫黑除恶工作，制止违法采砂取土案件9起、乱堆乱建案件19起、胡泊围挽1起。五是配合纪检组完成系统5人次提醒谈话、3人次诫勉谈话、6人次违纪事项处分。</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四、存在的主要问题及2020年重点工作和措施</w:t>
            </w:r>
          </w:p>
          <w:p>
            <w:pPr>
              <w:spacing w:line="600" w:lineRule="exact"/>
              <w:ind w:firstLine="643" w:firstLineChars="200"/>
              <w:rPr>
                <w:rFonts w:hint="eastAsia" w:ascii="仿宋_GB2312" w:eastAsia="仿宋_GB2312"/>
                <w:bCs/>
                <w:sz w:val="32"/>
                <w:szCs w:val="32"/>
              </w:rPr>
            </w:pPr>
            <w:r>
              <w:rPr>
                <w:rFonts w:hint="eastAsia" w:ascii="楷体_GB2312" w:hAnsi="仿宋_GB2312" w:eastAsia="楷体_GB2312" w:cs="仿宋_GB2312"/>
                <w:b/>
                <w:bCs/>
                <w:sz w:val="32"/>
                <w:szCs w:val="32"/>
              </w:rPr>
              <w:t>1.理顺工作机制。</w:t>
            </w:r>
            <w:r>
              <w:rPr>
                <w:rFonts w:hint="eastAsia" w:ascii="仿宋_GB2312" w:eastAsia="仿宋_GB2312"/>
                <w:bCs/>
                <w:sz w:val="32"/>
                <w:szCs w:val="32"/>
              </w:rPr>
              <w:t>一是报请县政府核定县水旱灾害防御事务中心与应急局职能职责，明确人员去向，确保明年防汛抗灾工作夺取全胜；二是将入河排污口、排渍口整治、流域水环境保护等职责移交至生态环境部门；三是完成县河湖管理中心机构组建，界定与河长办工作职能，确保河长制相关工作落实。</w:t>
            </w:r>
          </w:p>
          <w:p>
            <w:pPr>
              <w:spacing w:line="600" w:lineRule="exact"/>
              <w:ind w:firstLine="643" w:firstLineChars="200"/>
              <w:rPr>
                <w:rFonts w:hint="eastAsia" w:ascii="仿宋_GB2312" w:hAnsi="宋体" w:eastAsia="仿宋_GB2312"/>
                <w:sz w:val="32"/>
                <w:szCs w:val="32"/>
              </w:rPr>
            </w:pPr>
            <w:r>
              <w:rPr>
                <w:rFonts w:hint="eastAsia" w:ascii="楷体_GB2312" w:hAnsi="仿宋_GB2312" w:eastAsia="楷体_GB2312" w:cs="仿宋_GB2312"/>
                <w:b/>
                <w:bCs/>
                <w:sz w:val="32"/>
                <w:szCs w:val="32"/>
              </w:rPr>
              <w:t>2.着重项目建设。</w:t>
            </w:r>
            <w:r>
              <w:rPr>
                <w:rFonts w:hint="eastAsia" w:ascii="仿宋_GB2312" w:hAnsi="宋体" w:eastAsia="仿宋_GB2312"/>
                <w:sz w:val="32"/>
                <w:szCs w:val="32"/>
              </w:rPr>
              <w:t>完成蓄洪安全区及分洪闸建设，配合完成项目最终审计调概；完成洞庭湖北部补水工程、华一水库除险加固工程、沙河水库节水灌溉工程、年度大中型塘坝及小型沟渠清淤增蓄工程；实施争项争资长江干堤黑化工程；启动石山矶等4个中型灌区节水配套工程；继续推进重点垸堤防加固工程和重点易涝区排涝能力建设，完成六门闸排涝工程。</w:t>
            </w:r>
          </w:p>
          <w:p>
            <w:pPr>
              <w:spacing w:line="600" w:lineRule="exact"/>
              <w:ind w:firstLine="643" w:firstLineChars="200"/>
              <w:rPr>
                <w:rFonts w:hint="eastAsia" w:ascii="仿宋_GB2312" w:eastAsia="仿宋_GB2312"/>
                <w:sz w:val="32"/>
                <w:szCs w:val="32"/>
              </w:rPr>
            </w:pPr>
            <w:r>
              <w:rPr>
                <w:rFonts w:hint="eastAsia" w:ascii="楷体_GB2312" w:eastAsia="楷体_GB2312"/>
                <w:b/>
                <w:sz w:val="32"/>
                <w:szCs w:val="32"/>
              </w:rPr>
              <w:t>3.确保城乡用水。</w:t>
            </w:r>
            <w:r>
              <w:rPr>
                <w:rFonts w:hint="eastAsia" w:ascii="仿宋_GB2312" w:eastAsia="仿宋_GB2312"/>
                <w:sz w:val="32"/>
                <w:szCs w:val="32"/>
              </w:rPr>
              <w:t>县城供水方面，要在保障水质、水量、水压的基础上，稳步提升供水回收率。同时，积极争项争资完成废水处理设施建设。农村饮水方面，要着力抓好提质升级，探索建立农村水厂长效管理制度，逐步化解农村水厂债务。配合三峡集团启动农村饮水一体化建设。</w:t>
            </w:r>
          </w:p>
          <w:p>
            <w:pPr>
              <w:spacing w:line="600" w:lineRule="exact"/>
              <w:ind w:firstLine="643" w:firstLineChars="200"/>
              <w:rPr>
                <w:rFonts w:hint="eastAsia" w:ascii="仿宋_GB2312" w:eastAsia="仿宋_GB2312"/>
                <w:b/>
                <w:sz w:val="32"/>
                <w:szCs w:val="32"/>
              </w:rPr>
            </w:pPr>
            <w:r>
              <w:rPr>
                <w:rFonts w:hint="eastAsia" w:ascii="楷体_GB2312" w:eastAsia="楷体_GB2312"/>
                <w:b/>
                <w:sz w:val="32"/>
                <w:szCs w:val="32"/>
              </w:rPr>
              <w:t>4.抓实移民服务。</w:t>
            </w:r>
            <w:r>
              <w:rPr>
                <w:rFonts w:hint="eastAsia" w:ascii="仿宋_GB2312" w:eastAsia="仿宋_GB2312"/>
                <w:sz w:val="32"/>
                <w:szCs w:val="32"/>
              </w:rPr>
              <w:t>一是落实大中型水库移民后扶政策。集中扶持1个重点移民村，完成三峡移民住房改造50户，完成移民村场道路硬化、渠道疏浚各10公里，建设北汊水库清水养殖基地300亩。二是做好集成移民帮扶稳控。澄清无房无田户底子，落实责任田、住房等，开展困难救助。</w:t>
            </w:r>
          </w:p>
          <w:p>
            <w:pPr>
              <w:spacing w:line="600" w:lineRule="exact"/>
              <w:ind w:firstLine="643" w:firstLineChars="200"/>
              <w:rPr>
                <w:rFonts w:hint="eastAsia" w:ascii="仿宋_GB2312" w:eastAsia="仿宋_GB2312"/>
                <w:sz w:val="32"/>
                <w:szCs w:val="32"/>
              </w:rPr>
            </w:pPr>
            <w:r>
              <w:rPr>
                <w:rFonts w:hint="eastAsia" w:ascii="楷体_GB2312" w:hAnsi="仿宋_GB2312" w:eastAsia="楷体_GB2312" w:cs="仿宋_GB2312"/>
                <w:b/>
                <w:bCs/>
                <w:sz w:val="32"/>
                <w:szCs w:val="32"/>
              </w:rPr>
              <w:t>5.突出制度落实。</w:t>
            </w:r>
            <w:r>
              <w:rPr>
                <w:rFonts w:hint="eastAsia" w:ascii="仿宋_GB2312" w:eastAsia="仿宋_GB2312"/>
                <w:sz w:val="32"/>
                <w:szCs w:val="32"/>
              </w:rPr>
              <w:t>抓好水土保持监管，争取县人民政府支持将水土保持方案编制纳入各类项目建设前置条件；强</w:t>
            </w:r>
            <w:bookmarkStart w:id="0" w:name="_GoBack"/>
            <w:bookmarkEnd w:id="0"/>
            <w:r>
              <w:rPr>
                <w:rFonts w:hint="eastAsia" w:ascii="仿宋_GB2312" w:eastAsia="仿宋_GB2312"/>
                <w:sz w:val="32"/>
                <w:szCs w:val="32"/>
              </w:rPr>
              <w:t xml:space="preserve">化水资源管理，开展节水型社会建设，足额规范收取水资源费；突出水行政执法，及时查处非法采砂等涉水违法行为，完成河道确权划界工作。 </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2020年1</w:t>
            </w:r>
            <w:r>
              <w:rPr>
                <w:rFonts w:hint="eastAsia" w:ascii="仿宋_GB2312" w:eastAsia="仿宋_GB2312"/>
                <w:sz w:val="32"/>
                <w:szCs w:val="32"/>
                <w:lang w:val="en-US" w:eastAsia="zh-CN"/>
              </w:rPr>
              <w:t>0</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p>
            <w:pPr>
              <w:spacing w:line="440" w:lineRule="exact"/>
              <w:ind w:firstLine="640" w:firstLineChars="200"/>
              <w:rPr>
                <w:rFonts w:eastAsia="仿宋_GB2312"/>
                <w:sz w:val="32"/>
                <w:szCs w:val="32"/>
              </w:rPr>
            </w:pPr>
          </w:p>
          <w:p>
            <w:pPr>
              <w:rPr>
                <w:rFonts w:eastAsia="楷体_GB2312"/>
                <w:bCs/>
                <w:sz w:val="28"/>
                <w:szCs w:val="28"/>
              </w:rPr>
            </w:pPr>
          </w:p>
        </w:tc>
      </w:tr>
    </w:tbl>
    <w:p>
      <w:pPr>
        <w:spacing w:line="200" w:lineRule="exact"/>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15</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E55C20"/>
    <w:rsid w:val="00053FDC"/>
    <w:rsid w:val="00071198"/>
    <w:rsid w:val="00083EFD"/>
    <w:rsid w:val="00093F23"/>
    <w:rsid w:val="000A0E20"/>
    <w:rsid w:val="000E2114"/>
    <w:rsid w:val="000F11B0"/>
    <w:rsid w:val="00101296"/>
    <w:rsid w:val="001327BB"/>
    <w:rsid w:val="00154459"/>
    <w:rsid w:val="0023637A"/>
    <w:rsid w:val="002455D3"/>
    <w:rsid w:val="00261E79"/>
    <w:rsid w:val="002F31A7"/>
    <w:rsid w:val="00321CE8"/>
    <w:rsid w:val="004076B6"/>
    <w:rsid w:val="00414443"/>
    <w:rsid w:val="0043463B"/>
    <w:rsid w:val="004925FB"/>
    <w:rsid w:val="005C20BE"/>
    <w:rsid w:val="0067650A"/>
    <w:rsid w:val="006A1774"/>
    <w:rsid w:val="006B23FE"/>
    <w:rsid w:val="007712BB"/>
    <w:rsid w:val="0079653E"/>
    <w:rsid w:val="007B2063"/>
    <w:rsid w:val="0088039A"/>
    <w:rsid w:val="008955FA"/>
    <w:rsid w:val="00920B0D"/>
    <w:rsid w:val="00967851"/>
    <w:rsid w:val="00A06D12"/>
    <w:rsid w:val="00AF6A9D"/>
    <w:rsid w:val="00B56568"/>
    <w:rsid w:val="00B64A4F"/>
    <w:rsid w:val="00BB0C37"/>
    <w:rsid w:val="00BC047E"/>
    <w:rsid w:val="00BF17B3"/>
    <w:rsid w:val="00C20A35"/>
    <w:rsid w:val="00C32BCD"/>
    <w:rsid w:val="00D279C4"/>
    <w:rsid w:val="00DA58EB"/>
    <w:rsid w:val="00DB5E2A"/>
    <w:rsid w:val="00DC1512"/>
    <w:rsid w:val="00E00BE7"/>
    <w:rsid w:val="00E24DB3"/>
    <w:rsid w:val="00E27BF7"/>
    <w:rsid w:val="00E31217"/>
    <w:rsid w:val="00E8741C"/>
    <w:rsid w:val="00F16E9D"/>
    <w:rsid w:val="083749E7"/>
    <w:rsid w:val="0DE528CD"/>
    <w:rsid w:val="18725427"/>
    <w:rsid w:val="192F1DA7"/>
    <w:rsid w:val="263C173A"/>
    <w:rsid w:val="2CA33441"/>
    <w:rsid w:val="2CE55C20"/>
    <w:rsid w:val="2F287302"/>
    <w:rsid w:val="30426D13"/>
    <w:rsid w:val="355A1631"/>
    <w:rsid w:val="3A43255A"/>
    <w:rsid w:val="3D6201A1"/>
    <w:rsid w:val="477245B4"/>
    <w:rsid w:val="4E4F0BB0"/>
    <w:rsid w:val="53FF124B"/>
    <w:rsid w:val="5BE95901"/>
    <w:rsid w:val="6A0A15CD"/>
    <w:rsid w:val="6DF352BD"/>
    <w:rsid w:val="705E3E6D"/>
    <w:rsid w:val="71C1048A"/>
    <w:rsid w:val="73F35F5B"/>
    <w:rsid w:val="79C04582"/>
    <w:rsid w:val="7D1F0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1291</Words>
  <Characters>7361</Characters>
  <Lines>61</Lines>
  <Paragraphs>17</Paragraphs>
  <TotalTime>1</TotalTime>
  <ScaleCrop>false</ScaleCrop>
  <LinksUpToDate>false</LinksUpToDate>
  <CharactersWithSpaces>8635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2020-11-10T03:31:00Z</cp:lastPrinted>
  <dcterms:modified xsi:type="dcterms:W3CDTF">2020-12-10T00:28:51Z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