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2-1</w:t>
      </w:r>
    </w:p>
    <w:p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华容县</w:t>
      </w:r>
      <w:r>
        <w:rPr>
          <w:rFonts w:eastAsia="方正小标宋简体"/>
          <w:bCs/>
          <w:sz w:val="46"/>
          <w:szCs w:val="46"/>
        </w:rPr>
        <w:t>20</w:t>
      </w:r>
      <w:r>
        <w:rPr>
          <w:rFonts w:eastAsia="方正小标宋简体"/>
          <w:bCs/>
          <w:sz w:val="46"/>
          <w:szCs w:val="46"/>
          <w:u w:val="single"/>
        </w:rPr>
        <w:t>19</w:t>
      </w:r>
      <w:r>
        <w:rPr>
          <w:rFonts w:hint="eastAsia" w:eastAsia="方正小标宋简体"/>
          <w:bCs/>
          <w:sz w:val="46"/>
          <w:szCs w:val="46"/>
        </w:rPr>
        <w:t>年度部门整体支出</w:t>
      </w: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)</w:t>
      </w:r>
      <w:r>
        <w:rPr>
          <w:rFonts w:hint="eastAsia" w:eastAsia="仿宋_GB2312"/>
          <w:sz w:val="32"/>
          <w:szCs w:val="32"/>
        </w:rPr>
        <w:t>名称：华容县农业农村局</w:t>
      </w:r>
    </w:p>
    <w:p>
      <w:pPr>
        <w:spacing w:beforeLines="50" w:line="348" w:lineRule="auto"/>
        <w:ind w:firstLine="476" w:firstLineChars="150"/>
        <w:rPr>
          <w:rFonts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eastAsia="仿宋_GB2312"/>
          <w:spacing w:val="30"/>
          <w:sz w:val="32"/>
          <w:szCs w:val="32"/>
        </w:rPr>
        <w:t xml:space="preserve"> </w:t>
      </w:r>
      <w:r>
        <w:rPr>
          <w:rFonts w:hint="eastAsia" w:eastAsia="仿宋_GB2312"/>
          <w:spacing w:val="30"/>
          <w:sz w:val="32"/>
          <w:szCs w:val="32"/>
        </w:rPr>
        <w:t>算</w:t>
      </w:r>
      <w:r>
        <w:rPr>
          <w:rFonts w:eastAsia="仿宋_GB2312"/>
          <w:spacing w:val="30"/>
          <w:sz w:val="32"/>
          <w:szCs w:val="32"/>
        </w:rPr>
        <w:t xml:space="preserve"> </w:t>
      </w:r>
      <w:r>
        <w:rPr>
          <w:rFonts w:hint="eastAsia" w:eastAsia="仿宋_GB2312"/>
          <w:spacing w:val="30"/>
          <w:sz w:val="32"/>
          <w:szCs w:val="32"/>
        </w:rPr>
        <w:t>编</w:t>
      </w:r>
      <w:r>
        <w:rPr>
          <w:rFonts w:eastAsia="仿宋_GB2312"/>
          <w:spacing w:val="30"/>
          <w:sz w:val="32"/>
          <w:szCs w:val="32"/>
        </w:rPr>
        <w:t xml:space="preserve"> </w:t>
      </w:r>
      <w:r>
        <w:rPr>
          <w:rFonts w:hint="eastAsia" w:eastAsia="仿宋_GB2312"/>
          <w:spacing w:val="30"/>
          <w:sz w:val="32"/>
          <w:szCs w:val="32"/>
        </w:rPr>
        <w:t>码：</w:t>
      </w:r>
      <w:r>
        <w:rPr>
          <w:rFonts w:eastAsia="仿宋_GB2312"/>
          <w:spacing w:val="30"/>
          <w:sz w:val="32"/>
          <w:szCs w:val="32"/>
        </w:rPr>
        <w:t>401001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评价机构：部门（单位）评价组</w:t>
      </w:r>
      <w:r>
        <w:rPr>
          <w:rFonts w:eastAsia="仿宋_GB2312"/>
          <w:sz w:val="32"/>
          <w:szCs w:val="32"/>
        </w:rPr>
        <w:t xml:space="preserve">   </w:t>
      </w: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eastAsia="仿宋_GB2312"/>
          <w:sz w:val="32"/>
        </w:rPr>
        <w:t>2020</w:t>
      </w:r>
      <w:r>
        <w:rPr>
          <w:rFonts w:hint="eastAsia" w:eastAsia="仿宋_GB2312"/>
          <w:sz w:val="32"/>
        </w:rPr>
        <w:t>年</w:t>
      </w:r>
      <w:r>
        <w:rPr>
          <w:rFonts w:eastAsia="仿宋_GB2312"/>
          <w:sz w:val="32"/>
        </w:rPr>
        <w:t>1</w:t>
      </w:r>
      <w:r>
        <w:rPr>
          <w:rFonts w:hint="eastAsia" w:eastAsia="仿宋_GB2312"/>
          <w:sz w:val="32"/>
          <w:lang w:val="en-US" w:eastAsia="zh-CN"/>
        </w:rPr>
        <w:t>0</w:t>
      </w:r>
      <w:r>
        <w:rPr>
          <w:rFonts w:hint="eastAsia" w:eastAsia="仿宋_GB2312"/>
          <w:sz w:val="32"/>
        </w:rPr>
        <w:t>月</w:t>
      </w:r>
      <w:r>
        <w:rPr>
          <w:rFonts w:eastAsia="仿宋_GB2312"/>
          <w:sz w:val="32"/>
        </w:rPr>
        <w:t>10</w:t>
      </w:r>
      <w:r>
        <w:rPr>
          <w:rFonts w:hint="eastAsia" w:eastAsia="仿宋_GB2312"/>
          <w:sz w:val="32"/>
        </w:rPr>
        <w:t>日</w:t>
      </w:r>
    </w:p>
    <w:p>
      <w:pPr>
        <w:autoSpaceDN w:val="0"/>
        <w:jc w:val="center"/>
        <w:textAlignment w:val="center"/>
        <w:rPr>
          <w:rFonts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  <w:r>
        <w:rPr>
          <w:rFonts w:hint="eastAsia" w:eastAsia="仿宋_GB2312"/>
          <w:sz w:val="32"/>
        </w:rPr>
        <w:t>华容县财政</w:t>
      </w:r>
      <w:r>
        <w:rPr>
          <w:rFonts w:hint="eastAsia" w:eastAsia="仿宋_GB2312"/>
          <w:sz w:val="32"/>
          <w:szCs w:val="32"/>
        </w:rPr>
        <w:t>局（制）</w:t>
      </w:r>
    </w:p>
    <w:tbl>
      <w:tblPr>
        <w:tblStyle w:val="4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196"/>
        <w:gridCol w:w="79"/>
        <w:gridCol w:w="1080"/>
        <w:gridCol w:w="445"/>
        <w:gridCol w:w="139"/>
        <w:gridCol w:w="316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陈辉</w:t>
            </w:r>
          </w:p>
        </w:tc>
        <w:tc>
          <w:tcPr>
            <w:tcW w:w="1479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15074037000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115</w:t>
            </w:r>
          </w:p>
        </w:tc>
        <w:tc>
          <w:tcPr>
            <w:tcW w:w="1479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1654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noWrap/>
            <w:vAlign w:val="center"/>
          </w:tcPr>
          <w:p>
            <w:pPr>
              <w:autoSpaceDN w:val="0"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、贯彻执行国家和省种植业、畜牧业、渔业、农业机械化、农产品加工业、农垦等农业各产业（简称农业）发展的方针政策，拟订全县农业发展的政策和规划并指导实施，引导农业产业结构合理调整、农业资源的合理配置和农产品品质改善，参与涉农的财税、价格、金融保险、进出口等政策制定，负责农业行政执法和农业行政复议工作，推进农业依法行政。</w:t>
            </w:r>
          </w:p>
          <w:p>
            <w:pPr>
              <w:autoSpaceDN w:val="0"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、研究提出稳定和完善农村经营管理体制的建议，指导农村土地承包、耕地使用权流转和承包纠纷调解、仲裁管理，指导、监督减轻农民负担和村民筹资筹劳工作，检查监督惠农政策的落实，指导村级集体经济发展、农村集体经济组织建设和资产财务管理。</w:t>
            </w:r>
          </w:p>
          <w:p>
            <w:pPr>
              <w:autoSpaceDN w:val="0"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、拟订全县农业产业化经营的发展规划与政策并组织实施，指导、扶持农业社会化服务体系、农村合作经济组织、农民专业合作社和农产品行业协会的建设与发展；会同有关部门进一步深化原国有农场体制改革。</w:t>
            </w:r>
          </w:p>
          <w:p>
            <w:pPr>
              <w:autoSpaceDN w:val="0"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、指导粮食等主要农产品生产，组织落实促进粮食等主要农产品生产发展的相关政策措施，会同有关部门指导农业标准化、规模化生产；提出农业固定资产投资规模和方向；编报部门预算并组织执行，提出扶持农业农村发展的财政政策、项目和县级财政性资金安排建议，经批准后与财政部门共同制订实施方案并指导实施；拟订农业开发规划并监督实施；配合财政部门组织实施农业综合开发项目。</w:t>
            </w:r>
          </w:p>
          <w:p>
            <w:pPr>
              <w:autoSpaceDN w:val="0"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、促进农业产前、产中、产后一体化发展，组织拟订促进农产品加工业发展政策、规划并组织实施，提出农业产业保护政策建议，指导农产品加工业结构调整、技术创新和服务体系建设；提出促进大宗农产品流通的政策建议，研究制定大宗农产品市场体系建设与发展规划；培育、保护和发展农产品品牌；组织协调“菜篮子”工程。</w:t>
            </w:r>
          </w:p>
          <w:p>
            <w:pPr>
              <w:autoSpaceDN w:val="0"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、承担提升农产品质量安全水平的责任，依法开展农产品质量安全风险评估，收集上报有关农产品质量安全状况信息，负责农产品质量安全监测；贯彻执行农业转基因生物安全评价标准和技术规范，负责农业转基因生物安全监督管理和农业植物新品种保护；会同有关部门贯彻执行农产品质量安全国家标准，参与制定农产品质量安全地方标准并指导实施；指导农业检验检测体系建设和工作考核；负责符合安全标准的农产品认证申报工作并依法实施监督管理；组织农产品质量安全的监督管理；负责畜禽屠宰的监督管理。</w:t>
            </w:r>
          </w:p>
          <w:p>
            <w:pPr>
              <w:autoSpaceDN w:val="0"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、组织、协调农业生产资料市场体系建设，依法开展农作物种子（种苗）、草种、种畜禽、农药、兽药等的行政许可及监督管理；会同有关部门贯彻执行农业生产资料标准；贯彻执行兽药质量、兽药残留限量和残留检测方法国家标准；依法负责渔船、渔港、渔机、网具的监督管理，指导渔业安全生产；开展兽医医疗器械、肥料和饲料、饲料添加剂、农药兽药的监督管理；指导农业机械化发展和农机安全监理，组织实施农机惠农政策。</w:t>
            </w:r>
          </w:p>
          <w:p>
            <w:pPr>
              <w:autoSpaceDN w:val="0"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、负责农作物重大病虫害防治，贯彻执行国家、省动植物防疫检疫法律法规和政策，会同有关部门制定地方性动植物防疫政策建议并指导实施，指导动植物防疫和检疫体系建设；组织、监督对县内动植物的防疫检疫工作；组织植物检疫性有害生物普查并组织疫情扑灭；承担全县农作物种子（种苗）检疫审批工作；配合有关部门制定血吸虫病防治工作计划并组织实施；组织兽医医政、兽药药政药检工作；负责执业兽医的管理。</w:t>
            </w:r>
          </w:p>
          <w:p>
            <w:pPr>
              <w:autoSpaceDN w:val="0"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、承担农业防灾减灾的责任，监测、上报农业灾情，组织种子、化肥等救灾物资储备和调拨，提出农业生产救灾资金安排建议，指导紧急救灾和灾后生产恢复。</w:t>
            </w:r>
          </w:p>
          <w:p>
            <w:pPr>
              <w:autoSpaceDN w:val="0"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管理农业和农村经济信息，监测分析农业、农村经济运行，开展相关农业统计工作；采集、整理、上报农业和农村经济信息，负责农业信息体系建设，指导农业信息服务。</w:t>
            </w:r>
          </w:p>
          <w:p>
            <w:pPr>
              <w:autoSpaceDN w:val="0"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、制定全县农业科研、农技推广的规划、计划和有关政策并指导实施；会同有关部门组织全县农业科技创新体系和农业产业技术体系建设，会同有关部门实施科教兴农战略，按分工组织实施全县农业科研重大项目；组织实施农业领域的高新技术和应用技术研究、农业科技成果转化和技术推广；负责农业科技成果管理，组织引进农业先进技术，指导农技推广体系改革与建设。</w:t>
            </w:r>
          </w:p>
          <w:p>
            <w:pPr>
              <w:autoSpaceDN w:val="0"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会同有关部门拟订全县农业农村人才队伍建设规划并组织实施，指导协调农民教育培训，指导农业教育和农业职业技能开发工作，参与实施农村实用人才培训工程，承担农村劳动力就地就近就业培训工作。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  <w:jc w:val="center"/>
        </w:trPr>
        <w:tc>
          <w:tcPr>
            <w:tcW w:w="1654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：农业结构调整稳中向好。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：农村人均环境持续改善。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：农业发展基础不断夯实。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：农业农村领域总体安全稳定。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0" w:hRule="atLeast"/>
          <w:jc w:val="center"/>
        </w:trPr>
        <w:tc>
          <w:tcPr>
            <w:tcW w:w="1654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1700" w:type="dxa"/>
            <w:gridSpan w:val="3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8029.4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8029.4</w:t>
            </w:r>
          </w:p>
        </w:tc>
        <w:tc>
          <w:tcPr>
            <w:tcW w:w="1705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8029.4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8029.4</w:t>
            </w:r>
          </w:p>
        </w:tc>
        <w:tc>
          <w:tcPr>
            <w:tcW w:w="1705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、二级机构</w:t>
            </w: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、二级机构</w:t>
            </w: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49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060" w:type="dxa"/>
            <w:gridSpan w:val="6"/>
            <w:tcBorders>
              <w:top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9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198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5368.8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1130.2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891.5</w:t>
            </w:r>
          </w:p>
        </w:tc>
        <w:tc>
          <w:tcPr>
            <w:tcW w:w="198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238.7</w:t>
            </w:r>
          </w:p>
        </w:tc>
        <w:tc>
          <w:tcPr>
            <w:tcW w:w="1080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4238.6</w:t>
            </w:r>
          </w:p>
        </w:tc>
        <w:tc>
          <w:tcPr>
            <w:tcW w:w="90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2660.6</w:t>
            </w:r>
          </w:p>
        </w:tc>
        <w:tc>
          <w:tcPr>
            <w:tcW w:w="6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5368.8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1130.2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891.5</w:t>
            </w:r>
          </w:p>
        </w:tc>
        <w:tc>
          <w:tcPr>
            <w:tcW w:w="198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238.7</w:t>
            </w:r>
          </w:p>
        </w:tc>
        <w:tc>
          <w:tcPr>
            <w:tcW w:w="1080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4238.6</w:t>
            </w:r>
          </w:p>
        </w:tc>
        <w:tc>
          <w:tcPr>
            <w:tcW w:w="90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2660.6</w:t>
            </w:r>
          </w:p>
        </w:tc>
        <w:tc>
          <w:tcPr>
            <w:tcW w:w="6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、二级机构</w:t>
            </w: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8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、二级机构</w:t>
            </w: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8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198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605" w:type="dxa"/>
            <w:gridSpan w:val="5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11.7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7.5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4.2</w:t>
            </w:r>
          </w:p>
        </w:tc>
        <w:tc>
          <w:tcPr>
            <w:tcW w:w="198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05" w:type="dxa"/>
            <w:gridSpan w:val="5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11.7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7.5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4.2</w:t>
            </w:r>
          </w:p>
        </w:tc>
        <w:tc>
          <w:tcPr>
            <w:tcW w:w="198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05" w:type="dxa"/>
            <w:gridSpan w:val="5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、二级机构</w:t>
            </w: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8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05" w:type="dxa"/>
            <w:gridSpan w:val="5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、二级机构</w:t>
            </w: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8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05" w:type="dxa"/>
            <w:gridSpan w:val="5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243.8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243.8</w:t>
            </w:r>
          </w:p>
        </w:tc>
        <w:tc>
          <w:tcPr>
            <w:tcW w:w="3644" w:type="dxa"/>
            <w:gridSpan w:val="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243.8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243.8</w:t>
            </w:r>
          </w:p>
        </w:tc>
        <w:tc>
          <w:tcPr>
            <w:tcW w:w="3644" w:type="dxa"/>
            <w:gridSpan w:val="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、二级机构</w:t>
            </w: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、二级机构</w:t>
            </w: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2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74" w:type="dxa"/>
            <w:gridSpan w:val="7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：农业结构调整稳中向好。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：农村人均环境持续改善。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：农业发展基础不断夯实。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：农业农村领域总体安全稳定。</w:t>
            </w:r>
          </w:p>
        </w:tc>
        <w:tc>
          <w:tcPr>
            <w:tcW w:w="4585" w:type="dxa"/>
            <w:gridSpan w:val="9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（部门工作实绩，包含上级部门和县委县政府布置的重点工作、实事任务等，根据部门实际进行调整细化）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：抓好产业扶贫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增强脱贫基础，带动贫困群众增收致富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1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：深化农村综合改革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加大对新型农业经营主体的指导力度，规范土地流转，提升规模化水平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：保口粮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全县落实粮食播种面积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127.5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万亩，预计总产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万吨，与上年持平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：稳畜禽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生猪存栏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34.9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万头，出栏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22.8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万头；肉牛存栏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3.99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万头，出栏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0.8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万头；肉羊存栏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4.38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万头，出栏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2.5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万头；家禽存笼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万羽，出笼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316.6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万羽。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：优渔业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全县渔业产量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15.05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万吨，渔业产值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亿元。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76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：年度内完成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76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：预算内控制成本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：农村人均环境持续改善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村容村貌提升，突出特色小镇创建，省级“农业特色小镇”和“农业产业强镇”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：农产品质量监管持续强化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检查农作物品种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74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个，农药品种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97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个，检查肥料品种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个，抽查生猪“瘦肉精”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1560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份。立案查获农资违法案件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起，行政处罚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人，查获违法农资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吨，受理农业质量事故投诉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起，赔偿农民经济损失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12.3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万元。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：农业污染防治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：渔业生态环境保护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持续开展农业化肥负增长，全年农药、化肥使用量分别减少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5.09%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2.11%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；巩固大水面全面禁投效果显具。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：社会公众或服务对象满意度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名</w:t>
            </w:r>
          </w:p>
        </w:tc>
        <w:tc>
          <w:tcPr>
            <w:tcW w:w="3561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职称</w:t>
            </w:r>
          </w:p>
        </w:tc>
        <w:tc>
          <w:tcPr>
            <w:tcW w:w="1479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位</w:t>
            </w:r>
          </w:p>
        </w:tc>
        <w:tc>
          <w:tcPr>
            <w:tcW w:w="3106" w:type="dxa"/>
            <w:gridSpan w:val="8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杨妙江</w:t>
            </w:r>
          </w:p>
        </w:tc>
        <w:tc>
          <w:tcPr>
            <w:tcW w:w="3561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副局长</w:t>
            </w:r>
          </w:p>
        </w:tc>
        <w:tc>
          <w:tcPr>
            <w:tcW w:w="1479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华容县农业农村局</w:t>
            </w:r>
          </w:p>
        </w:tc>
        <w:tc>
          <w:tcPr>
            <w:tcW w:w="3106" w:type="dxa"/>
            <w:gridSpan w:val="8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涂胜</w:t>
            </w:r>
          </w:p>
        </w:tc>
        <w:tc>
          <w:tcPr>
            <w:tcW w:w="3561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办公室主任</w:t>
            </w:r>
          </w:p>
        </w:tc>
        <w:tc>
          <w:tcPr>
            <w:tcW w:w="1479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华容县农业农村局</w:t>
            </w:r>
          </w:p>
        </w:tc>
        <w:tc>
          <w:tcPr>
            <w:tcW w:w="3106" w:type="dxa"/>
            <w:gridSpan w:val="8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陈辉</w:t>
            </w:r>
          </w:p>
        </w:tc>
        <w:tc>
          <w:tcPr>
            <w:tcW w:w="3561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财务股长</w:t>
            </w:r>
          </w:p>
        </w:tc>
        <w:tc>
          <w:tcPr>
            <w:tcW w:w="1479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华容县农业农村局</w:t>
            </w:r>
          </w:p>
        </w:tc>
        <w:tc>
          <w:tcPr>
            <w:tcW w:w="3106" w:type="dxa"/>
            <w:gridSpan w:val="8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94" w:hRule="atLeast"/>
          <w:jc w:val="center"/>
        </w:trPr>
        <w:tc>
          <w:tcPr>
            <w:tcW w:w="9800" w:type="dxa"/>
            <w:gridSpan w:val="17"/>
            <w:noWrap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</w:t>
            </w:r>
            <w:r>
              <w:rPr>
                <w:rFonts w:hint="eastAsia" w:eastAsia="仿宋_GB2312"/>
                <w:sz w:val="24"/>
              </w:rPr>
              <w:t>财政部门归口业务科室负责人（签章）：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eastAsia="仿宋_GB2312" w:cs="仿宋_GB2312"/>
          <w:bCs/>
          <w:sz w:val="28"/>
          <w:szCs w:val="28"/>
        </w:rPr>
        <w:t xml:space="preserve">                          </w:t>
      </w:r>
      <w:r>
        <w:rPr>
          <w:rFonts w:hint="eastAsia" w:eastAsia="仿宋_GB2312" w:cs="仿宋_GB2312"/>
          <w:bCs/>
          <w:sz w:val="28"/>
          <w:szCs w:val="28"/>
        </w:rPr>
        <w:t>联系电话：</w:t>
      </w:r>
    </w:p>
    <w:tbl>
      <w:tblPr>
        <w:tblStyle w:val="4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558" w:type="dxa"/>
            <w:noWrap/>
          </w:tcPr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五、评价报告综述（文字部分）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560" w:lineRule="exact"/>
              <w:ind w:firstLine="560" w:firstLineChars="20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一、部门（单位）概况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560" w:lineRule="exact"/>
              <w:ind w:firstLine="560" w:firstLineChars="20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（一）部门（单位）基本情况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单位为财政全额预算拨款单位，核定人员编制</w:t>
            </w:r>
            <w:r>
              <w:rPr>
                <w:rFonts w:ascii="宋体" w:cs="宋体"/>
                <w:kern w:val="0"/>
                <w:sz w:val="28"/>
                <w:szCs w:val="28"/>
              </w:rPr>
              <w:t>115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人，实有人数为</w:t>
            </w:r>
            <w:r>
              <w:rPr>
                <w:rFonts w:ascii="宋体" w:cs="宋体"/>
                <w:kern w:val="0"/>
                <w:sz w:val="28"/>
                <w:szCs w:val="28"/>
              </w:rPr>
              <w:t>115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人。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职责职能：</w:t>
            </w:r>
            <w:r>
              <w:rPr>
                <w:rFonts w:ascii="宋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、贯彻执行国家和省种植业、畜牧业、渔业、农业机械化、农产品加工业、农垦等农业各产业（简称农业）发展的方针政策，拟订全县农业发展的政策和规划并指导实施，引导农业产业结构合理调整、农业资源的合理配置和农产品品质改善，参与涉农的财税、价格、金融保险、进出口等政策制定，负责农业行政执法和农业行政复议工作，推进农业依法行政。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、研究提出稳定和完善农村经营管理体制的建议，指导农村土地承包、耕地使用权流转和承包纠纷调解、仲裁管理，指导、监督减轻农民负担和村民筹资筹劳工作，检查监督惠农政策的落实，指导村级集体经济发展、农村集体经济组织建设和资产财务管理。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3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、拟订全县农业产业化经营的发展规划与政策并组织实施，指导、扶持农业社会化服务体系、农村合作经济组织、农民专业合作社和农产品行业协会的建设与发展；会同有关部门进一步深化原国有农场体制改革。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、指导粮食等主要农产品生产，组织落实促进粮食等主要农产品生产发展的相关政策措施，会同有关部门指导农业标准化、规模化生产；提出农业固定资产投资规模和方向；编报部门预算并组织执行，提出扶持农业农村发展的财政政策、项目和县级财政性资金安排建议，经批准后与财政部门共同制订实施方案并指导实施；拟订农业开发规划并监督实施；配合财政部门组织实施农业综合开发项目。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5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、促进农业产前、产中、产后一体化发展，组织拟订促进农产品加工业发展政策、规划并组织实施，提出农业产业保护政策建议，指导农产品加工业结构调整、技术创新和服务体系建设；提出促进大宗农产品流通的政策建议，研究制定大宗农产品市场体系建设与发展规划；培育、保护和发展农产品品牌；组织协调“菜篮子”工程。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6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、承担提升农产品质量安全水平的责任，依法开展农产品质量安全风险评估，收集上报有关农产品质量安全状况信息，负责农产品质量安全监测；贯彻执行农业转基因生物安全评价标准和技术规范，负责农业转基因生物安全监督管理和农业植物新品种保护；会同有关部门贯彻执行农产品质量安全国家标准，参与制定农产品质量安全地方标准并指导实施；指导农业检验检测体系建设和工作考核；负责符合安全标准的农产品认证申报工作并依法实施监督管理；组织农产品质量安全的监督管理；负责畜禽屠宰的监督管理。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7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、组织、协调农业生产资料市场体系建设，依法开展农作物种子（种苗）、草种、种畜禽、农药、兽药等的行政许可及监督管理；会同有关部门贯彻执行农业生产资料标准；贯彻执行兽药质量、兽药残留限量和残留检测方法国家标准；依法负责渔船、渔港、渔机、网具的监督管理，指导渔业安全生产；开展兽医医疗器械、肥料和饲料、饲料添加剂、农药兽药的监督管理；指导农业机械化发展和农机安全监理，组织实施农机惠农政策。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8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、负责农作物重大病虫害防治，贯彻执行国家、省动植物防疫检疫法律法规和政策，会同有关部门制定地方性动植物防疫政策建议并指导实施，指导动植物防疫和检疫体系建设；组织、监督对县内动植物的防疫检疫工作；组织植物检疫性有害生物普查并组织疫情扑灭；承担全县农作物种子（种苗）检疫审批工作；配合有关部门制定血吸虫病防治工作计划并组织实施；组织兽医医政、兽药药政药检工作；负责执业兽医的管理。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9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、承担农业防灾减灾的责任，监测、上报农业灾情，组织种子、化肥等救灾物资储备和调拨，提出农业生产救灾资金安排建议，指导紧急救灾和灾后生产恢复。管理农业和农村经济信息，监测分析农业、农村经济运行，开展相关农业统计工作；采集、整理、上报农业和农村经济信息，负责农业信息体系建设，指导农业信息服务。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10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、制定全县农业科研、农技推广的规划、计划和有关政策并指导实施；会同有关部门组织全县农业科技创新体系和农业产业技术体系建设，会同有关部门实施科教兴农战略，按分工组织实施全县农业科研重大项目；组织实施农业领域的高新技术和应用技术研究、农业科技成果转化和技术推广；负责农业科技成果管理，组织引进农业先进技术，指导农技推广体系改革与建设。会同有关部门拟订全县农业农村人才队伍建设规划并组织实施，指导协调农民教育培训，指导农业教育和农业职业技能开发工作，参与实施农村实用人才培训工程，承担农村劳动力就地就近就业培训工作。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内设机构：农业局内设机构有</w:t>
            </w:r>
            <w:r>
              <w:rPr>
                <w:rFonts w:ascii="宋体" w:cs="宋体"/>
                <w:kern w:val="0"/>
                <w:sz w:val="28"/>
                <w:szCs w:val="28"/>
              </w:rPr>
              <w:t>13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个。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560" w:lineRule="exact"/>
              <w:ind w:firstLine="560" w:firstLineChars="20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（二）部门（单位）整体支出规模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、收入情况：全年收入</w:t>
            </w:r>
            <w:r>
              <w:rPr>
                <w:rFonts w:ascii="宋体" w:cs="宋体"/>
                <w:kern w:val="0"/>
                <w:sz w:val="28"/>
                <w:szCs w:val="28"/>
              </w:rPr>
              <w:t>8029.4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万元，其中：预算安排</w:t>
            </w:r>
            <w:r>
              <w:rPr>
                <w:rFonts w:ascii="宋体" w:cs="宋体"/>
                <w:kern w:val="0"/>
                <w:sz w:val="28"/>
                <w:szCs w:val="28"/>
              </w:rPr>
              <w:t>8029.4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万元。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、支出情况</w:t>
            </w:r>
            <w:r>
              <w:rPr>
                <w:rFonts w:ascii="宋体" w:cs="宋体"/>
                <w:kern w:val="0"/>
                <w:sz w:val="28"/>
                <w:szCs w:val="28"/>
              </w:rPr>
              <w:t>: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全年支出</w:t>
            </w:r>
            <w:r>
              <w:rPr>
                <w:rFonts w:ascii="宋体" w:cs="宋体"/>
                <w:kern w:val="0"/>
                <w:sz w:val="28"/>
                <w:szCs w:val="28"/>
              </w:rPr>
              <w:t>5368.8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万元，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其中：基本支出</w:t>
            </w:r>
            <w:r>
              <w:rPr>
                <w:rFonts w:ascii="宋体" w:cs="宋体"/>
                <w:kern w:val="0"/>
                <w:sz w:val="28"/>
                <w:szCs w:val="28"/>
              </w:rPr>
              <w:t>1130.2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万元（工资福利支出</w:t>
            </w:r>
            <w:r>
              <w:rPr>
                <w:rFonts w:ascii="宋体" w:cs="宋体"/>
                <w:kern w:val="0"/>
                <w:sz w:val="28"/>
                <w:szCs w:val="28"/>
              </w:rPr>
              <w:t>835.8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万元，商品和服务支出</w:t>
            </w:r>
            <w:r>
              <w:rPr>
                <w:rFonts w:ascii="宋体" w:cs="宋体"/>
                <w:kern w:val="0"/>
                <w:sz w:val="28"/>
                <w:szCs w:val="28"/>
              </w:rPr>
              <w:t>219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万元，对个人和家庭补助支出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55.8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万元，资本性支出</w:t>
            </w:r>
            <w:r>
              <w:rPr>
                <w:rFonts w:ascii="宋体" w:cs="宋体"/>
                <w:kern w:val="0"/>
                <w:sz w:val="28"/>
                <w:szCs w:val="28"/>
              </w:rPr>
              <w:t>19.6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万元），项目支出</w:t>
            </w:r>
            <w:r>
              <w:rPr>
                <w:rFonts w:ascii="宋体" w:cs="宋体"/>
                <w:kern w:val="0"/>
                <w:sz w:val="28"/>
                <w:szCs w:val="28"/>
              </w:rPr>
              <w:t>4238.6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万元。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560" w:lineRule="exact"/>
              <w:ind w:firstLine="560" w:firstLineChars="20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二、部门（单位）整体支出管理及使用情况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（一）基本支出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、部门整体支出情况分析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2019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年整体支出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5368.9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万元，其中基本支出</w:t>
            </w:r>
            <w:r>
              <w:rPr>
                <w:rFonts w:ascii="宋体" w:cs="宋体"/>
                <w:kern w:val="0"/>
                <w:sz w:val="28"/>
                <w:szCs w:val="28"/>
              </w:rPr>
              <w:t>1130.2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万元，人员支出</w:t>
            </w:r>
            <w:r>
              <w:rPr>
                <w:rFonts w:ascii="宋体" w:cs="宋体"/>
                <w:kern w:val="0"/>
                <w:sz w:val="28"/>
                <w:szCs w:val="28"/>
              </w:rPr>
              <w:t>891.6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万元，占基本支出</w:t>
            </w:r>
            <w:r>
              <w:rPr>
                <w:rFonts w:ascii="宋体" w:cs="宋体"/>
                <w:kern w:val="0"/>
                <w:sz w:val="28"/>
                <w:szCs w:val="28"/>
              </w:rPr>
              <w:t>79%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，公用支出</w:t>
            </w:r>
            <w:r>
              <w:rPr>
                <w:rFonts w:ascii="宋体" w:cs="宋体"/>
                <w:kern w:val="0"/>
                <w:sz w:val="28"/>
                <w:szCs w:val="28"/>
              </w:rPr>
              <w:t>238.6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万元，占基本支出</w:t>
            </w:r>
            <w:r>
              <w:rPr>
                <w:rFonts w:ascii="宋体" w:cs="宋体"/>
                <w:kern w:val="0"/>
                <w:sz w:val="28"/>
                <w:szCs w:val="28"/>
              </w:rPr>
              <w:t>21 %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。项目支出</w:t>
            </w:r>
            <w:r>
              <w:rPr>
                <w:rFonts w:ascii="宋体" w:cs="宋体"/>
                <w:kern w:val="0"/>
                <w:sz w:val="28"/>
                <w:szCs w:val="28"/>
              </w:rPr>
              <w:t>4238.6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万元。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、“三公经费”支出情况分析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2019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年“三公经费”预算</w:t>
            </w:r>
            <w:r>
              <w:rPr>
                <w:rFonts w:ascii="宋体" w:cs="宋体"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万元，实际开支</w:t>
            </w:r>
            <w:r>
              <w:rPr>
                <w:rFonts w:ascii="宋体" w:cs="宋体"/>
                <w:kern w:val="0"/>
                <w:sz w:val="28"/>
                <w:szCs w:val="28"/>
              </w:rPr>
              <w:t>11.7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万元。“三经费”比去年的</w:t>
            </w:r>
            <w:r>
              <w:rPr>
                <w:rFonts w:ascii="宋体" w:cs="宋体"/>
                <w:kern w:val="0"/>
                <w:sz w:val="28"/>
                <w:szCs w:val="28"/>
              </w:rPr>
              <w:t>22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万元压缩了</w:t>
            </w:r>
            <w:r>
              <w:rPr>
                <w:rFonts w:ascii="宋体" w:cs="宋体"/>
                <w:kern w:val="0"/>
                <w:sz w:val="28"/>
                <w:szCs w:val="28"/>
              </w:rPr>
              <w:t>10.3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万元，比年初预算减少</w:t>
            </w:r>
            <w:r>
              <w:rPr>
                <w:rFonts w:ascii="宋体" w:cs="宋体"/>
                <w:kern w:val="0"/>
                <w:sz w:val="28"/>
                <w:szCs w:val="28"/>
              </w:rPr>
              <w:t>8.3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万元，控制在预算之内。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3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、固定资产管理情况分析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按照例行节约，物尽其用的原则，资产管理采取统一建账，统一核算管理，对每件固定资产使用明确保管职责，闲置的资产，由办公室统一调整，合理流动，发挥其效益；至</w:t>
            </w:r>
            <w:r>
              <w:rPr>
                <w:rFonts w:ascii="宋体" w:cs="宋体"/>
                <w:kern w:val="0"/>
                <w:sz w:val="28"/>
                <w:szCs w:val="28"/>
              </w:rPr>
              <w:t>2019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宋体" w:cs="宋体"/>
                <w:kern w:val="0"/>
                <w:sz w:val="28"/>
                <w:szCs w:val="28"/>
              </w:rPr>
              <w:t>12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月末固定资产</w:t>
            </w:r>
            <w:r>
              <w:rPr>
                <w:rFonts w:ascii="宋体" w:cs="宋体"/>
                <w:kern w:val="0"/>
                <w:sz w:val="28"/>
                <w:szCs w:val="28"/>
              </w:rPr>
              <w:t>243.8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万元</w:t>
            </w:r>
            <w:r>
              <w:rPr>
                <w:rFonts w:ascii="宋体" w:cs="宋体"/>
                <w:kern w:val="0"/>
                <w:sz w:val="28"/>
                <w:szCs w:val="28"/>
              </w:rPr>
              <w:t>.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560" w:lineRule="exact"/>
              <w:ind w:firstLine="560" w:firstLineChars="20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（二）专项支出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560" w:lineRule="exact"/>
              <w:ind w:firstLine="560" w:firstLineChars="20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2019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年项目总支出</w:t>
            </w:r>
            <w:r>
              <w:rPr>
                <w:rFonts w:ascii="宋体" w:cs="宋体"/>
                <w:kern w:val="0"/>
                <w:sz w:val="28"/>
                <w:szCs w:val="28"/>
              </w:rPr>
              <w:t>4238.6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万元，其中</w:t>
            </w:r>
            <w:r>
              <w:rPr>
                <w:rFonts w:ascii="宋体" w:cs="宋体"/>
                <w:kern w:val="0"/>
                <w:sz w:val="28"/>
                <w:szCs w:val="28"/>
              </w:rPr>
              <w:t>2018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年现代现代农业特色产业集聚区建设资金</w:t>
            </w:r>
            <w:r>
              <w:rPr>
                <w:rFonts w:ascii="宋体" w:cs="宋体"/>
                <w:kern w:val="0"/>
                <w:sz w:val="28"/>
                <w:szCs w:val="28"/>
              </w:rPr>
              <w:t>600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万元，</w:t>
            </w:r>
            <w:r>
              <w:rPr>
                <w:rFonts w:ascii="宋体" w:cs="宋体"/>
                <w:kern w:val="0"/>
                <w:sz w:val="28"/>
                <w:szCs w:val="28"/>
              </w:rPr>
              <w:t>2018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年中央农产品产地初加工专项资金</w:t>
            </w:r>
            <w:r>
              <w:rPr>
                <w:rFonts w:ascii="宋体" w:cs="宋体"/>
                <w:kern w:val="0"/>
                <w:sz w:val="28"/>
                <w:szCs w:val="28"/>
              </w:rPr>
              <w:t>240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万元，</w:t>
            </w:r>
            <w:r>
              <w:rPr>
                <w:rFonts w:ascii="宋体" w:cs="宋体"/>
                <w:kern w:val="0"/>
                <w:sz w:val="28"/>
                <w:szCs w:val="28"/>
              </w:rPr>
              <w:t>2018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年新增粮食生产能力规划田间工程建设项目</w:t>
            </w:r>
            <w:r>
              <w:rPr>
                <w:rFonts w:ascii="宋体" w:cs="宋体"/>
                <w:kern w:val="0"/>
                <w:sz w:val="28"/>
                <w:szCs w:val="28"/>
              </w:rPr>
              <w:t>777.7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万元，农村一二三产业融合强镇试点资金</w:t>
            </w:r>
            <w:r>
              <w:rPr>
                <w:rFonts w:ascii="宋体" w:cs="宋体"/>
                <w:kern w:val="0"/>
                <w:sz w:val="28"/>
                <w:szCs w:val="28"/>
              </w:rPr>
              <w:t>500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万元，</w:t>
            </w:r>
            <w:r>
              <w:rPr>
                <w:rFonts w:ascii="宋体" w:cs="宋体"/>
                <w:kern w:val="0"/>
                <w:sz w:val="28"/>
                <w:szCs w:val="28"/>
              </w:rPr>
              <w:t>2016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年农业环境突出问题治理项目</w:t>
            </w:r>
            <w:r>
              <w:rPr>
                <w:rFonts w:ascii="宋体" w:cs="宋体"/>
                <w:kern w:val="0"/>
                <w:sz w:val="28"/>
                <w:szCs w:val="28"/>
              </w:rPr>
              <w:t>438.7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万元，棉花目标价格改革中央补贴资金</w:t>
            </w:r>
            <w:r>
              <w:rPr>
                <w:rFonts w:ascii="宋体" w:cs="宋体"/>
                <w:kern w:val="0"/>
                <w:sz w:val="28"/>
                <w:szCs w:val="28"/>
              </w:rPr>
              <w:t>265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万元，其他农业专项资金</w:t>
            </w:r>
            <w:r>
              <w:rPr>
                <w:rFonts w:ascii="宋体" w:cs="宋体"/>
                <w:kern w:val="0"/>
                <w:sz w:val="28"/>
                <w:szCs w:val="28"/>
              </w:rPr>
              <w:t>1417.2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万元。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560" w:lineRule="exact"/>
              <w:ind w:firstLine="560" w:firstLineChars="20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三、部门（单位）专项组织实施情况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560" w:lineRule="exact"/>
              <w:ind w:firstLine="560" w:firstLineChars="20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（一）专项组织情况分析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560" w:lineRule="exact"/>
              <w:ind w:firstLine="560" w:firstLineChars="20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（二）专项管理情况分析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560" w:lineRule="exact"/>
              <w:ind w:firstLine="560" w:firstLineChars="20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四、部门（单位）整体支出绩效情况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560" w:lineRule="exact"/>
              <w:ind w:firstLine="560" w:firstLineChars="20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2019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年，根据年初工作规划和重点工作，围绕县委、县政府的工作部署，积极履行职责，强化管理，较好地完成了年度工作目标，同时加强预算收支的管理，建立健全内部管理制度，严格内部管理流程，部门整体支出管理得到了提升。</w:t>
            </w:r>
            <w:r>
              <w:rPr>
                <w:rFonts w:ascii="宋体" w:cs="宋体"/>
                <w:kern w:val="0"/>
                <w:sz w:val="28"/>
                <w:szCs w:val="28"/>
              </w:rPr>
              <w:t>2019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年度部门整体支出绩效情况如下：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560" w:lineRule="exact"/>
              <w:ind w:firstLine="560" w:firstLineChars="20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1.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严格预算支出管理。在支出预算编制上，人员经费按照配置定额，逐人核定编制，公用经费分类分档，按定额编制；根据“总量控制、计划管理”的要求从严控制行政经费，压缩一般性支出，严格控制“三公”经费，资产的配置严格政府采购，按照预算科目和项目资金的规定使用财政资金，保障部门整体支出的规范化、制度化。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560" w:lineRule="exact"/>
              <w:ind w:firstLine="560" w:firstLineChars="20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2.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财务管理上，按照国家相关法律法规，制定了机关财务、公物购置使用、接待、会务、车辆使用等管理制度，并严格按照制度管理和执行，防范风险，保证财政资金的安全和高效运行。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560" w:lineRule="exact"/>
              <w:ind w:firstLine="560" w:firstLineChars="20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根据考核评分细则，严格按照国家的相关财务管理制度规定，财务制度健全、会计核算规范，依照计划管理使用，整体支出对保障正常运行、贯彻执行国家方针、政策、法律法规，发挥了重要作用，强化部门的责任，取得了一定的成绩，确保全县各项社会稳定。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560" w:lineRule="exact"/>
              <w:ind w:firstLine="560" w:firstLineChars="20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五、存在的主要问题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560" w:lineRule="exact"/>
              <w:ind w:firstLine="560" w:firstLineChars="20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一是“三公经费”有待更严格控制</w:t>
            </w:r>
            <w:r>
              <w:rPr>
                <w:rFonts w:ascii="宋体" w:cs="宋体"/>
                <w:kern w:val="0"/>
                <w:sz w:val="28"/>
                <w:szCs w:val="28"/>
              </w:rPr>
              <w:t>,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进一步加强厉行节约机制。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560" w:lineRule="exact"/>
              <w:ind w:firstLine="560" w:firstLineChars="20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二是预算编制与实际支出项目有的存在差异，有待进一步优化预算，提高预算编制的准确性。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560" w:lineRule="exact"/>
              <w:ind w:firstLine="560" w:firstLineChars="20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三是进一步完善差旅审批、会议审批、接待审批及培训审批制度和财务报账手续。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560" w:lineRule="exact"/>
              <w:ind w:firstLine="560" w:firstLineChars="20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六、改进措施和有关建议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560" w:lineRule="exact"/>
              <w:ind w:firstLine="560" w:firstLineChars="20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一是按照预算规定的项目和用途严格财务审核，经费支出严格按预算规定项目的财务支出内容进行财务核算，在预算金额内严格控制费用的支出。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560" w:lineRule="exact"/>
              <w:ind w:firstLine="560" w:firstLineChars="20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二是严格控制“三公经费”支出，杜绝挪用和挤占其他预算资金；进一步细化“三公经费”管理，压缩“三公经费”支出。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560" w:lineRule="exact"/>
              <w:ind w:firstLine="560" w:firstLineChars="20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三是预算财务分析常态化，定期做好预算支出财务分析，做好部门整体支出预算评价工作。</w:t>
            </w:r>
          </w:p>
          <w:p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200" w:lineRule="exact"/>
        <w:rPr>
          <w:rFonts w:eastAsia="仿宋_GB2312"/>
          <w:sz w:val="32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 w:val="24"/>
        <w:szCs w:val="24"/>
      </w:rPr>
    </w:pPr>
    <w:r>
      <w:rPr>
        <w:rStyle w:val="6"/>
        <w:sz w:val="24"/>
        <w:szCs w:val="24"/>
      </w:rPr>
      <w:t xml:space="preserve">— </w:t>
    </w: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1</w:t>
    </w:r>
    <w:r>
      <w:rPr>
        <w:rStyle w:val="6"/>
        <w:sz w:val="24"/>
        <w:szCs w:val="24"/>
      </w:rPr>
      <w:fldChar w:fldCharType="end"/>
    </w:r>
    <w:r>
      <w:rPr>
        <w:rStyle w:val="6"/>
        <w:sz w:val="24"/>
        <w:szCs w:val="24"/>
      </w:rPr>
      <w:t xml:space="preserve"> —</w:t>
    </w:r>
  </w:p>
  <w:p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>
    <w:pPr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 w:val="24"/>
        <w:szCs w:val="24"/>
      </w:rPr>
    </w:pPr>
    <w:r>
      <w:rPr>
        <w:rStyle w:val="6"/>
        <w:sz w:val="24"/>
        <w:szCs w:val="24"/>
      </w:rPr>
      <w:t xml:space="preserve">— </w:t>
    </w: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2</w:t>
    </w:r>
    <w:r>
      <w:rPr>
        <w:rStyle w:val="6"/>
        <w:sz w:val="24"/>
        <w:szCs w:val="24"/>
      </w:rPr>
      <w:fldChar w:fldCharType="end"/>
    </w:r>
    <w:r>
      <w:rPr>
        <w:rStyle w:val="6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CE55C20"/>
    <w:rsid w:val="0003223A"/>
    <w:rsid w:val="00097416"/>
    <w:rsid w:val="000E1A40"/>
    <w:rsid w:val="000F5035"/>
    <w:rsid w:val="00156F22"/>
    <w:rsid w:val="00236513"/>
    <w:rsid w:val="0028146E"/>
    <w:rsid w:val="00350A5C"/>
    <w:rsid w:val="003B78E9"/>
    <w:rsid w:val="003D1FB8"/>
    <w:rsid w:val="003F5E2F"/>
    <w:rsid w:val="00404F9F"/>
    <w:rsid w:val="00465627"/>
    <w:rsid w:val="004B3AC8"/>
    <w:rsid w:val="004D4982"/>
    <w:rsid w:val="00500CDC"/>
    <w:rsid w:val="0051676C"/>
    <w:rsid w:val="005755EA"/>
    <w:rsid w:val="00593D62"/>
    <w:rsid w:val="005A6BD3"/>
    <w:rsid w:val="005C3A4C"/>
    <w:rsid w:val="0060750A"/>
    <w:rsid w:val="00611058"/>
    <w:rsid w:val="00637FF9"/>
    <w:rsid w:val="00644440"/>
    <w:rsid w:val="006A3C22"/>
    <w:rsid w:val="00712402"/>
    <w:rsid w:val="00752B87"/>
    <w:rsid w:val="00775C4F"/>
    <w:rsid w:val="007B2063"/>
    <w:rsid w:val="007E0B28"/>
    <w:rsid w:val="008277A9"/>
    <w:rsid w:val="00865166"/>
    <w:rsid w:val="0089025A"/>
    <w:rsid w:val="008B0B5F"/>
    <w:rsid w:val="008D3BA5"/>
    <w:rsid w:val="009368A9"/>
    <w:rsid w:val="009701A3"/>
    <w:rsid w:val="00AC6FAF"/>
    <w:rsid w:val="00AD1926"/>
    <w:rsid w:val="00B121B2"/>
    <w:rsid w:val="00B60AD2"/>
    <w:rsid w:val="00BD24E4"/>
    <w:rsid w:val="00BF1CD3"/>
    <w:rsid w:val="00C70DD6"/>
    <w:rsid w:val="00CF5A8E"/>
    <w:rsid w:val="00D74DAB"/>
    <w:rsid w:val="00DD6E9E"/>
    <w:rsid w:val="00E75671"/>
    <w:rsid w:val="00E8313D"/>
    <w:rsid w:val="00F44621"/>
    <w:rsid w:val="00F555F5"/>
    <w:rsid w:val="083749E7"/>
    <w:rsid w:val="0DE528CD"/>
    <w:rsid w:val="18725427"/>
    <w:rsid w:val="1B0F7468"/>
    <w:rsid w:val="263C173A"/>
    <w:rsid w:val="2CA33441"/>
    <w:rsid w:val="2CE55C20"/>
    <w:rsid w:val="2F287302"/>
    <w:rsid w:val="30426D13"/>
    <w:rsid w:val="3A43255A"/>
    <w:rsid w:val="3D6201A1"/>
    <w:rsid w:val="477245B4"/>
    <w:rsid w:val="4E4F0BB0"/>
    <w:rsid w:val="527B5610"/>
    <w:rsid w:val="5BE95901"/>
    <w:rsid w:val="6A0A15CD"/>
    <w:rsid w:val="6DF352BD"/>
    <w:rsid w:val="705E3E6D"/>
    <w:rsid w:val="71C1048A"/>
    <w:rsid w:val="73F35F5B"/>
    <w:rsid w:val="79C04582"/>
    <w:rsid w:val="7D1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Body Text Indent 2 Char"/>
    <w:basedOn w:val="5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8">
    <w:name w:val="Foot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标题 3 Char Char"/>
    <w:qFormat/>
    <w:uiPriority w:val="99"/>
    <w:rPr>
      <w:rFonts w:eastAsia="楷体_GB2312"/>
      <w:b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22</Pages>
  <Words>1916</Words>
  <Characters>10924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2019-05-08T01:00:00Z</dcterms:created>
  <dc:creator>Administrator</dc:creator>
  <cp:lastModifiedBy>Administrator</cp:lastModifiedBy>
  <cp:lastPrinted>2019-08-12T01:11:00Z</cp:lastPrinted>
  <dcterms:modified xsi:type="dcterms:W3CDTF">2020-12-10T01:07:16Z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