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bookmarkStart w:id="0" w:name="_GoBack"/>
      <w:bookmarkEnd w:id="0"/>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u w:val="single"/>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华容县投融资服务中心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2020</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425"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13"/>
        <w:gridCol w:w="3502"/>
        <w:gridCol w:w="1479"/>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1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02"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 w:hAnsi="仿宋" w:eastAsia="仿宋" w:cs="仿宋"/>
                <w:color w:val="000000"/>
                <w:sz w:val="24"/>
                <w:lang w:eastAsia="zh-CN"/>
              </w:rPr>
              <w:t>肖瑶</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color w:val="000000"/>
                <w:sz w:val="24"/>
                <w:lang w:val="en-US" w:eastAsia="zh-CN"/>
              </w:rPr>
              <w:t>18573041296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1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02"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color w:val="000000"/>
                <w:sz w:val="24"/>
                <w:lang w:val="en-US" w:eastAsia="zh-CN"/>
              </w:rPr>
              <w:t>11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color w:val="000000"/>
                <w:sz w:val="24"/>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713" w:type="dxa"/>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087" w:type="dxa"/>
            <w:gridSpan w:val="3"/>
            <w:noWrap w:val="0"/>
            <w:vAlign w:val="center"/>
          </w:tcPr>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shd w:val="clear" w:color="auto" w:fill="FFFFFF"/>
              </w:rPr>
              <w:t>职能职责</w:t>
            </w:r>
            <w:r>
              <w:rPr>
                <w:rFonts w:hint="eastAsia" w:ascii="仿宋" w:hAnsi="仿宋" w:eastAsia="仿宋" w:cs="仿宋"/>
                <w:sz w:val="24"/>
                <w:szCs w:val="24"/>
              </w:rPr>
              <w:t>主要职能：</w:t>
            </w:r>
            <w:r>
              <w:rPr>
                <w:rFonts w:hint="eastAsia" w:ascii="仿宋" w:hAnsi="仿宋" w:eastAsia="仿宋" w:cs="仿宋"/>
                <w:sz w:val="24"/>
                <w:szCs w:val="24"/>
                <w:lang w:eastAsia="zh-CN"/>
              </w:rPr>
              <w:t>贯彻执行国家、省、市、县关于政府投融资和企业国有资产管理的法律法规和方针、政策；</w:t>
            </w:r>
            <w:r>
              <w:rPr>
                <w:rFonts w:hint="eastAsia" w:ascii="仿宋" w:hAnsi="仿宋" w:eastAsia="仿宋" w:cs="仿宋"/>
                <w:kern w:val="0"/>
                <w:sz w:val="24"/>
                <w:szCs w:val="24"/>
                <w:lang w:eastAsia="zh-CN"/>
              </w:rPr>
              <w:t>编制政府年度投融资计划；根据县政府授权，代表县政府对岳阳惠华投资发展有限公司、华容县湘盛农业建设投资有限责任公司和华容县产业引导投资发展有限公司依照《中华人民共和国公司法》《中华人民共和国企业国有资产法》等法律履行出资人职责，依法行使资产收益、参与重大决策和选择管理者等权利；负责授权管理国有企业国有资产的监督管理和保值增值、指导协调授权管理国有企业推进改革；负责审核授权国有企业的章程和绩效考核方案的制定和执行。</w:t>
            </w:r>
          </w:p>
          <w:p>
            <w:pPr>
              <w:autoSpaceDN w:val="0"/>
              <w:spacing w:line="360" w:lineRule="auto"/>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1" w:hRule="atLeast"/>
          <w:jc w:val="center"/>
        </w:trPr>
        <w:tc>
          <w:tcPr>
            <w:tcW w:w="1713" w:type="dxa"/>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087" w:type="dxa"/>
            <w:gridSpan w:val="3"/>
            <w:noWrap w:val="0"/>
            <w:vAlign w:val="top"/>
          </w:tcPr>
          <w:p>
            <w:pPr>
              <w:autoSpaceDN w:val="0"/>
              <w:spacing w:line="36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多措并举，做好投融资服务；</w:t>
            </w:r>
          </w:p>
          <w:p>
            <w:pPr>
              <w:autoSpaceDN w:val="0"/>
              <w:spacing w:line="360" w:lineRule="auto"/>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多方协调，强力推进平台整合转型</w:t>
            </w:r>
            <w:r>
              <w:rPr>
                <w:rFonts w:hint="eastAsia" w:ascii="仿宋" w:hAnsi="仿宋" w:eastAsia="仿宋" w:cs="仿宋"/>
                <w:color w:val="000000"/>
                <w:sz w:val="24"/>
                <w:lang w:val="en-US" w:eastAsia="zh-CN"/>
              </w:rPr>
              <w:t>;</w:t>
            </w:r>
          </w:p>
          <w:p>
            <w:pPr>
              <w:autoSpaceDN w:val="0"/>
              <w:spacing w:line="36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eastAsia="zh-CN"/>
              </w:rPr>
              <w:t>加强监管，切实履行出资人职责；</w:t>
            </w:r>
          </w:p>
          <w:p>
            <w:pPr>
              <w:autoSpaceDN w:val="0"/>
              <w:spacing w:line="360" w:lineRule="auto"/>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lang w:val="en-US" w:eastAsia="zh-CN"/>
              </w:rPr>
              <w:t>4、统筹谋划，推进产业投资公司组建。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713" w:type="dxa"/>
            <w:noWrap w:val="0"/>
            <w:vAlign w:val="center"/>
          </w:tcPr>
          <w:p>
            <w:pPr>
              <w:autoSpaceDN w:val="0"/>
              <w:spacing w:line="360" w:lineRule="auto"/>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087" w:type="dxa"/>
            <w:gridSpan w:val="3"/>
            <w:noWrap w:val="0"/>
            <w:vAlign w:val="center"/>
          </w:tcPr>
          <w:p>
            <w:pPr>
              <w:numPr>
                <w:ilvl w:val="0"/>
                <w:numId w:val="0"/>
              </w:numPr>
              <w:autoSpaceDN w:val="0"/>
              <w:spacing w:line="360" w:lineRule="auto"/>
              <w:jc w:val="left"/>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1、拟订了全县融资计划草案和平台公司投融资计划草案</w:t>
            </w:r>
            <w:r>
              <w:rPr>
                <w:rFonts w:hint="eastAsia" w:ascii="仿宋" w:hAnsi="仿宋" w:eastAsia="仿宋" w:cs="仿宋"/>
                <w:b/>
                <w:bCs/>
                <w:color w:val="000000" w:themeColor="text1"/>
                <w:sz w:val="24"/>
                <w:szCs w:val="24"/>
                <w:lang w:val="en-US" w:eastAsia="zh-CN"/>
                <w14:textFill>
                  <w14:solidFill>
                    <w14:schemeClr w14:val="tx1"/>
                  </w14:solidFill>
                </w14:textFill>
              </w:rPr>
              <w:t>。</w:t>
            </w:r>
          </w:p>
          <w:p>
            <w:pPr>
              <w:numPr>
                <w:ilvl w:val="0"/>
                <w:numId w:val="0"/>
              </w:numPr>
              <w:autoSpaceDN w:val="0"/>
              <w:spacing w:line="360" w:lineRule="auto"/>
              <w:jc w:val="left"/>
              <w:textAlignment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2、配合两家公司完成了18亿元的融资任务。</w:t>
            </w:r>
          </w:p>
          <w:p>
            <w:pPr>
              <w:numPr>
                <w:ilvl w:val="0"/>
                <w:numId w:val="0"/>
              </w:numPr>
              <w:autoSpaceDN w:val="0"/>
              <w:spacing w:line="360" w:lineRule="auto"/>
              <w:ind w:leftChars="0"/>
              <w:jc w:val="left"/>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3、对平台公司需报县政府审批的投融资项目进行了合法性、合规性和合理性审查。全方位对接银行、信托等金融机构，积极联系相关县直部门单位，配合协调做好融资服务工作。</w:t>
            </w:r>
          </w:p>
          <w:p>
            <w:pPr>
              <w:numPr>
                <w:ilvl w:val="0"/>
                <w:numId w:val="0"/>
              </w:numPr>
              <w:autoSpaceDN w:val="0"/>
              <w:spacing w:line="360" w:lineRule="auto"/>
              <w:ind w:leftChars="0"/>
              <w:jc w:val="left"/>
              <w:textAlignment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4、</w:t>
            </w:r>
            <w:r>
              <w:rPr>
                <w:rFonts w:hint="eastAsia" w:ascii="仿宋" w:hAnsi="仿宋" w:eastAsia="仿宋" w:cs="仿宋"/>
                <w:b w:val="0"/>
                <w:bCs w:val="0"/>
                <w:color w:val="000000" w:themeColor="text1"/>
                <w:sz w:val="24"/>
                <w:szCs w:val="24"/>
                <w:lang w:eastAsia="zh-CN"/>
                <w14:textFill>
                  <w14:solidFill>
                    <w14:schemeClr w14:val="tx1"/>
                  </w14:solidFill>
                </w14:textFill>
              </w:rPr>
              <w:t>牵头并指导两家保留的平台公司按照程序开展了撤并平台的</w:t>
            </w:r>
            <w:r>
              <w:rPr>
                <w:rFonts w:hint="eastAsia" w:ascii="仿宋" w:hAnsi="仿宋" w:eastAsia="仿宋" w:cs="仿宋"/>
                <w:color w:val="000000" w:themeColor="text1"/>
                <w:sz w:val="24"/>
                <w:szCs w:val="24"/>
                <w:lang w:val="en-US" w:eastAsia="zh-CN"/>
                <w14:textFill>
                  <w14:solidFill>
                    <w14:schemeClr w14:val="tx1"/>
                  </w14:solidFill>
                </w14:textFill>
              </w:rPr>
              <w:t>债务承接、财务审计和资产处置等工作。</w:t>
            </w:r>
          </w:p>
        </w:tc>
      </w:tr>
    </w:tbl>
    <w:p>
      <w:pPr>
        <w:autoSpaceDN w:val="0"/>
        <w:spacing w:line="320" w:lineRule="exact"/>
        <w:jc w:val="center"/>
        <w:textAlignment w:val="center"/>
        <w:rPr>
          <w:rFonts w:hint="eastAsia" w:ascii="黑体" w:hAnsi="黑体" w:eastAsia="黑体" w:cs="黑体"/>
          <w:color w:val="000000"/>
          <w:sz w:val="28"/>
          <w:szCs w:val="28"/>
        </w:rPr>
        <w:sectPr>
          <w:pgSz w:w="11906" w:h="16838"/>
          <w:pgMar w:top="1440" w:right="1800" w:bottom="1440" w:left="1800" w:header="851" w:footer="992" w:gutter="0"/>
          <w:cols w:space="425" w:num="1"/>
          <w:docGrid w:type="lines" w:linePitch="312" w:charSpace="0"/>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59"/>
        <w:gridCol w:w="1080"/>
        <w:gridCol w:w="210"/>
        <w:gridCol w:w="1145"/>
        <w:gridCol w:w="272"/>
        <w:gridCol w:w="808"/>
        <w:gridCol w:w="1705"/>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225.93</w:t>
            </w: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225.93</w:t>
            </w: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206.04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185.46</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206.04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185.46</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10.89</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10.89</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5"/>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3774" w:type="dxa"/>
            <w:gridSpan w:val="6"/>
            <w:noWrap w:val="0"/>
            <w:vAlign w:val="center"/>
          </w:tcPr>
          <w:p>
            <w:pPr>
              <w:numPr>
                <w:ilvl w:val="0"/>
                <w:numId w:val="0"/>
              </w:numPr>
              <w:autoSpaceDN w:val="0"/>
              <w:spacing w:line="24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预算配置完善，严格控制人员数量、三公经费和重点开支。</w:t>
            </w:r>
          </w:p>
          <w:p>
            <w:pPr>
              <w:numPr>
                <w:ilvl w:val="0"/>
                <w:numId w:val="0"/>
              </w:numPr>
              <w:autoSpaceDN w:val="0"/>
              <w:spacing w:line="24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预算调整率控制在</w:t>
            </w:r>
            <w:r>
              <w:rPr>
                <w:rFonts w:hint="eastAsia" w:ascii="仿宋" w:hAnsi="仿宋" w:eastAsia="仿宋" w:cs="仿宋"/>
                <w:color w:val="000000"/>
                <w:sz w:val="24"/>
                <w:lang w:val="en-US" w:eastAsia="zh-CN"/>
              </w:rPr>
              <w:t>5%以内</w:t>
            </w:r>
            <w:r>
              <w:rPr>
                <w:rFonts w:hint="eastAsia" w:ascii="仿宋" w:hAnsi="仿宋" w:eastAsia="仿宋" w:cs="仿宋"/>
                <w:color w:val="000000"/>
                <w:sz w:val="24"/>
                <w:lang w:eastAsia="zh-CN"/>
              </w:rPr>
              <w:t>（政策性调整除外），管理严谨，严控三公经费，掌握支付进度，严格按流程合规使用资金，保证资金无结余。</w:t>
            </w:r>
          </w:p>
          <w:p>
            <w:pPr>
              <w:autoSpaceDN w:val="0"/>
              <w:spacing w:line="240" w:lineRule="auto"/>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eastAsia="zh-CN"/>
              </w:rPr>
              <w:t>资产管理制度完善，安全性能高，固定资产利用率达</w:t>
            </w:r>
            <w:r>
              <w:rPr>
                <w:rFonts w:hint="eastAsia" w:ascii="仿宋" w:hAnsi="仿宋" w:eastAsia="仿宋" w:cs="仿宋"/>
                <w:color w:val="000000"/>
                <w:sz w:val="24"/>
                <w:lang w:val="en-US" w:eastAsia="zh-CN"/>
              </w:rPr>
              <w:t>100%。</w:t>
            </w:r>
          </w:p>
        </w:tc>
        <w:tc>
          <w:tcPr>
            <w:tcW w:w="4585" w:type="dxa"/>
            <w:gridSpan w:val="8"/>
            <w:noWrap w:val="0"/>
            <w:vAlign w:val="center"/>
          </w:tcPr>
          <w:p>
            <w:pPr>
              <w:autoSpaceDN w:val="0"/>
              <w:spacing w:line="24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无超编现象，</w:t>
            </w:r>
            <w:r>
              <w:rPr>
                <w:rFonts w:hint="eastAsia" w:ascii="仿宋" w:hAnsi="仿宋" w:eastAsia="仿宋" w:cs="仿宋"/>
                <w:b w:val="0"/>
                <w:bCs/>
                <w:color w:val="000000"/>
                <w:sz w:val="24"/>
                <w:lang w:eastAsia="zh-CN"/>
              </w:rPr>
              <w:t>财政供养控制率达</w:t>
            </w:r>
            <w:r>
              <w:rPr>
                <w:rFonts w:hint="eastAsia" w:ascii="仿宋" w:hAnsi="仿宋" w:eastAsia="仿宋" w:cs="仿宋"/>
                <w:b w:val="0"/>
                <w:bCs/>
                <w:color w:val="000000"/>
                <w:sz w:val="24"/>
                <w:lang w:val="en-US" w:eastAsia="zh-CN"/>
              </w:rPr>
              <w:t>100%。严减</w:t>
            </w:r>
            <w:r>
              <w:rPr>
                <w:rFonts w:hint="eastAsia" w:ascii="仿宋" w:hAnsi="仿宋" w:eastAsia="仿宋" w:cs="仿宋"/>
                <w:color w:val="000000"/>
                <w:sz w:val="24"/>
                <w:lang w:eastAsia="zh-CN"/>
              </w:rPr>
              <w:t>三公经费，</w:t>
            </w:r>
            <w:r>
              <w:rPr>
                <w:rFonts w:hint="eastAsia" w:ascii="仿宋" w:hAnsi="仿宋" w:eastAsia="仿宋" w:cs="仿宋"/>
                <w:color w:val="000000"/>
                <w:sz w:val="24"/>
                <w:lang w:val="en-US" w:eastAsia="zh-CN"/>
              </w:rPr>
              <w:t>控制成本，落实</w:t>
            </w:r>
            <w:r>
              <w:rPr>
                <w:rFonts w:hint="eastAsia" w:ascii="仿宋" w:hAnsi="仿宋" w:eastAsia="仿宋" w:cs="仿宋"/>
                <w:color w:val="000000"/>
                <w:sz w:val="24"/>
                <w:lang w:eastAsia="zh-CN"/>
              </w:rPr>
              <w:t>重点开支。</w:t>
            </w:r>
          </w:p>
          <w:p>
            <w:pPr>
              <w:autoSpaceDN w:val="0"/>
              <w:spacing w:line="24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2</w:t>
            </w:r>
            <w:r>
              <w:rPr>
                <w:rFonts w:hint="eastAsia" w:ascii="仿宋" w:hAnsi="仿宋" w:eastAsia="仿宋" w:cs="仿宋"/>
                <w:color w:val="000000"/>
                <w:sz w:val="24"/>
                <w:lang w:eastAsia="zh-CN"/>
              </w:rPr>
              <w:t>、保证预算调整控制率，预算紧跟支付系统监控数据，按月申报用款计划；资金审批手续完备，实行专款专用；资金无结余。</w:t>
            </w:r>
          </w:p>
          <w:p>
            <w:p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CN"/>
              </w:rPr>
              <w:t>、监控所有资产，保证资产安全性，完善与账务系统的对接，使固定资产利用率达到</w:t>
            </w:r>
            <w:r>
              <w:rPr>
                <w:rFonts w:hint="eastAsia" w:ascii="仿宋" w:hAnsi="仿宋" w:eastAsia="仿宋" w:cs="仿宋"/>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noWrap w:val="0"/>
            <w:vAlign w:val="center"/>
          </w:tcPr>
          <w:p>
            <w:pPr>
              <w:autoSpaceDN w:val="0"/>
              <w:spacing w:line="24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改革经营体制</w:t>
            </w:r>
          </w:p>
        </w:tc>
        <w:tc>
          <w:tcPr>
            <w:tcW w:w="2684" w:type="dxa"/>
            <w:gridSpan w:val="6"/>
            <w:noWrap w:val="0"/>
            <w:vAlign w:val="center"/>
          </w:tcPr>
          <w:p>
            <w:pPr>
              <w:autoSpaceDN w:val="0"/>
              <w:spacing w:line="240" w:lineRule="auto"/>
              <w:jc w:val="center"/>
              <w:textAlignment w:val="center"/>
              <w:rPr>
                <w:rFonts w:hint="eastAsia" w:ascii="仿宋" w:hAnsi="仿宋" w:eastAsia="仿宋" w:cs="仿宋"/>
                <w:b w:val="0"/>
                <w:bCs/>
                <w:color w:val="000000"/>
                <w:sz w:val="24"/>
                <w:lang w:eastAsia="zh-CN"/>
              </w:rPr>
            </w:pPr>
            <w:r>
              <w:rPr>
                <w:rFonts w:hint="eastAsia" w:ascii="仿宋" w:hAnsi="仿宋" w:eastAsia="仿宋" w:cs="仿宋"/>
                <w:b w:val="0"/>
                <w:bCs/>
                <w:color w:val="000000"/>
                <w:sz w:val="24"/>
                <w:lang w:eastAsia="zh-CN"/>
              </w:rPr>
              <w:t>牵头平台公司整合转型，从“管企业”到“管资本”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spacing w:line="240" w:lineRule="auto"/>
              <w:rPr>
                <w:rFonts w:hint="eastAsia" w:ascii="仿宋_GB2312" w:hAnsi="仿宋_GB2312" w:eastAsia="仿宋_GB2312" w:cs="仿宋_GB2312"/>
                <w:sz w:val="24"/>
              </w:rPr>
            </w:pPr>
          </w:p>
        </w:tc>
        <w:tc>
          <w:tcPr>
            <w:tcW w:w="2709" w:type="dxa"/>
            <w:gridSpan w:val="3"/>
            <w:noWrap w:val="0"/>
            <w:vAlign w:val="center"/>
          </w:tcPr>
          <w:p>
            <w:pPr>
              <w:autoSpaceDN w:val="0"/>
              <w:spacing w:line="24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2、完善监管企业资产负债约束机制</w:t>
            </w:r>
          </w:p>
        </w:tc>
        <w:tc>
          <w:tcPr>
            <w:tcW w:w="2684" w:type="dxa"/>
            <w:gridSpan w:val="6"/>
            <w:noWrap w:val="0"/>
            <w:vAlign w:val="center"/>
          </w:tcPr>
          <w:p>
            <w:pPr>
              <w:autoSpaceDN w:val="0"/>
              <w:spacing w:line="240" w:lineRule="auto"/>
              <w:jc w:val="center"/>
              <w:textAlignment w:val="center"/>
              <w:rPr>
                <w:rFonts w:hint="eastAsia" w:ascii="仿宋" w:hAnsi="仿宋" w:eastAsia="仿宋" w:cs="仿宋"/>
                <w:b w:val="0"/>
                <w:bCs/>
                <w:color w:val="000000"/>
                <w:sz w:val="24"/>
                <w:lang w:eastAsia="zh-CN"/>
              </w:rPr>
            </w:pPr>
            <w:r>
              <w:rPr>
                <w:rFonts w:hint="eastAsia" w:ascii="仿宋" w:hAnsi="仿宋" w:eastAsia="仿宋" w:cs="仿宋"/>
                <w:b w:val="0"/>
                <w:bCs/>
                <w:color w:val="000000"/>
                <w:sz w:val="24"/>
                <w:lang w:eastAsia="zh-CN"/>
              </w:rPr>
              <w:t>制订《惠华公司和湘盛公司绩效管理考核暂行办法》，明确防风险债务指标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spacing w:line="240" w:lineRule="auto"/>
              <w:rPr>
                <w:rFonts w:hint="eastAsia" w:ascii="仿宋_GB2312" w:hAnsi="仿宋_GB2312" w:eastAsia="仿宋_GB2312" w:cs="仿宋_GB2312"/>
                <w:sz w:val="24"/>
              </w:rPr>
            </w:pPr>
          </w:p>
        </w:tc>
        <w:tc>
          <w:tcPr>
            <w:tcW w:w="2709" w:type="dxa"/>
            <w:gridSpan w:val="3"/>
            <w:noWrap w:val="0"/>
            <w:vAlign w:val="center"/>
          </w:tcPr>
          <w:p>
            <w:pPr>
              <w:autoSpaceDN w:val="0"/>
              <w:spacing w:line="24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3、推进全面小康建设</w:t>
            </w:r>
          </w:p>
        </w:tc>
        <w:tc>
          <w:tcPr>
            <w:tcW w:w="2684" w:type="dxa"/>
            <w:gridSpan w:val="6"/>
            <w:noWrap w:val="0"/>
            <w:vAlign w:val="center"/>
          </w:tcPr>
          <w:p>
            <w:pPr>
              <w:autoSpaceDN w:val="0"/>
              <w:spacing w:line="240" w:lineRule="auto"/>
              <w:jc w:val="left"/>
              <w:textAlignment w:val="center"/>
              <w:rPr>
                <w:rFonts w:hint="eastAsia" w:ascii="仿宋" w:hAnsi="仿宋" w:eastAsia="仿宋" w:cs="仿宋"/>
                <w:b/>
                <w:color w:val="000000"/>
                <w:sz w:val="24"/>
                <w:lang w:eastAsia="zh-CN"/>
              </w:rPr>
            </w:pPr>
            <w:r>
              <w:rPr>
                <w:rFonts w:hint="eastAsia" w:ascii="仿宋" w:hAnsi="仿宋" w:eastAsia="仿宋" w:cs="仿宋"/>
                <w:b w:val="0"/>
                <w:bCs/>
                <w:color w:val="000000"/>
                <w:sz w:val="24"/>
                <w:lang w:eastAsia="zh-CN"/>
              </w:rPr>
              <w:t>缓解资金压力，积极参与扶贫项目。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noWrap w:val="0"/>
            <w:vAlign w:val="center"/>
          </w:tcPr>
          <w:p>
            <w:pPr>
              <w:autoSpaceDN w:val="0"/>
              <w:spacing w:line="24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1、拟写《华容县国有资产管理暂行办法（试行）》、《华容县县属国有企业监督管理办法（试行）》和《华容县县属国有企业监事委派管理办法（试行）》</w:t>
            </w:r>
          </w:p>
        </w:tc>
        <w:tc>
          <w:tcPr>
            <w:tcW w:w="2684" w:type="dxa"/>
            <w:gridSpan w:val="6"/>
            <w:noWrap w:val="0"/>
            <w:vAlign w:val="center"/>
          </w:tcPr>
          <w:p>
            <w:pPr>
              <w:autoSpaceDN w:val="0"/>
              <w:spacing w:line="240" w:lineRule="auto"/>
              <w:jc w:val="left"/>
              <w:textAlignment w:val="center"/>
              <w:rPr>
                <w:rFonts w:hint="eastAsia" w:ascii="仿宋" w:hAnsi="仿宋" w:eastAsia="仿宋" w:cs="仿宋"/>
                <w:b/>
                <w:color w:val="000000"/>
                <w:sz w:val="24"/>
                <w:lang w:val="en-US" w:eastAsia="zh-CN"/>
              </w:rPr>
            </w:pPr>
            <w:r>
              <w:rPr>
                <w:rFonts w:hint="eastAsia" w:ascii="仿宋" w:hAnsi="仿宋" w:eastAsia="仿宋" w:cs="仿宋"/>
                <w:b w:val="0"/>
                <w:bCs/>
                <w:color w:val="000000"/>
                <w:sz w:val="24"/>
                <w:lang w:val="en-US" w:eastAsia="zh-CN"/>
              </w:rPr>
              <w:t>完成《华容县国有资产管理暂行办法（试行）》、《华容县县属国有企业监督管理办法（试行）》和《华容县县属国有企业监事委派管理办法（试行）》初稿。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auto"/>
              <w:jc w:val="center"/>
              <w:textAlignment w:val="center"/>
              <w:rPr>
                <w:rFonts w:hint="eastAsia" w:ascii="仿宋_GB2312" w:hAnsi="仿宋_GB2312" w:eastAsia="仿宋_GB2312" w:cs="仿宋_GB2312"/>
                <w:sz w:val="24"/>
              </w:rPr>
            </w:pP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下设平台公司不超过</w:t>
            </w:r>
            <w:r>
              <w:rPr>
                <w:rFonts w:hint="eastAsia" w:ascii="仿宋" w:hAnsi="仿宋" w:eastAsia="仿宋" w:cs="仿宋"/>
                <w:color w:val="000000"/>
                <w:sz w:val="24"/>
                <w:lang w:val="en-US" w:eastAsia="zh-CN"/>
              </w:rPr>
              <w:t>2个。</w:t>
            </w: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val="0"/>
                <w:bCs/>
                <w:color w:val="000000"/>
                <w:sz w:val="24"/>
                <w:lang w:eastAsia="zh-CN"/>
              </w:rPr>
              <w:t>平台公司营业执照注销完成，保留两个公司</w:t>
            </w:r>
            <w:r>
              <w:rPr>
                <w:rFonts w:hint="eastAsia" w:ascii="仿宋" w:hAnsi="仿宋" w:eastAsia="仿宋" w:cs="仿宋"/>
                <w:b/>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auto"/>
              <w:jc w:val="center"/>
              <w:textAlignment w:val="center"/>
              <w:rPr>
                <w:rFonts w:hint="eastAsia" w:ascii="仿宋_GB2312" w:hAnsi="仿宋_GB2312" w:eastAsia="仿宋_GB2312" w:cs="仿宋_GB2312"/>
                <w:sz w:val="24"/>
              </w:rPr>
            </w:pP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监督完成经营性项目融资</w:t>
            </w: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val="en-US" w:eastAsia="zh-CN"/>
              </w:rPr>
            </w:pPr>
            <w:r>
              <w:rPr>
                <w:rFonts w:hint="eastAsia" w:ascii="仿宋" w:hAnsi="仿宋" w:eastAsia="仿宋" w:cs="仿宋"/>
                <w:b w:val="0"/>
                <w:bCs/>
                <w:color w:val="000000"/>
                <w:sz w:val="24"/>
                <w:lang w:eastAsia="zh-CN"/>
              </w:rPr>
              <w:t>协助平台公司完成</w:t>
            </w:r>
            <w:r>
              <w:rPr>
                <w:rFonts w:hint="eastAsia" w:ascii="仿宋" w:hAnsi="仿宋" w:eastAsia="仿宋" w:cs="仿宋"/>
                <w:b w:val="0"/>
                <w:bCs/>
                <w:color w:val="000000"/>
                <w:sz w:val="24"/>
                <w:lang w:val="en-US" w:eastAsia="zh-CN"/>
              </w:rPr>
              <w:t>融资任务并确保资金及时到位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资金支付进度下达</w:t>
            </w: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eastAsia="zh-CN"/>
              </w:rPr>
            </w:pPr>
            <w:r>
              <w:rPr>
                <w:rFonts w:hint="eastAsia" w:ascii="仿宋" w:hAnsi="仿宋" w:eastAsia="仿宋" w:cs="仿宋"/>
                <w:b w:val="0"/>
                <w:bCs/>
                <w:color w:val="000000"/>
                <w:sz w:val="24"/>
                <w:lang w:eastAsia="zh-CN"/>
              </w:rPr>
              <w:t>专项资金下达及时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加强经营性国有资产的资本化运营</w:t>
            </w: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eastAsia="zh-CN"/>
              </w:rPr>
            </w:pPr>
            <w:r>
              <w:rPr>
                <w:rFonts w:hint="eastAsia" w:ascii="仿宋" w:hAnsi="仿宋" w:eastAsia="仿宋" w:cs="仿宋"/>
                <w:b w:val="0"/>
                <w:bCs/>
                <w:color w:val="000000"/>
                <w:sz w:val="24"/>
                <w:lang w:eastAsia="zh-CN"/>
              </w:rPr>
              <w:t>发挥平台杠杆作用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2、加强产业引导基金的管理。</w:t>
            </w: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筹备成立华容县产业引导投资发展有限公司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60" w:lineRule="auto"/>
              <w:jc w:val="center"/>
              <w:textAlignment w:val="center"/>
              <w:rPr>
                <w:rFonts w:hint="eastAsia" w:ascii="仿宋_GB2312" w:hAnsi="仿宋_GB2312" w:eastAsia="仿宋_GB2312" w:cs="仿宋_GB2312"/>
                <w:sz w:val="24"/>
              </w:rPr>
            </w:pP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restart"/>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国有资产管理安全性</w:t>
            </w:r>
            <w:r>
              <w:rPr>
                <w:rFonts w:hint="eastAsia" w:ascii="仿宋" w:hAnsi="仿宋" w:eastAsia="仿宋" w:cs="仿宋"/>
                <w:color w:val="000000"/>
                <w:sz w:val="24"/>
                <w:lang w:val="en-US" w:eastAsia="zh-CN"/>
              </w:rPr>
              <w:t>100%</w:t>
            </w:r>
          </w:p>
          <w:p>
            <w:pPr>
              <w:autoSpaceDN w:val="0"/>
              <w:spacing w:line="360" w:lineRule="auto"/>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eastAsia="zh-CN"/>
              </w:rPr>
            </w:pPr>
            <w:r>
              <w:rPr>
                <w:rFonts w:hint="eastAsia" w:ascii="仿宋" w:hAnsi="仿宋" w:eastAsia="仿宋" w:cs="仿宋"/>
                <w:b w:val="0"/>
                <w:bCs/>
                <w:color w:val="000000"/>
                <w:sz w:val="24"/>
                <w:szCs w:val="24"/>
                <w:lang w:eastAsia="zh-CN"/>
              </w:rPr>
              <w:t>加强了国有资产安全，防止国有资产流失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lang w:eastAsia="zh-CN"/>
              </w:rPr>
              <w:t>投放基金达到预期收益</w:t>
            </w:r>
          </w:p>
          <w:p>
            <w:pPr>
              <w:autoSpaceDN w:val="0"/>
              <w:spacing w:line="36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协助平台公司完成融资任务。</w:t>
            </w:r>
          </w:p>
          <w:p>
            <w:pPr>
              <w:autoSpaceDN w:val="0"/>
              <w:spacing w:line="360" w:lineRule="auto"/>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eastAsia="zh-CN"/>
              </w:rPr>
            </w:pPr>
            <w:r>
              <w:rPr>
                <w:rFonts w:hint="eastAsia" w:ascii="仿宋" w:hAnsi="仿宋" w:eastAsia="仿宋" w:cs="仿宋"/>
                <w:b w:val="0"/>
                <w:bCs/>
                <w:color w:val="000000"/>
                <w:sz w:val="24"/>
                <w:lang w:eastAsia="zh-CN"/>
              </w:rPr>
              <w:t>完成融资任务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协助扶贫村进行人居环境整治</w:t>
            </w:r>
          </w:p>
          <w:p>
            <w:pPr>
              <w:autoSpaceDN w:val="0"/>
              <w:spacing w:line="360" w:lineRule="auto"/>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60" w:lineRule="auto"/>
              <w:jc w:val="left"/>
              <w:textAlignment w:val="center"/>
              <w:rPr>
                <w:rFonts w:hint="eastAsia" w:ascii="仿宋" w:hAnsi="仿宋" w:eastAsia="仿宋" w:cs="仿宋"/>
                <w:b/>
                <w:color w:val="000000"/>
                <w:sz w:val="24"/>
                <w:lang w:val="en-US" w:eastAsia="zh-CN"/>
              </w:rPr>
            </w:pPr>
            <w:r>
              <w:rPr>
                <w:rFonts w:hint="eastAsia" w:ascii="仿宋" w:hAnsi="仿宋" w:eastAsia="仿宋" w:cs="仿宋"/>
                <w:b w:val="0"/>
                <w:bCs/>
                <w:color w:val="000000"/>
                <w:sz w:val="24"/>
                <w:lang w:eastAsia="zh-CN"/>
              </w:rPr>
              <w:t>改善生态环境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60" w:lineRule="auto"/>
              <w:rPr>
                <w:rFonts w:hint="eastAsia" w:ascii="仿宋_GB2312" w:hAnsi="仿宋_GB2312" w:eastAsia="仿宋_GB2312" w:cs="仿宋_GB2312"/>
                <w:sz w:val="24"/>
              </w:rPr>
            </w:pPr>
          </w:p>
        </w:tc>
        <w:tc>
          <w:tcPr>
            <w:tcW w:w="1549" w:type="dxa"/>
            <w:gridSpan w:val="3"/>
            <w:vMerge w:val="continue"/>
            <w:noWrap w:val="0"/>
            <w:vAlign w:val="center"/>
          </w:tcPr>
          <w:p>
            <w:pPr>
              <w:autoSpaceDN w:val="0"/>
              <w:spacing w:line="240" w:lineRule="auto"/>
              <w:rPr>
                <w:rFonts w:hint="eastAsia" w:ascii="仿宋_GB2312" w:hAnsi="仿宋_GB2312" w:eastAsia="仿宋_GB2312" w:cs="仿宋_GB2312"/>
                <w:sz w:val="24"/>
              </w:rPr>
            </w:pPr>
          </w:p>
        </w:tc>
        <w:tc>
          <w:tcPr>
            <w:tcW w:w="1417" w:type="dxa"/>
            <w:gridSpan w:val="2"/>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社会公众满意度</w:t>
            </w:r>
            <w:r>
              <w:rPr>
                <w:rFonts w:hint="eastAsia" w:ascii="仿宋" w:hAnsi="仿宋" w:eastAsia="仿宋" w:cs="仿宋"/>
                <w:color w:val="000000"/>
                <w:sz w:val="24"/>
                <w:lang w:val="en-US" w:eastAsia="zh-CN"/>
              </w:rPr>
              <w:t>95%以上</w:t>
            </w:r>
          </w:p>
          <w:p>
            <w:pPr>
              <w:autoSpaceDN w:val="0"/>
              <w:spacing w:line="360" w:lineRule="auto"/>
              <w:jc w:val="left"/>
              <w:textAlignment w:val="center"/>
              <w:rPr>
                <w:rFonts w:hint="eastAsia" w:ascii="仿宋" w:hAnsi="仿宋" w:eastAsia="仿宋" w:cs="仿宋"/>
                <w:color w:val="000000"/>
                <w:sz w:val="24"/>
              </w:rPr>
            </w:pPr>
          </w:p>
        </w:tc>
        <w:tc>
          <w:tcPr>
            <w:tcW w:w="2684" w:type="dxa"/>
            <w:gridSpan w:val="6"/>
            <w:noWrap w:val="0"/>
            <w:vAlign w:val="center"/>
          </w:tcPr>
          <w:p>
            <w:pPr>
              <w:autoSpaceDN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满意度</w:t>
            </w:r>
            <w:r>
              <w:rPr>
                <w:rFonts w:hint="eastAsia" w:ascii="仿宋" w:hAnsi="仿宋" w:eastAsia="仿宋" w:cs="仿宋"/>
                <w:color w:val="000000"/>
                <w:sz w:val="24"/>
                <w:lang w:val="en-US" w:eastAsia="zh-CN"/>
              </w:rPr>
              <w:t>95%以上</w:t>
            </w:r>
          </w:p>
          <w:p>
            <w:pPr>
              <w:autoSpaceDN w:val="0"/>
              <w:spacing w:line="360" w:lineRule="auto"/>
              <w:jc w:val="left"/>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autoSpaceDN w:val="0"/>
              <w:spacing w:line="360" w:lineRule="auto"/>
              <w:jc w:val="center"/>
              <w:textAlignment w:val="center"/>
              <w:rPr>
                <w:rFonts w:hint="eastAsia" w:ascii="仿宋_GB2312" w:hAnsi="仿宋_GB2312" w:eastAsia="仿宋_GB2312" w:cs="仿宋_GB2312"/>
                <w:color w:val="000000"/>
                <w:sz w:val="24"/>
              </w:rPr>
            </w:pPr>
          </w:p>
        </w:tc>
      </w:tr>
    </w:tbl>
    <w:p>
      <w:pPr>
        <w:autoSpaceDN w:val="0"/>
        <w:spacing w:line="240" w:lineRule="auto"/>
        <w:jc w:val="center"/>
        <w:textAlignment w:val="center"/>
        <w:rPr>
          <w:rFonts w:hint="eastAsia" w:ascii="黑体" w:hAnsi="黑体" w:eastAsia="黑体" w:cs="黑体"/>
          <w:color w:val="000000"/>
          <w:sz w:val="28"/>
          <w:szCs w:val="28"/>
        </w:rPr>
        <w:sectPr>
          <w:pgSz w:w="11906" w:h="16838"/>
          <w:pgMar w:top="1440" w:right="1800" w:bottom="1440" w:left="1800" w:header="851" w:footer="992" w:gutter="0"/>
          <w:cols w:space="425" w:num="1"/>
          <w:docGrid w:type="lines" w:linePitch="312" w:charSpace="0"/>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张永发</w:t>
            </w:r>
          </w:p>
        </w:tc>
        <w:tc>
          <w:tcPr>
            <w:tcW w:w="3561"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华容县投融资服务中心</w:t>
            </w:r>
          </w:p>
        </w:tc>
        <w:tc>
          <w:tcPr>
            <w:tcW w:w="3106"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曾龙</w:t>
            </w:r>
          </w:p>
        </w:tc>
        <w:tc>
          <w:tcPr>
            <w:tcW w:w="3561"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华容县投融资服务中心</w:t>
            </w:r>
          </w:p>
        </w:tc>
        <w:tc>
          <w:tcPr>
            <w:tcW w:w="3106"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沈维成</w:t>
            </w:r>
          </w:p>
        </w:tc>
        <w:tc>
          <w:tcPr>
            <w:tcW w:w="3561"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华容县投融资服务中心</w:t>
            </w:r>
          </w:p>
        </w:tc>
        <w:tc>
          <w:tcPr>
            <w:tcW w:w="3106"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丁小明</w:t>
            </w:r>
          </w:p>
        </w:tc>
        <w:tc>
          <w:tcPr>
            <w:tcW w:w="3561"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企业发展改革指导股股长</w:t>
            </w:r>
          </w:p>
        </w:tc>
        <w:tc>
          <w:tcPr>
            <w:tcW w:w="1479"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华容县投融资服务中心</w:t>
            </w:r>
          </w:p>
        </w:tc>
        <w:tc>
          <w:tcPr>
            <w:tcW w:w="3106" w:type="dxa"/>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noWrap w:val="0"/>
            <w:vAlign w:val="center"/>
          </w:tcPr>
          <w:p>
            <w:p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noWrap w:val="0"/>
            <w:vAlign w:val="center"/>
          </w:tcPr>
          <w:p>
            <w:p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p>
          <w:p>
            <w:p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4"/>
            <w:noWrap w:val="0"/>
            <w:vAlign w:val="center"/>
          </w:tcPr>
          <w:p>
            <w:pPr>
              <w:spacing w:line="240" w:lineRule="auto"/>
              <w:rPr>
                <w:rFonts w:hint="eastAsia" w:eastAsia="仿宋_GB2312"/>
                <w:sz w:val="24"/>
              </w:rPr>
            </w:pPr>
            <w:r>
              <w:rPr>
                <w:rFonts w:hint="eastAsia" w:eastAsia="仿宋_GB2312"/>
                <w:sz w:val="24"/>
              </w:rPr>
              <w:t>财政部门归口业务科室意见：</w:t>
            </w:r>
          </w:p>
          <w:p>
            <w:pPr>
              <w:spacing w:line="240" w:lineRule="auto"/>
              <w:rPr>
                <w:rFonts w:hint="eastAsia" w:eastAsia="仿宋_GB2312"/>
                <w:sz w:val="24"/>
              </w:rPr>
            </w:pPr>
          </w:p>
          <w:p>
            <w:pPr>
              <w:spacing w:line="240" w:lineRule="auto"/>
              <w:rPr>
                <w:rFonts w:hint="eastAsia" w:eastAsia="仿宋_GB2312"/>
                <w:sz w:val="24"/>
              </w:rPr>
            </w:pPr>
          </w:p>
          <w:p>
            <w:pPr>
              <w:spacing w:line="240" w:lineRule="auto"/>
              <w:rPr>
                <w:rFonts w:hint="eastAsia" w:eastAsia="仿宋_GB2312"/>
                <w:sz w:val="24"/>
              </w:rPr>
            </w:pPr>
          </w:p>
          <w:p>
            <w:pPr>
              <w:spacing w:line="240" w:lineRule="auto"/>
              <w:rPr>
                <w:rFonts w:hint="eastAsia" w:eastAsia="仿宋_GB2312"/>
                <w:sz w:val="24"/>
              </w:rPr>
            </w:pPr>
          </w:p>
          <w:p>
            <w:pPr>
              <w:spacing w:line="240" w:lineRule="auto"/>
              <w:rPr>
                <w:rFonts w:hint="eastAsia" w:eastAsia="仿宋_GB2312"/>
                <w:sz w:val="24"/>
              </w:rPr>
            </w:pPr>
            <w:r>
              <w:rPr>
                <w:rFonts w:hint="eastAsia" w:eastAsia="仿宋_GB2312"/>
                <w:sz w:val="24"/>
              </w:rPr>
              <w:t xml:space="preserve">                                  财政部门归口业务科室负责人（签章）：</w:t>
            </w:r>
          </w:p>
          <w:p>
            <w:pPr>
              <w:autoSpaceDN w:val="0"/>
              <w:spacing w:line="240" w:lineRule="auto"/>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spacing w:line="240" w:lineRule="auto"/>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pageBreakBefore w:val="0"/>
              <w:widowControl/>
              <w:kinsoku/>
              <w:wordWrap/>
              <w:overflowPunct/>
              <w:topLinePunct w:val="0"/>
              <w:autoSpaceDE/>
              <w:autoSpaceDN/>
              <w:bidi w:val="0"/>
              <w:adjustRightInd/>
              <w:spacing w:line="360" w:lineRule="auto"/>
              <w:ind w:firstLine="560" w:firstLineChars="200"/>
              <w:jc w:val="left"/>
              <w:textAlignment w:val="auto"/>
              <w:rPr>
                <w:rFonts w:hint="eastAsia" w:ascii="仿宋_GB2312" w:hAnsi="仿宋_GB2312" w:eastAsia="仿宋_GB2312" w:cs="仿宋_GB2312"/>
                <w:bCs/>
                <w:sz w:val="28"/>
                <w:szCs w:val="28"/>
              </w:rPr>
            </w:pPr>
            <w:r>
              <w:rPr>
                <w:rFonts w:hint="eastAsia" w:ascii="仿宋" w:hAnsi="仿宋" w:eastAsia="仿宋" w:cs="仿宋"/>
                <w:color w:val="auto"/>
                <w:sz w:val="28"/>
                <w:szCs w:val="28"/>
                <w:shd w:val="clear" w:color="auto" w:fill="FFFFFF"/>
              </w:rPr>
              <w:t>职能职责</w:t>
            </w:r>
            <w:r>
              <w:rPr>
                <w:rFonts w:hint="eastAsia" w:ascii="仿宋" w:hAnsi="仿宋" w:eastAsia="仿宋" w:cs="仿宋"/>
                <w:sz w:val="28"/>
                <w:szCs w:val="28"/>
              </w:rPr>
              <w:t>主要职能：</w:t>
            </w:r>
            <w:r>
              <w:rPr>
                <w:rFonts w:hint="eastAsia" w:ascii="仿宋" w:hAnsi="仿宋" w:eastAsia="仿宋" w:cs="仿宋"/>
                <w:sz w:val="28"/>
                <w:szCs w:val="28"/>
                <w:lang w:eastAsia="zh-CN"/>
              </w:rPr>
              <w:t>贯彻执行国家、省、市、县关于政府投融资和企业国有资产管理的法律法规和方针、政策；</w:t>
            </w:r>
            <w:r>
              <w:rPr>
                <w:rFonts w:hint="eastAsia" w:ascii="仿宋" w:hAnsi="仿宋" w:eastAsia="仿宋" w:cs="仿宋"/>
                <w:kern w:val="0"/>
                <w:sz w:val="28"/>
                <w:szCs w:val="28"/>
                <w:lang w:eastAsia="zh-CN"/>
              </w:rPr>
              <w:t>编制政府年度投融资计划；根据县政府授权，代表县政府对岳阳惠华投资发展有限公司，华容县湘盛农业建设投资有限责任公司、华容县产业引导投资发展有限公司依照《中华人民共和国公司法》《中华人民共和国企业国有资产法》等法律履行出资人职责依法行使资产收益，参与重大决策和选择管理者等权利；负责授权管理国有企业国有资产的监督管理和保值增值，指导协调授权管理国有企业推进改革；负责审核授权国有企业的章程，绩效考核方案的制定和执行。</w:t>
            </w:r>
          </w:p>
          <w:p>
            <w:pPr>
              <w:numPr>
                <w:ilvl w:val="0"/>
                <w:numId w:val="1"/>
              </w:num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pStyle w:val="3"/>
              <w:keepNext w:val="0"/>
              <w:keepLines w:val="0"/>
              <w:widowControl/>
              <w:suppressLineNumbers w:val="0"/>
              <w:spacing w:before="0" w:beforeAutospacing="0" w:after="0" w:afterAutospacing="0" w:line="360" w:lineRule="auto"/>
              <w:ind w:right="0" w:firstLine="560" w:firstLineChars="200"/>
              <w:jc w:val="both"/>
              <w:rPr>
                <w:rFonts w:hint="eastAsia" w:ascii="仿宋_GB2312" w:hAnsi="仿宋_GB2312" w:eastAsia="仿宋_GB2312" w:cs="仿宋_GB2312"/>
                <w:bCs/>
                <w:sz w:val="28"/>
                <w:szCs w:val="28"/>
                <w:lang w:val="en-US" w:eastAsia="zh-CN"/>
              </w:rPr>
            </w:pPr>
            <w:r>
              <w:rPr>
                <w:rFonts w:hint="eastAsia" w:ascii="仿宋" w:hAnsi="仿宋" w:eastAsia="仿宋" w:cs="仿宋"/>
                <w:bCs/>
                <w:sz w:val="28"/>
                <w:szCs w:val="28"/>
                <w:lang w:val="en-US" w:eastAsia="zh-CN"/>
              </w:rPr>
              <w:t>2019年本单位决算支出为225.93万元，基本支出共206.04万元，其中人员支出185.46万元，占总支出82.09%，占基本支出的90.01%；公用经费支出20.59万元，占总支出9.11%，占基本支出的9.99%，项目支出19.88万元，占总支出8.8% ，基本建设类支出占项目支出0%。</w:t>
            </w:r>
          </w:p>
          <w:p>
            <w:pPr>
              <w:spacing w:line="360"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pStyle w:val="3"/>
              <w:keepNext w:val="0"/>
              <w:keepLines w:val="0"/>
              <w:widowControl/>
              <w:suppressLineNumbers w:val="0"/>
              <w:spacing w:before="0" w:beforeAutospacing="0" w:after="0" w:afterAutospacing="0" w:line="360" w:lineRule="auto"/>
              <w:ind w:right="0" w:firstLine="560" w:firstLineChars="2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2018年度基本支出206.04万元，其中人员支出185.46万元，公用支出20.59万元。三公经费总支出0.21万元（公务用车及运行维护费支出0万元，公务接待费0.21万元），落实中央八项规定，牢固树立过紧日子过苦日子的观念，未超过年初计划数。</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2、基本支出管理情况</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（1）办公费。核报各种办公用品时，必须附按发票规定的品名、数量、单位、金额等内容开具的发票，办公用品一律由办公室统一购置，不允许自行购置。</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（2）电话费。注意节约电话费的开支，单位电话实行统一包干原则。</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（3）差旅费。差旅费报销标准严格按县纪委要求执行。</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（4）会议费。各项会议的开支必须先列出会议费预算的方案，由主管领导审查。报销会议费必须持真实有效的原始票据据实到财务部门据报销。</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sz w:val="28"/>
                <w:szCs w:val="28"/>
              </w:rPr>
            </w:pPr>
            <w:r>
              <w:rPr>
                <w:rFonts w:hint="eastAsia" w:ascii="仿宋" w:hAnsi="仿宋" w:eastAsia="仿宋" w:cs="仿宋"/>
                <w:bCs/>
                <w:sz w:val="28"/>
                <w:szCs w:val="28"/>
                <w:lang w:val="en-US" w:eastAsia="zh-CN"/>
              </w:rPr>
              <w:t>（5）公务接待经费。严格执行审批制度，明确接待范畴，严格接待标准，控制陪同人数，实行定点接待。严格在公务接待限额内安排接待，不得突破限额。</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pStyle w:val="3"/>
              <w:keepNext w:val="0"/>
              <w:keepLines w:val="0"/>
              <w:widowControl/>
              <w:suppressLineNumbers w:val="0"/>
              <w:spacing w:before="0" w:beforeAutospacing="0" w:after="0" w:afterAutospacing="0" w:line="360" w:lineRule="auto"/>
              <w:ind w:right="0" w:firstLine="560" w:firstLineChars="20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2019年单位部门预算（华财预【2019】4073单），拨专项资金19.88万元，年内已拨付到位。此专项资金全部用于单位开办经费。</w:t>
            </w:r>
          </w:p>
          <w:p>
            <w:pPr>
              <w:numPr>
                <w:ilvl w:val="0"/>
                <w:numId w:val="2"/>
              </w:numPr>
              <w:spacing w:line="360" w:lineRule="auto"/>
              <w:ind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专项资金实际使用情况分析</w:t>
            </w:r>
          </w:p>
          <w:p>
            <w:pPr>
              <w:pStyle w:val="3"/>
              <w:keepNext w:val="0"/>
              <w:keepLines w:val="0"/>
              <w:widowControl/>
              <w:suppressLineNumbers w:val="0"/>
              <w:spacing w:before="0" w:beforeAutospacing="0" w:after="0" w:afterAutospacing="0" w:line="360" w:lineRule="auto"/>
              <w:ind w:right="0" w:firstLine="560" w:firstLineChars="200"/>
              <w:jc w:val="both"/>
              <w:rPr>
                <w:rFonts w:hint="default"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按照预算安排和资金使用范围已全部落实并做到有计划地使用完成。专项经费支出19.88万元，其中：办公室维修款4万、购置电脑等办公设备10.8万、拨付工会经费5万和其他零星开支等。</w:t>
            </w:r>
          </w:p>
          <w:p>
            <w:pPr>
              <w:numPr>
                <w:ilvl w:val="0"/>
                <w:numId w:val="2"/>
              </w:numPr>
              <w:spacing w:line="360" w:lineRule="auto"/>
              <w:ind w:left="0" w:leftChars="0" w:firstLine="560" w:firstLineChars="20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专项资金管理情况分析</w:t>
            </w:r>
          </w:p>
          <w:p>
            <w:pPr>
              <w:numPr>
                <w:ilvl w:val="0"/>
                <w:numId w:val="0"/>
              </w:numPr>
              <w:spacing w:line="360" w:lineRule="auto"/>
              <w:ind w:firstLine="560" w:firstLineChars="200"/>
              <w:rPr>
                <w:rFonts w:hint="eastAsia" w:ascii="黑体" w:hAnsi="黑体" w:eastAsia="黑体" w:cs="黑体"/>
                <w:bCs/>
                <w:sz w:val="28"/>
                <w:szCs w:val="28"/>
              </w:rPr>
            </w:pPr>
            <w:r>
              <w:rPr>
                <w:rFonts w:hint="eastAsia" w:ascii="仿宋" w:hAnsi="仿宋" w:eastAsia="仿宋" w:cs="仿宋"/>
                <w:bCs/>
                <w:kern w:val="2"/>
                <w:sz w:val="28"/>
                <w:szCs w:val="28"/>
                <w:lang w:val="en-US" w:eastAsia="zh-CN" w:bidi="ar-SA"/>
              </w:rPr>
              <w:t>严格执行预算管理，规范资金核算，合规使用资金，实行专款专用。</w:t>
            </w:r>
          </w:p>
          <w:p>
            <w:pPr>
              <w:spacing w:line="360"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我单位严格按照财政部门的部署要求和相关会计制度进行会计核算、财务处理，做到财务处理及时、会计核算规范。对专项资金严把审批关，杜绝了弄虚作假、截留、挤占、挪用专项资金的情况发生。</w:t>
            </w:r>
          </w:p>
          <w:p>
            <w:p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我单位专项支出方面按照专项工作进度需要，申报专项经费，并于</w:t>
            </w:r>
            <w:r>
              <w:rPr>
                <w:rFonts w:hint="eastAsia" w:ascii="仿宋" w:hAnsi="仿宋" w:eastAsia="仿宋" w:cs="仿宋"/>
                <w:bCs/>
                <w:sz w:val="28"/>
                <w:szCs w:val="28"/>
                <w:lang w:val="en-US" w:eastAsia="zh-CN"/>
              </w:rPr>
              <w:t>2019年底前完成年度绩效目标。</w:t>
            </w:r>
          </w:p>
          <w:p>
            <w:pPr>
              <w:numPr>
                <w:ilvl w:val="0"/>
                <w:numId w:val="1"/>
              </w:numPr>
              <w:spacing w:line="360" w:lineRule="auto"/>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专项管理情况分析</w:t>
            </w:r>
          </w:p>
          <w:p>
            <w:pPr>
              <w:pStyle w:val="3"/>
              <w:keepNext w:val="0"/>
              <w:keepLines w:val="0"/>
              <w:widowControl/>
              <w:suppressLineNumbers w:val="0"/>
              <w:spacing w:before="0" w:beforeAutospacing="0" w:after="0" w:afterAutospacing="0" w:line="360" w:lineRule="auto"/>
              <w:ind w:right="0" w:firstLine="560" w:firstLineChars="200"/>
              <w:jc w:val="both"/>
              <w:rPr>
                <w:rFonts w:hint="eastAsia" w:ascii="仿宋" w:hAnsi="仿宋" w:eastAsia="仿宋" w:cs="仿宋"/>
                <w:bCs/>
                <w:sz w:val="28"/>
                <w:szCs w:val="28"/>
                <w:lang w:eastAsia="zh-CN"/>
              </w:rPr>
            </w:pPr>
            <w:r>
              <w:rPr>
                <w:rFonts w:hint="eastAsia" w:ascii="仿宋" w:hAnsi="仿宋" w:eastAsia="仿宋" w:cs="仿宋"/>
                <w:bCs/>
                <w:sz w:val="28"/>
                <w:szCs w:val="28"/>
                <w:lang w:eastAsia="zh-CN"/>
              </w:rPr>
              <w:t>制订和执行专项资金管理制度，严格把关，通过实时监管确保专项资金使用的真实、合法、有效，设置专项目标绩效评估体系，提高专项资金的使用率、有效促进各项工作的稳步推进。</w:t>
            </w:r>
          </w:p>
          <w:p>
            <w:pPr>
              <w:spacing w:line="360"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pStyle w:val="3"/>
              <w:keepNext w:val="0"/>
              <w:keepLines w:val="0"/>
              <w:widowControl/>
              <w:suppressLineNumbers w:val="0"/>
              <w:spacing w:before="0" w:beforeAutospacing="0" w:after="0" w:afterAutospacing="0" w:line="360" w:lineRule="auto"/>
              <w:ind w:right="0" w:firstLine="560" w:firstLineChars="20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2019年，在县委县政府的坚强领导下，我中心紧紧围绕县委“一三五”战略规划, 着力以提升财政资金绩效为主线，以绩效目标实现为导向，以财政支出绩效评价为手段，以评价结果应用为保障，建立完善预算绩效管理体系，积极推进投融资系统预算绩效管理工作，充分发挥国资国企在我县经济社会建设的引领带动作用，为谱写富饶美丽幸福新湖南的华容篇章作出了新的贡献。从总体上看，我中心资金管理规范，政策执行良好，按时完成2019年度部门整体支出绩效评价报告，并进行公示，2019年配合下设平台公司完成年初制定的国有资产处置收入等任务。</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1、本年预算配置控制较好，三公经费预算总额较上年减少97.53%；严格落实中央八项规定，牢固树立过紧日子的思想；单位定编11人，实际9人。</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2、预算执行方面，支出总额控制在预算总额以内，除政策性工资绩效预算的追加外，无大的调整；</w:t>
            </w:r>
          </w:p>
          <w:p>
            <w:pPr>
              <w:pStyle w:val="3"/>
              <w:keepNext w:val="0"/>
              <w:keepLines w:val="0"/>
              <w:widowControl/>
              <w:suppressLineNumbers w:val="0"/>
              <w:spacing w:before="0" w:beforeAutospacing="0" w:after="0" w:afterAutospacing="0" w:line="360" w:lineRule="auto"/>
              <w:ind w:left="0" w:right="0" w:firstLine="42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3、预算管理方面，制度执行总体有效；</w:t>
            </w:r>
          </w:p>
          <w:p>
            <w:pPr>
              <w:pStyle w:val="3"/>
              <w:keepNext w:val="0"/>
              <w:keepLines w:val="0"/>
              <w:widowControl/>
              <w:suppressLineNumbers w:val="0"/>
              <w:spacing w:before="0" w:beforeAutospacing="0" w:after="0" w:afterAutospacing="0" w:line="360" w:lineRule="auto"/>
              <w:ind w:left="0" w:right="0" w:firstLine="420"/>
              <w:jc w:val="both"/>
              <w:rPr>
                <w:rFonts w:hint="eastAsia" w:ascii="黑体" w:hAnsi="黑体" w:eastAsia="黑体" w:cs="黑体"/>
                <w:bCs/>
                <w:sz w:val="28"/>
                <w:szCs w:val="28"/>
              </w:rPr>
            </w:pPr>
            <w:r>
              <w:rPr>
                <w:rFonts w:hint="eastAsia" w:ascii="仿宋" w:hAnsi="仿宋" w:eastAsia="仿宋" w:cs="仿宋"/>
                <w:bCs/>
                <w:kern w:val="2"/>
                <w:sz w:val="28"/>
                <w:szCs w:val="28"/>
                <w:lang w:val="en-US" w:eastAsia="zh-CN" w:bidi="ar-SA"/>
              </w:rPr>
              <w:t>4、资金使用管理仍需加强。资产管理方面通过资产系统、账务系统和采购系统，对资产定期进行盘点和清理，总体执行较好</w:t>
            </w:r>
            <w:r>
              <w:rPr>
                <w:rFonts w:hint="eastAsia" w:ascii="仿宋_GB2312" w:hAnsi="仿宋_GB2312" w:eastAsia="仿宋_GB2312" w:cs="仿宋_GB2312"/>
                <w:bCs/>
                <w:kern w:val="2"/>
                <w:sz w:val="28"/>
                <w:szCs w:val="28"/>
                <w:lang w:val="en-US" w:eastAsia="zh-CN" w:bidi="ar-SA"/>
              </w:rPr>
              <w:t>。</w:t>
            </w:r>
          </w:p>
          <w:p>
            <w:pPr>
              <w:numPr>
                <w:ilvl w:val="0"/>
                <w:numId w:val="3"/>
              </w:numPr>
              <w:spacing w:line="360"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1、单位成立时间短，具体业务推进难度大。</w:t>
            </w:r>
          </w:p>
          <w:p>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2、缺乏专业性人才。</w:t>
            </w:r>
          </w:p>
          <w:p>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3、制度建设上还需加快完善。</w:t>
            </w:r>
          </w:p>
          <w:p>
            <w:pPr>
              <w:spacing w:line="360"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1、加强学习，提高业务水平。</w:t>
            </w:r>
          </w:p>
          <w:p>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2、加快《华容县国有资产管理暂行办法（试行）》、《华容县县属国有企业监督管理办法（试行）》和《华容县县属国有企业监事委派管理办法（试行）》的定稿。</w:t>
            </w:r>
          </w:p>
          <w:p>
            <w:pPr>
              <w:spacing w:line="360" w:lineRule="auto"/>
              <w:ind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3、积极加强同上级主管和相关部门的联系。</w:t>
            </w:r>
          </w:p>
          <w:p>
            <w:pPr>
              <w:rPr>
                <w:rFonts w:hint="eastAsia" w:eastAsia="楷体_GB2312"/>
                <w:bCs/>
                <w:sz w:val="28"/>
                <w:szCs w:val="28"/>
                <w:lang w:val="en-US" w:eastAsia="zh-CN"/>
              </w:rPr>
            </w:pPr>
          </w:p>
          <w:p>
            <w:pPr>
              <w:rPr>
                <w:rFonts w:hint="default" w:eastAsia="楷体_GB2312"/>
                <w:bCs/>
                <w:sz w:val="28"/>
                <w:szCs w:val="28"/>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6E630"/>
    <w:multiLevelType w:val="singleLevel"/>
    <w:tmpl w:val="4146E630"/>
    <w:lvl w:ilvl="0" w:tentative="0">
      <w:start w:val="2"/>
      <w:numFmt w:val="chineseCounting"/>
      <w:suff w:val="nothing"/>
      <w:lvlText w:val="（%1）"/>
      <w:lvlJc w:val="left"/>
      <w:rPr>
        <w:rFonts w:hint="eastAsia"/>
      </w:rPr>
    </w:lvl>
  </w:abstractNum>
  <w:abstractNum w:abstractNumId="1">
    <w:nsid w:val="4FF43FE0"/>
    <w:multiLevelType w:val="singleLevel"/>
    <w:tmpl w:val="4FF43FE0"/>
    <w:lvl w:ilvl="0" w:tentative="0">
      <w:start w:val="2"/>
      <w:numFmt w:val="decimal"/>
      <w:suff w:val="nothing"/>
      <w:lvlText w:val="%1、"/>
      <w:lvlJc w:val="left"/>
    </w:lvl>
  </w:abstractNum>
  <w:abstractNum w:abstractNumId="2">
    <w:nsid w:val="6A576B45"/>
    <w:multiLevelType w:val="singleLevel"/>
    <w:tmpl w:val="6A576B45"/>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5F3D"/>
    <w:rsid w:val="006C7BBA"/>
    <w:rsid w:val="029D1E7E"/>
    <w:rsid w:val="0368763A"/>
    <w:rsid w:val="04C06041"/>
    <w:rsid w:val="059C24DD"/>
    <w:rsid w:val="06D2010D"/>
    <w:rsid w:val="0A2C2EDE"/>
    <w:rsid w:val="0B5F4C8F"/>
    <w:rsid w:val="0C04411B"/>
    <w:rsid w:val="0C78277C"/>
    <w:rsid w:val="13BB15E0"/>
    <w:rsid w:val="15E25B06"/>
    <w:rsid w:val="1A1E1D68"/>
    <w:rsid w:val="1ABD4DBE"/>
    <w:rsid w:val="1B165F59"/>
    <w:rsid w:val="1BC61384"/>
    <w:rsid w:val="1E46455A"/>
    <w:rsid w:val="1F870B20"/>
    <w:rsid w:val="1FAC7981"/>
    <w:rsid w:val="1FC91078"/>
    <w:rsid w:val="200E4EF4"/>
    <w:rsid w:val="209F26F4"/>
    <w:rsid w:val="22FB32B2"/>
    <w:rsid w:val="230A2198"/>
    <w:rsid w:val="23764555"/>
    <w:rsid w:val="237A1E99"/>
    <w:rsid w:val="24335158"/>
    <w:rsid w:val="24AD0EFD"/>
    <w:rsid w:val="26B97C7A"/>
    <w:rsid w:val="27750243"/>
    <w:rsid w:val="27765BFC"/>
    <w:rsid w:val="2997386C"/>
    <w:rsid w:val="29C773BD"/>
    <w:rsid w:val="2BB22D33"/>
    <w:rsid w:val="2BCE1678"/>
    <w:rsid w:val="2DCB54FD"/>
    <w:rsid w:val="311274A2"/>
    <w:rsid w:val="31740308"/>
    <w:rsid w:val="36726AE0"/>
    <w:rsid w:val="36DB5AB2"/>
    <w:rsid w:val="37521CA3"/>
    <w:rsid w:val="377E289F"/>
    <w:rsid w:val="3B2405A0"/>
    <w:rsid w:val="3C1A4CFC"/>
    <w:rsid w:val="41914A6C"/>
    <w:rsid w:val="451439DB"/>
    <w:rsid w:val="45F54C2B"/>
    <w:rsid w:val="469F029F"/>
    <w:rsid w:val="493F2976"/>
    <w:rsid w:val="4BE1748D"/>
    <w:rsid w:val="4E3D308F"/>
    <w:rsid w:val="4EA70B89"/>
    <w:rsid w:val="4FB9617A"/>
    <w:rsid w:val="51812535"/>
    <w:rsid w:val="5187103C"/>
    <w:rsid w:val="52A918D3"/>
    <w:rsid w:val="55CF1F9E"/>
    <w:rsid w:val="560B5E23"/>
    <w:rsid w:val="577A411C"/>
    <w:rsid w:val="57FA4EFA"/>
    <w:rsid w:val="59B75CA5"/>
    <w:rsid w:val="59E24A1A"/>
    <w:rsid w:val="5ACA6B49"/>
    <w:rsid w:val="5E100960"/>
    <w:rsid w:val="5F8453B0"/>
    <w:rsid w:val="60940F8A"/>
    <w:rsid w:val="60E62EB9"/>
    <w:rsid w:val="61892252"/>
    <w:rsid w:val="625B4D35"/>
    <w:rsid w:val="63DF0B90"/>
    <w:rsid w:val="64265432"/>
    <w:rsid w:val="652F6A7C"/>
    <w:rsid w:val="653B205A"/>
    <w:rsid w:val="656300E8"/>
    <w:rsid w:val="65B04BE2"/>
    <w:rsid w:val="667B228D"/>
    <w:rsid w:val="66E96FE8"/>
    <w:rsid w:val="673C247F"/>
    <w:rsid w:val="67B16AB2"/>
    <w:rsid w:val="68D04BF9"/>
    <w:rsid w:val="6B26267E"/>
    <w:rsid w:val="6C9242E3"/>
    <w:rsid w:val="6D95437C"/>
    <w:rsid w:val="6EC07496"/>
    <w:rsid w:val="6F5E7546"/>
    <w:rsid w:val="6FF44EA9"/>
    <w:rsid w:val="70066540"/>
    <w:rsid w:val="70222999"/>
    <w:rsid w:val="727561CF"/>
    <w:rsid w:val="72A51173"/>
    <w:rsid w:val="731E5E4E"/>
    <w:rsid w:val="73304463"/>
    <w:rsid w:val="74803802"/>
    <w:rsid w:val="756A1F9B"/>
    <w:rsid w:val="75D05CAB"/>
    <w:rsid w:val="781D393A"/>
    <w:rsid w:val="79253E54"/>
    <w:rsid w:val="7A0F41CA"/>
    <w:rsid w:val="7D95453B"/>
    <w:rsid w:val="7E5F6823"/>
    <w:rsid w:val="7EA20D5E"/>
    <w:rsid w:val="7EE1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2020-10-19T00:14:00Z</dcterms:created>
  <dc:creator>Administrator</dc:creator>
  <cp:lastModifiedBy>胡图图</cp:lastModifiedBy>
  <cp:lastPrinted>2020-10-19T09:01:39Z</cp:lastPrinted>
  <dcterms:modified xsi:type="dcterms:W3CDTF">2020-10-19T09:19:03Z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