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w:t>
      </w:r>
      <w:r>
        <w:rPr>
          <w:rFonts w:hint="eastAsia" w:eastAsia="方正小标宋简体"/>
          <w:bCs/>
          <w:sz w:val="46"/>
          <w:szCs w:val="46"/>
          <w:u w:val="single"/>
        </w:rPr>
        <w:t>19</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华容县住房和城乡建设局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eastAsia="仿宋_GB2312"/>
          <w:spacing w:val="20"/>
          <w:sz w:val="32"/>
          <w:szCs w:val="32"/>
          <w:u w:val="single"/>
        </w:rPr>
        <w:t>303</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年   月   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高捷</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4231757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182</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贯彻执行中央和省、市有关住房和城乡建设、人民防空方面的法律、法规、规章和方针政策，拟订全县住房和城乡建设、人民防空方面的规范性文件。</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负责推进住房制度改革和保障城镇低收入家庭住房工作。</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负责房地产市场监督管理。</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负责建筑市场监督管理。</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负责建设工程勘察设计监督管理。</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负责城市建设监督管理。</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负责建设工程质量、安全生产的监督管理。</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负责指导监督村镇建设。</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负责历史文化名城（镇、村）的保护及监督管理。</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负责城市建设科学研究和建设科技发展应用推广。</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负责城市供排水和城市污水处理的监督管理。</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负责全县人民防空工作。</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负责制定行业人才发展规划，加强党员干部队伍、专业人才队伍建设。</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负责全县住建行业的安全生产和应急管理工作。</w:t>
            </w:r>
          </w:p>
          <w:p>
            <w:pPr>
              <w:numPr>
                <w:ilvl w:val="0"/>
                <w:numId w:val="1"/>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承办县委、县政府交办的其他事项。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任务1：市政项目建设全面推进。</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任务2：污水处理建设。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任务3：黑臭水体治理。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任务4：垃圾处理场生态治理。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任务5：棚户区改造。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任务6：农村危房改造。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1.本年预算配置控制较好，财政供养人员控制在预算编制以内， “三公”经费支出总额较上年有减少。</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2.预算管理方面，制定了切实有效的内部财务、车辆、资产内部管理制度，执行总体较为有效。</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27572.99</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12,003.29</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15,569.70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10337.28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5368.68</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4968.6</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2、市政公用设施建设中心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376.35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376.35</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3、住房保障服务中心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16859.36</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6258.26</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10601.1</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27572.99</w:t>
            </w:r>
          </w:p>
        </w:tc>
        <w:tc>
          <w:tcPr>
            <w:tcW w:w="1355" w:type="dxa"/>
            <w:gridSpan w:val="2"/>
            <w:tcBorders>
              <w:left w:val="single" w:color="auto"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32,94.91</w:t>
            </w:r>
          </w:p>
        </w:tc>
        <w:tc>
          <w:tcPr>
            <w:tcW w:w="1080" w:type="dxa"/>
            <w:gridSpan w:val="2"/>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24,69.26</w:t>
            </w:r>
          </w:p>
        </w:tc>
        <w:tc>
          <w:tcPr>
            <w:tcW w:w="2160" w:type="dxa"/>
            <w:gridSpan w:val="4"/>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8,25.65</w:t>
            </w:r>
          </w:p>
        </w:tc>
        <w:tc>
          <w:tcPr>
            <w:tcW w:w="1080" w:type="dxa"/>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24278.09</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10337.28</w:t>
            </w:r>
          </w:p>
        </w:tc>
        <w:tc>
          <w:tcPr>
            <w:tcW w:w="1355" w:type="dxa"/>
            <w:gridSpan w:val="2"/>
            <w:tcBorders>
              <w:left w:val="single" w:color="auto"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1769.9</w:t>
            </w:r>
          </w:p>
        </w:tc>
        <w:tc>
          <w:tcPr>
            <w:tcW w:w="1080" w:type="dxa"/>
            <w:gridSpan w:val="2"/>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1216.18</w:t>
            </w:r>
          </w:p>
        </w:tc>
        <w:tc>
          <w:tcPr>
            <w:tcW w:w="2160" w:type="dxa"/>
            <w:gridSpan w:val="4"/>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553.72</w:t>
            </w:r>
          </w:p>
        </w:tc>
        <w:tc>
          <w:tcPr>
            <w:tcW w:w="1080" w:type="dxa"/>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8567.38</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sz w:val="24"/>
              </w:rPr>
              <w:t>2、市政公用设施建设中心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376.35</w:t>
            </w:r>
          </w:p>
        </w:tc>
        <w:tc>
          <w:tcPr>
            <w:tcW w:w="1355" w:type="dxa"/>
            <w:gridSpan w:val="2"/>
            <w:tcBorders>
              <w:left w:val="single" w:color="auto"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226.35</w:t>
            </w:r>
          </w:p>
        </w:tc>
        <w:tc>
          <w:tcPr>
            <w:tcW w:w="1080" w:type="dxa"/>
            <w:gridSpan w:val="2"/>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190.81</w:t>
            </w:r>
          </w:p>
        </w:tc>
        <w:tc>
          <w:tcPr>
            <w:tcW w:w="2160" w:type="dxa"/>
            <w:gridSpan w:val="4"/>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35.55</w:t>
            </w:r>
          </w:p>
        </w:tc>
        <w:tc>
          <w:tcPr>
            <w:tcW w:w="1080" w:type="dxa"/>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150</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sz w:val="24"/>
              </w:rPr>
              <w:t>3、住房保障服务中心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16859.36</w:t>
            </w:r>
          </w:p>
        </w:tc>
        <w:tc>
          <w:tcPr>
            <w:tcW w:w="1355" w:type="dxa"/>
            <w:gridSpan w:val="2"/>
            <w:tcBorders>
              <w:left w:val="single" w:color="auto" w:sz="4" w:space="0"/>
            </w:tcBorders>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1298.66</w:t>
            </w:r>
          </w:p>
        </w:tc>
        <w:tc>
          <w:tcPr>
            <w:tcW w:w="1080" w:type="dxa"/>
            <w:gridSpan w:val="2"/>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1062.27</w:t>
            </w:r>
          </w:p>
        </w:tc>
        <w:tc>
          <w:tcPr>
            <w:tcW w:w="2160" w:type="dxa"/>
            <w:gridSpan w:val="4"/>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236.39</w:t>
            </w:r>
          </w:p>
        </w:tc>
        <w:tc>
          <w:tcPr>
            <w:tcW w:w="1080" w:type="dxa"/>
            <w:vAlign w:val="center"/>
          </w:tcPr>
          <w:p>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15560.71</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14.12</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10.03</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10.54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7.48</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2、市政公用设施建设中心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0.47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0.47</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3、住房保障服务中心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0.56</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2.55</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679.21</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156.45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120.19</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120.19</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2、市政公用设施建设中心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36.26</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36.26</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3、住房保障服务中心</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宋体" w:hAnsi="宋体" w:cs="宋体"/>
                <w:sz w:val="24"/>
              </w:rPr>
              <w:t>522</w:t>
            </w:r>
            <w:r>
              <w:rPr>
                <w:rFonts w:hint="eastAsia" w:ascii="宋体" w:hAnsi="宋体" w:cs="宋体"/>
                <w:sz w:val="24"/>
              </w:rPr>
              <w:t>.</w:t>
            </w:r>
            <w:r>
              <w:rPr>
                <w:rFonts w:ascii="宋体" w:hAnsi="宋体" w:cs="宋体"/>
                <w:sz w:val="24"/>
              </w:rPr>
              <w:t>76</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522.76</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目标1：打赢环保整治攻坚战,狠抓黑臭水体治理,狠抓乡镇污水处理建设,狠抓扬尘治理；打赢脱贫帮困攻坚战,进行农村危房改造.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目标2：强监管，确保建设质量安全。</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目标3：进一步推广白蚁防治新药物、新技术，对发生蚁害的设施建筑进行灭治。</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已按质按量完成并落实到位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指标1：严格监管质量安全</w:t>
            </w:r>
          </w:p>
        </w:tc>
        <w:tc>
          <w:tcPr>
            <w:tcW w:w="2684" w:type="dxa"/>
            <w:gridSpan w:val="6"/>
            <w:vAlign w:val="center"/>
          </w:tcPr>
          <w:p>
            <w:pPr>
              <w:autoSpaceDN w:val="0"/>
              <w:spacing w:line="320" w:lineRule="exact"/>
              <w:jc w:val="left"/>
              <w:textAlignment w:val="center"/>
              <w:rPr>
                <w:rFonts w:ascii="仿宋" w:hAnsi="仿宋" w:eastAsia="仿宋" w:cs="宋体"/>
                <w:sz w:val="32"/>
                <w:szCs w:val="32"/>
              </w:rPr>
            </w:pPr>
            <w:r>
              <w:rPr>
                <w:rFonts w:hint="eastAsia" w:ascii="仿宋_GB2312" w:hAnsi="仿宋_GB2312" w:eastAsia="仿宋_GB2312" w:cs="仿宋_GB2312"/>
                <w:color w:val="000000"/>
                <w:sz w:val="24"/>
              </w:rPr>
              <w:t>进行了8次专项检查排查行动。共检查在建项目62个，发现安全隐患150多处，下发限期整改65份，停工整改6份，不良行为记录告之2份。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指标2：完善管理机制</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以绿色建筑、海绵城市、城市排水管网建设为突破口，出动联动监管机制，加强事中事后监管。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指标1：棚户区改造开工任务共980套（户）</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完成棚户区改造980套。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指标2：省定年度危改任务</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完成危改1153户，农村危改全面完工。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指标3：切实加强人防管理</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完成人防审批项目19件，报建面积73.6万平方米，征收人防易地建设费1508万元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指标1：城区污水处理实现全覆盖</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严格按照“两供两治”工作要求，累计完成投资约3亿元，完成麻浬泗污水厂扩容和提标改造、桥东污水厂建设，铺设污水主次管网100公里，城区污水日处理能力达6万吨，累计处理污水360万吨，削减COD535吨，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指标2：是乡镇污水处理设施建设积极推进</w:t>
            </w:r>
          </w:p>
        </w:tc>
        <w:tc>
          <w:tcPr>
            <w:tcW w:w="2684" w:type="dxa"/>
            <w:gridSpan w:val="6"/>
            <w:vAlign w:val="center"/>
          </w:tcPr>
          <w:p>
            <w:pPr>
              <w:rPr>
                <w:rFonts w:ascii="仿宋_GB2312" w:hAnsi="仿宋_GB2312" w:eastAsia="仿宋_GB2312" w:cs="仿宋_GB2312"/>
                <w:sz w:val="32"/>
                <w:szCs w:val="32"/>
              </w:rPr>
            </w:pPr>
            <w:r>
              <w:rPr>
                <w:rFonts w:hint="eastAsia" w:ascii="仿宋_GB2312" w:hAnsi="仿宋_GB2312" w:eastAsia="仿宋_GB2312" w:cs="仿宋_GB2312"/>
                <w:color w:val="000000"/>
                <w:sz w:val="24"/>
              </w:rPr>
              <w:t>分二期进行，其中一期投资2.58亿元，主要完成注滋口、东山、砖桥、三封寺、禹山、治河渡、万庾、新河等8个乡镇污水处理厂及60公里配套管网的建设。二期计划总投资约8250万元，总规模3000吨/日，总用地面积11亩，实施方案的编制、初步选址、测量均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 w:hAnsi="仿宋" w:eastAsia="仿宋" w:cs="仿宋"/>
                <w:color w:val="000000"/>
              </w:rPr>
              <w:t>搞好危房改造工作</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完成危改1153户，农村危改全面完工，其中建档立卡贫困户为454户，已全部登记注册并录入了农村危房改造信息系统。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指标2：产业发展优势明显</w:t>
            </w:r>
          </w:p>
        </w:tc>
        <w:tc>
          <w:tcPr>
            <w:tcW w:w="2684"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全县全年21个在建在售楼盘完成开发投资10.6亿元，发放商品房预售许可证45件，准予商品房预售面积53.5万平米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指标1：棚改任务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指标2：农村危改</w:t>
            </w: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1、980套棚改任务顺利完成，新时代花园372户顺利入住。</w:t>
            </w:r>
          </w:p>
          <w:p>
            <w:pPr>
              <w:autoSpaceDN w:val="0"/>
              <w:spacing w:line="320" w:lineRule="exact"/>
              <w:jc w:val="left"/>
              <w:textAlignment w:val="center"/>
              <w:rPr>
                <w:rFonts w:ascii="仿宋" w:hAnsi="仿宋" w:eastAsia="仿宋_GB2312"/>
                <w:sz w:val="32"/>
                <w:szCs w:val="32"/>
              </w:rPr>
            </w:pPr>
            <w:r>
              <w:rPr>
                <w:rFonts w:hint="eastAsia" w:ascii="仿宋_GB2312" w:hAnsi="仿宋_GB2312" w:eastAsia="仿宋_GB2312" w:cs="仿宋_GB2312"/>
                <w:color w:val="000000"/>
                <w:sz w:val="24"/>
              </w:rPr>
              <w:t>2、农村危改全面完工。高标准完成了省定年度危改任务1153户。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指标1：保障房建设项目</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指标2：建筑业和房地产业协调发展</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1、全县建筑业形成了以24家施工企业为支撑，勘察设计、检测、商品混凝土等企业为配套的体系，从业人员2万多人。</w:t>
            </w:r>
          </w:p>
          <w:p>
            <w:pPr>
              <w:autoSpaceDN w:val="0"/>
              <w:spacing w:line="320" w:lineRule="exact"/>
              <w:jc w:val="left"/>
              <w:textAlignment w:val="center"/>
              <w:rPr>
                <w:rFonts w:ascii="仿宋" w:hAnsi="仿宋" w:eastAsia="仿宋" w:cs="仿宋"/>
                <w:sz w:val="32"/>
                <w:szCs w:val="32"/>
              </w:rPr>
            </w:pPr>
            <w:r>
              <w:rPr>
                <w:rFonts w:hint="eastAsia" w:ascii="仿宋_GB2312" w:hAnsi="仿宋_GB2312" w:eastAsia="仿宋_GB2312" w:cs="仿宋_GB2312"/>
                <w:color w:val="000000"/>
                <w:sz w:val="24"/>
              </w:rPr>
              <w:t>2、房地产业形成了以35家开发企业为龙头，中介、装饰装修等企业为配套的产业链，从业人员1.4万人。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指标1：黑臭水体治理完成</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指标2：生态环境修复项目顺利完工</w:t>
            </w: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numPr>
                <w:ilvl w:val="0"/>
                <w:numId w:val="2"/>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完成了李怀路、兴怀路下水道升级改造和桥东黑水沟综合治理工作。</w:t>
            </w:r>
          </w:p>
          <w:p>
            <w:pPr>
              <w:numPr>
                <w:ilvl w:val="0"/>
                <w:numId w:val="2"/>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总投资0.79亿元的虎尾山垃圾场生态治理项目全面竣工，脏乱差的状况得以彻底解决。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Pr>
          <w:p>
            <w:pPr>
              <w:spacing w:line="320" w:lineRule="exact"/>
              <w:jc w:val="left"/>
              <w:textAlignment w:val="center"/>
              <w:rPr>
                <w:rFonts w:ascii="仿宋" w:hAnsi="仿宋" w:eastAsia="仿宋" w:cs="仿宋"/>
                <w:color w:val="000000"/>
              </w:rPr>
            </w:pPr>
            <w:r>
              <w:rPr>
                <w:rFonts w:hint="eastAsia" w:ascii="仿宋_GB2312" w:hAnsi="仿宋_GB2312" w:eastAsia="仿宋_GB2312" w:cs="仿宋_GB2312"/>
                <w:color w:val="000000"/>
                <w:sz w:val="24"/>
              </w:rPr>
              <w:t>指标1：</w:t>
            </w:r>
            <w:r>
              <w:rPr>
                <w:rFonts w:hint="eastAsia" w:ascii="仿宋" w:hAnsi="仿宋" w:eastAsia="仿宋" w:cs="仿宋"/>
                <w:color w:val="000000"/>
              </w:rPr>
              <w:t>市、县小康社会综合绩效考评，县政府绩效考核等工作全面丰收。</w:t>
            </w:r>
          </w:p>
        </w:tc>
        <w:tc>
          <w:tcPr>
            <w:tcW w:w="2684" w:type="dxa"/>
            <w:gridSpan w:val="6"/>
          </w:tcPr>
          <w:p>
            <w:r>
              <w:rPr>
                <w:rFonts w:hint="eastAsia" w:ascii="??_GB2312" w:hAnsi="??_GB2312"/>
                <w:color w:val="000000"/>
              </w:rPr>
              <w:t>指标</w:t>
            </w:r>
            <w:r>
              <w:rPr>
                <w:rFonts w:ascii="??_GB2312" w:hAnsi="??_GB2312"/>
                <w:color w:val="000000"/>
              </w:rPr>
              <w:t>2</w:t>
            </w:r>
            <w:r>
              <w:rPr>
                <w:rFonts w:hint="eastAsia" w:ascii="??_GB2312" w:hAnsi="??_GB2312"/>
                <w:color w:val="000000"/>
              </w:rPr>
              <w:t>：</w:t>
            </w:r>
            <w:r>
              <w:rPr>
                <w:rFonts w:hint="eastAsia" w:ascii="仿宋" w:hAnsi="仿宋" w:eastAsia="仿宋" w:cs="仿宋"/>
                <w:color w:val="000000"/>
              </w:rPr>
              <w:t>大事实事、招商引资、文明创建、安全生产、政务公开、纪检监察、政务公开、办公室、老干等传统强项工作继续位居全县先列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白洋</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书记、局长、人防办主任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住建局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周明山</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副局长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住建局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蔡鹏</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财务股股长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住建局</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widowControl/>
              <w:spacing w:line="64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华容县住房和城乡建设局中心现设有办公室、人防股、人事股、法规股、住保股、财务股、消防股、行政审批股、建筑业管理股、房地产市场管理股。住建系统现有人员编制 182名，(其中：行政编制15名；事业全额编制103名；事业差额编制15名；自收自支编制47名；工勤编制2名)；实有人员214人（</w:t>
            </w:r>
            <w:r>
              <w:rPr>
                <w:rFonts w:hint="eastAsia" w:ascii="仿宋" w:hAnsi="仿宋" w:eastAsia="仿宋" w:cs="仿宋"/>
                <w:kern w:val="0"/>
                <w:sz w:val="30"/>
                <w:szCs w:val="30"/>
                <w:shd w:val="clear" w:color="auto" w:fill="FFFFFF"/>
              </w:rPr>
              <w:t>其中</w:t>
            </w:r>
            <w:r>
              <w:rPr>
                <w:rFonts w:hint="eastAsia" w:ascii="仿宋_GB2312" w:hAnsi="仿宋_GB2312" w:eastAsia="仿宋_GB2312" w:cs="仿宋_GB2312"/>
                <w:bCs/>
                <w:sz w:val="28"/>
                <w:szCs w:val="28"/>
              </w:rPr>
              <w:t>：全额人员152人；差额人员62人）。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2019年度财政拨款收、支总计27572.99万元，与2018年相比，财政拨款收、支总计各增加17311.75万元，增长168.71%。</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2019年度一般公共预算财政拨款支出12003.29万元，占本年支出合计的43.53%。与2018年度相比，财政拨款支出增加1768万元，增长17.27%,主要用于以下方面：一般公共服务（类）支出1218.33万元，占10.15%；国防（类）支出491.57万元，占4.1%；社会保障和就业（类）支出17.72万元，占0.15%；节能环保（类）支出1418.33万元，占11.82%；城乡社区（类）支出6981.6万元，占58.16%；住房保障（类）支出1875.74万元，占15.62%；</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2019年政府性基金本年收入15569.7万元,占本年收入合计的56.47%。比上年增加59895.63%，本年支出15569.7万元,占本年支出合计的56.47%。比上年增加59895.63%，项目支出15569.7万元。</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本支出3,294.91万元，占11.95%，2019年度财政拨款基本支出3,294.91万元，其中:人员经费2,469.26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825.65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2019年度保障性安居工程项目总投资60160万元，年度计划投资28150万元，现已到位资金 28526万元。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资金使用：用于城市棚户区改造资金28150万元，用于租赁补贴发放资金209.84万元。</w:t>
            </w:r>
          </w:p>
          <w:p>
            <w:pPr>
              <w:pStyle w:val="10"/>
              <w:numPr>
                <w:ilvl w:val="0"/>
                <w:numId w:val="2"/>
              </w:numPr>
              <w:spacing w:line="560" w:lineRule="exact"/>
              <w:ind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保障性安居工程资金除棚户区改造征收补偿支出单独设立专账，其他全部实行国库集中支付，实行专款专用，独立核算，专人管理，项目资金使用计划周密。同时严格按照项目批复、合同约定、工程进度等有关规定及时拨付专项资金。</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为了使保障性安居工程项目顺利实施，华容县成立了华容县保障性安居工程领导小组，该小组是项目的决策机构，负责按照统一要求编制了保障性安居工程中长期规划。领导小组下设办公室，办公室设在县住建局，负责制定和实施保障性安居工程项目年度计划，负责搞好城镇保障性安居工程管理相关政策，资金管理（分配）办法、绩效评价方法、年度计划、中长期规划、开工及基本建设情况以及保障性住房入住对象的公示公开。年度计划对棚户区改造的实施，鼓励棚户区改造货币化安置，坚持政府推进和市场化运作相结合的原则，坚持实物安置与货币安置自愿相结合，福利资助与市场运作相结合，异地安置与货币安置自愿相结合。鼓励发放租赁补贴方式实施公租房住房保障，在项目建设过程中，为确保工程质量、进度和安全文明施工，严格按照基本建设程序对工程的投资、质量、进度、安全和文明施工实现全过程、全方位的监督管理，努力化解工程风险，积极组织隐蔽性工程验收，项目从前期准备、施工，完成一系列过程都进展顺利，项目完成质量为优。</w:t>
            </w:r>
          </w:p>
          <w:p>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在运营管理上为确保保障性住房后续管理可持续运转，采取“以事定费、合理分担”的原则，确定资金来源和安排资金，通过购买社会化服务加强保障性住房后续管理。</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280" w:firstLineChars="1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1、项目预期目标完成程度。</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2019年度，华容县完成保障性住房、棚户区改造共980套（户），基本建成 980 套（户），发放租赁补贴 1926户，达到了预期目标。</w:t>
            </w:r>
          </w:p>
          <w:p>
            <w:pPr>
              <w:spacing w:line="560" w:lineRule="exact"/>
              <w:ind w:firstLine="280" w:firstLineChars="1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2、项目实施对经济和社会的影响。</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社会：针对保障对象的不同需求，采取发放租赁补贴、提供公共租赁住房实物配送，棚户区改造产权调换等多种方式，减轻了困难家庭的租房或购房负担，改善了基本居住条件，使城市低收入家庭有房可住、安居乐业，“不仅住得上，而且住得好”，全县城镇保障性安居工程保障人群覆盖范围进一步扩大，2019年保障房项目实施为城关地区15个街道（社区）421户次，近 13600人次享受了货币补贴，1926户符合保障房申请条件的低收入家庭享受了实物配租当年符合分配入住条件的公租房和棚户区改造安置房分配入住率达到了90%，而保障房源建设正逐步加快，保障资金投入迅速增加，保障覆盖面也逐年扩大，社会反响越来越好。同时，可增加当地的就业机会，解决剩余劳动力问题。项目实施以来，改善了我县住房结构单一的境况，有效地平仰了房价，对促进社会经济发展及社会稳定具有重要意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经济：拉动经济，促进发展，保障房建设项目持续时间较长，投资额较大，占我县当年房地产投资完成额的23%，直接带动社会投资2.2亿元，为华容县经济增长起到了较大的拉动作用。同时，项目主要由本地建筑企业承建，保证了这些企业的持续经营，为其发展创造了有利条件，效益十分显著</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tabs>
                <w:tab w:val="center" w:pos="4153"/>
              </w:tabs>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2019年，根据我局年初工作规划和重点工作，围绕县委、县政府的工作部署，积极履行职责，强化管理，较好地完成了年度工作目标，同时加强预算收支的管理，建立健全内部管理制度，严格内部管理流程，部门整体支出管理得到了提升。2019年度部门整体支出绩效情况如下：</w:t>
            </w:r>
          </w:p>
          <w:p>
            <w:pPr>
              <w:tabs>
                <w:tab w:val="center" w:pos="4153"/>
              </w:tabs>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1、本年预算配置控制较好，财政供养人员控制在预算编制以内， “三公”经费支出总额较上年有减少。</w:t>
            </w:r>
          </w:p>
          <w:p>
            <w:pPr>
              <w:tabs>
                <w:tab w:val="center" w:pos="4153"/>
              </w:tabs>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预算执行方面，支出总额控制在预算总额以内，基本支出中财政政策性工资和对家属遗属的补助有所追加，本年部门预算未进行预算相关事项的调整；该单位预算资金按规定管理使用，其他专项工程建设资金按进度拨付资金，较好的完成了当年任务目标，财政拨款支出总体控制较好。</w:t>
            </w:r>
          </w:p>
          <w:p>
            <w:pPr>
              <w:spacing w:line="560" w:lineRule="exact"/>
              <w:ind w:firstLine="640" w:firstLineChars="200"/>
              <w:rPr>
                <w:rFonts w:ascii="黑体" w:hAnsi="黑体" w:eastAsia="黑体" w:cs="黑体"/>
                <w:bCs/>
                <w:sz w:val="28"/>
                <w:szCs w:val="28"/>
              </w:rPr>
            </w:pPr>
            <w:r>
              <w:rPr>
                <w:rFonts w:hint="eastAsia" w:ascii="仿宋_GB2312" w:hAnsi="仿宋_GB2312" w:eastAsia="仿宋_GB2312" w:cs="仿宋_GB2312"/>
                <w:sz w:val="32"/>
                <w:szCs w:val="32"/>
              </w:rPr>
              <w:t>3、预算管理方面，制定了切实有效的内部财务、车辆、资产内部管理制度，执行总体较为有效。</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tabs>
                <w:tab w:val="center" w:pos="4153"/>
              </w:tabs>
              <w:spacing w:line="60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1、“三公经费”有待更严格控制。</w:t>
            </w:r>
          </w:p>
          <w:p>
            <w:pPr>
              <w:tabs>
                <w:tab w:val="center" w:pos="4153"/>
              </w:tabs>
              <w:spacing w:line="60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2、预算编制有待更严格执行。预算编制与实际支出项目有的存在差异。</w:t>
            </w:r>
          </w:p>
          <w:p>
            <w:pPr>
              <w:spacing w:line="560" w:lineRule="exact"/>
              <w:ind w:firstLine="640" w:firstLineChars="200"/>
              <w:rPr>
                <w:rFonts w:ascii="黑体" w:hAnsi="黑体" w:eastAsia="黑体" w:cs="黑体"/>
                <w:bCs/>
                <w:sz w:val="28"/>
                <w:szCs w:val="28"/>
              </w:rPr>
            </w:pPr>
            <w:r>
              <w:rPr>
                <w:rFonts w:hint="eastAsia" w:ascii="仿宋_GB2312" w:hAnsi="仿宋_GB2312" w:eastAsia="仿宋_GB2312" w:cs="仿宋_GB2312"/>
                <w:bCs/>
                <w:sz w:val="32"/>
                <w:szCs w:val="32"/>
              </w:rPr>
              <w:t>3、有的项目经费未及时足额拨付到位</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tabs>
                <w:tab w:val="center" w:pos="4153"/>
              </w:tabs>
              <w:spacing w:line="600" w:lineRule="exact"/>
              <w:ind w:firstLine="630"/>
              <w:jc w:val="left"/>
              <w:rPr>
                <w:rFonts w:ascii="仿宋_GB2312" w:hAnsi="仿宋_GB2312" w:eastAsia="仿宋_GB2312" w:cs="仿宋_GB2312"/>
                <w:b/>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按照预算规定的项目和用途严格财务审核，经费支出严格按预算规定项目的财务支出内容进行财务核算，在预算金额内严格控制费用的支出。</w:t>
            </w:r>
          </w:p>
          <w:p>
            <w:pPr>
              <w:tabs>
                <w:tab w:val="center" w:pos="4153"/>
              </w:tabs>
              <w:spacing w:line="600" w:lineRule="exact"/>
              <w:ind w:firstLine="645"/>
              <w:jc w:val="left"/>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sz w:val="32"/>
                <w:szCs w:val="32"/>
                <w:shd w:val="clear" w:color="auto" w:fill="FFFFFF"/>
              </w:rPr>
              <w:t>2、严格控制“三公经费”支出，杜绝挪用和挤占其他预算资金；进一步细化“三公经费”管理，压缩“三公经费”支出。</w:t>
            </w:r>
          </w:p>
          <w:p>
            <w:pPr>
              <w:tabs>
                <w:tab w:val="center" w:pos="4153"/>
              </w:tabs>
              <w:spacing w:line="600" w:lineRule="exact"/>
              <w:ind w:firstLine="645"/>
              <w:jc w:val="left"/>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sz w:val="32"/>
                <w:szCs w:val="32"/>
                <w:shd w:val="clear" w:color="auto" w:fill="FFFFFF"/>
              </w:rPr>
              <w:t>3、预算财务分析常态化，定期做好预算支出财务分析，做好部门整体支出预算评价工作。</w:t>
            </w:r>
          </w:p>
          <w:p>
            <w:pPr>
              <w:spacing w:line="560" w:lineRule="exact"/>
              <w:ind w:firstLine="560" w:firstLineChars="200"/>
              <w:rPr>
                <w:rFonts w:ascii="黑体" w:hAnsi="黑体" w:eastAsia="黑体" w:cs="黑体"/>
                <w:bCs/>
                <w:sz w:val="28"/>
                <w:szCs w:val="28"/>
              </w:rPr>
            </w:pPr>
          </w:p>
          <w:p>
            <w:pPr>
              <w:rPr>
                <w:rFonts w:eastAsia="楷体_GB2312"/>
                <w:bCs/>
                <w:sz w:val="28"/>
                <w:szCs w:val="28"/>
              </w:rPr>
            </w:pPr>
          </w:p>
        </w:tc>
      </w:tr>
    </w:tbl>
    <w:p>
      <w:pPr>
        <w:spacing w:line="200" w:lineRule="exact"/>
        <w:rPr>
          <w:rFonts w:eastAsia="仿宋_GB2312"/>
          <w:sz w:val="32"/>
        </w:rPr>
      </w:pPr>
      <w:bookmarkStart w:id="0" w:name="_GoBack"/>
      <w:bookmarkEnd w:id="0"/>
    </w:p>
    <w:sectPr>
      <w:footerReference r:id="rId9" w:type="default"/>
      <w:footerReference r:id="rId10"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25</w:t>
    </w:r>
    <w:r>
      <w:rPr>
        <w:sz w:val="24"/>
        <w:szCs w:val="24"/>
      </w:rPr>
      <w:fldChar w:fldCharType="end"/>
    </w:r>
    <w:r>
      <w:rPr>
        <w:rStyle w:val="7"/>
        <w:rFonts w:hint="eastAsia"/>
        <w:sz w:val="24"/>
        <w:szCs w:val="24"/>
      </w:rPr>
      <w:t xml:space="preserve"> —</w:t>
    </w:r>
  </w:p>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984D90"/>
    <w:multiLevelType w:val="singleLevel"/>
    <w:tmpl w:val="B7984D90"/>
    <w:lvl w:ilvl="0" w:tentative="0">
      <w:start w:val="1"/>
      <w:numFmt w:val="decimal"/>
      <w:suff w:val="nothing"/>
      <w:lvlText w:val="%1、"/>
      <w:lvlJc w:val="left"/>
    </w:lvl>
  </w:abstractNum>
  <w:abstractNum w:abstractNumId="1">
    <w:nsid w:val="C4FE38DC"/>
    <w:multiLevelType w:val="singleLevel"/>
    <w:tmpl w:val="C4FE38D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CE55C20"/>
    <w:rsid w:val="00106944"/>
    <w:rsid w:val="00145E9E"/>
    <w:rsid w:val="004E5740"/>
    <w:rsid w:val="00633E5E"/>
    <w:rsid w:val="00661D27"/>
    <w:rsid w:val="006D701D"/>
    <w:rsid w:val="006E070C"/>
    <w:rsid w:val="007B2063"/>
    <w:rsid w:val="00B75E42"/>
    <w:rsid w:val="00F74D97"/>
    <w:rsid w:val="083749E7"/>
    <w:rsid w:val="0DE528CD"/>
    <w:rsid w:val="18725427"/>
    <w:rsid w:val="1CEA3528"/>
    <w:rsid w:val="263C173A"/>
    <w:rsid w:val="2CA33441"/>
    <w:rsid w:val="2CE55C20"/>
    <w:rsid w:val="2F287302"/>
    <w:rsid w:val="30426D13"/>
    <w:rsid w:val="3A43255A"/>
    <w:rsid w:val="3D6201A1"/>
    <w:rsid w:val="477245B4"/>
    <w:rsid w:val="4E4F0BB0"/>
    <w:rsid w:val="58194125"/>
    <w:rsid w:val="5BE95901"/>
    <w:rsid w:val="6A0A15CD"/>
    <w:rsid w:val="6DF352BD"/>
    <w:rsid w:val="705E3E6D"/>
    <w:rsid w:val="71C1048A"/>
    <w:rsid w:val="73F35F5B"/>
    <w:rsid w:val="79C04582"/>
    <w:rsid w:val="7D1F0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character" w:customStyle="1" w:styleId="9">
    <w:name w:val="页眉 Char"/>
    <w:basedOn w:val="6"/>
    <w:link w:val="4"/>
    <w:uiPriority w:val="0"/>
    <w:rPr>
      <w:kern w:val="2"/>
      <w:sz w:val="18"/>
      <w:szCs w:val="18"/>
    </w:rPr>
  </w:style>
  <w:style w:type="paragraph"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2205</Words>
  <Characters>12571</Characters>
  <Lines>104</Lines>
  <Paragraphs>29</Paragraphs>
  <TotalTime>2</TotalTime>
  <ScaleCrop>false</ScaleCrop>
  <LinksUpToDate>false</LinksUpToDate>
  <CharactersWithSpaces>14747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2020-10-20T08:57:00Z</dcterms:created>
  <dc:creator>Administrator</dc:creator>
  <cp:lastModifiedBy>Administrator</cp:lastModifiedBy>
  <cp:lastPrinted>2019-08-12T01:11:00Z</cp:lastPrinted>
  <dcterms:modified xsi:type="dcterms:W3CDTF">2020-12-10T01:24:57Z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