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u w:val="single"/>
        </w:rPr>
        <w:t>1</w:t>
      </w:r>
      <w:r>
        <w:rPr>
          <w:rFonts w:hint="eastAsia" w:eastAsia="方正小标宋简体"/>
          <w:bCs/>
          <w:sz w:val="46"/>
          <w:szCs w:val="46"/>
          <w:u w:val="single"/>
          <w:lang w:val="en-US" w:eastAsia="zh-CN"/>
        </w:rPr>
        <w:t>9</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华容县统战部</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117001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2020</w:t>
      </w:r>
      <w:r>
        <w:rPr>
          <w:rFonts w:hint="eastAsia" w:eastAsia="仿宋_GB2312"/>
          <w:sz w:val="32"/>
        </w:rPr>
        <w:t>年</w:t>
      </w:r>
      <w:r>
        <w:rPr>
          <w:rFonts w:hint="eastAsia" w:eastAsia="仿宋_GB2312"/>
          <w:sz w:val="32"/>
          <w:lang w:val="en-US" w:eastAsia="zh-CN"/>
        </w:rPr>
        <w:t>10</w:t>
      </w:r>
      <w:r>
        <w:rPr>
          <w:rFonts w:hint="eastAsia" w:eastAsia="仿宋_GB2312"/>
          <w:sz w:val="32"/>
        </w:rPr>
        <w:t xml:space="preserve"> 月</w:t>
      </w:r>
      <w:r>
        <w:rPr>
          <w:rFonts w:hint="eastAsia" w:eastAsia="仿宋_GB2312"/>
          <w:sz w:val="32"/>
          <w:lang w:val="en-US" w:eastAsia="zh-CN"/>
        </w:rPr>
        <w:t>14</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945"/>
        <w:gridCol w:w="1245"/>
        <w:gridCol w:w="291"/>
        <w:gridCol w:w="1389"/>
        <w:gridCol w:w="1395"/>
        <w:gridCol w:w="1"/>
        <w:gridCol w:w="824"/>
        <w:gridCol w:w="840"/>
        <w:gridCol w:w="136"/>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87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唐孟朗</w:t>
            </w:r>
          </w:p>
        </w:tc>
        <w:tc>
          <w:tcPr>
            <w:tcW w:w="139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2881"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0730-4188009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87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w:t>
            </w:r>
          </w:p>
        </w:tc>
        <w:tc>
          <w:tcPr>
            <w:tcW w:w="139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2881"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25"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宋体" w:eastAsia="仿宋_GB2312" w:cs="仿宋_GB2312"/>
                <w:color w:val="000000"/>
                <w:sz w:val="24"/>
                <w:szCs w:val="24"/>
                <w:lang w:eastAsia="zh-CN"/>
              </w:rPr>
              <w:t>　　</w:t>
            </w:r>
            <w:r>
              <w:rPr>
                <w:rFonts w:hint="eastAsia" w:ascii="仿宋_GB2312" w:hAnsi="宋体" w:eastAsia="仿宋_GB2312" w:cs="仿宋_GB2312"/>
                <w:color w:val="000000"/>
                <w:sz w:val="24"/>
                <w:szCs w:val="24"/>
              </w:rPr>
              <w:t>贯彻执行贯彻执行党的民族宗教政策，依法履行民族宗教管理；贯彻执行港、澳、台有关方针、政策，宣传贯彻党和国家关于侨务工作的方针、政策和法律、法规，开展以祖国统一为重点的海外统战工作；负责党外人士的政治安排，联系县内外的工商界社团和代表人士，指导县工商联工作；开展新的社会阶层人士统战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91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val="en-US" w:eastAsia="zh-CN"/>
              </w:rPr>
              <w:t>着眼教育培养，把党外代表人士工作抓得更牢。</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val="en-US" w:eastAsia="zh-CN"/>
              </w:rPr>
              <w:t>着眼服务大局，把非公经济工作抓得更强。</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任务3：着眼和谐稳定，把民族宗教工作抓得更细。</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任务4：着眼联络交流，把对台及侨联工作抓得更实。</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任务5：着眼提升水平，把自身建设工作抓得更优。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095" w:hRule="atLeast"/>
          <w:jc w:val="center"/>
        </w:trPr>
        <w:tc>
          <w:tcPr>
            <w:tcW w:w="1654"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年度部门（单位）总体运行情况及取得的成绩</w:t>
            </w:r>
          </w:p>
        </w:tc>
        <w:tc>
          <w:tcPr>
            <w:tcW w:w="8146" w:type="dxa"/>
            <w:gridSpan w:val="12"/>
            <w:noWrap w:val="0"/>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党外代表人士队伍建设取得新进展：培训锻炼到位，制定出台《党外代表人士分级分类管理办法》；平台搭建到位，推进新的社会阶层人士联谊会和实践创新基地筹备工作；作用发挥到位，调整充实了后备干部人才库。2、非公经济领域统战工作再上新台阶：构建“亲”“清”新型政商关系，积极促进非公有制经济“两个健康”；开展“迎老乡、回故乡、建家乡”活动；助推会员企业发展。3、民族宗教工作取得新成效：法制宣传；依法管理；正面引导。4、港澳台侨统战工作呈现新局面：维护侨权侨益；开展扶贫帮困；加强自身建设，完善县域侨情信息，筹备新建侨胞之家。5</w:t>
            </w:r>
            <w:r>
              <w:rPr>
                <w:rFonts w:hint="default"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lang w:val="en-US" w:eastAsia="zh-CN"/>
              </w:rPr>
              <w:t>自身建设不断加强</w:t>
            </w:r>
            <w:r>
              <w:rPr>
                <w:rFonts w:hint="default"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lang w:val="en-US" w:eastAsia="zh-CN"/>
              </w:rPr>
              <w:t>内设</w:t>
            </w:r>
            <w:r>
              <w:rPr>
                <w:rFonts w:hint="default" w:ascii="仿宋_GB2312" w:hAnsi="仿宋_GB2312" w:eastAsia="仿宋_GB2312" w:cs="仿宋_GB2312"/>
                <w:color w:val="000000"/>
                <w:sz w:val="24"/>
                <w:lang w:val="en-US" w:eastAsia="zh-CN"/>
              </w:rPr>
              <w:t>机构进一步完善优化</w:t>
            </w:r>
            <w:r>
              <w:rPr>
                <w:rFonts w:hint="eastAsia" w:ascii="仿宋_GB2312" w:hAnsi="仿宋_GB2312" w:eastAsia="仿宋_GB2312" w:cs="仿宋_GB2312"/>
                <w:color w:val="000000"/>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158" w:type="dxa"/>
            <w:gridSpan w:val="2"/>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201" w:type="dxa"/>
            <w:gridSpan w:val="11"/>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441" w:type="dxa"/>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158"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36"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38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396"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441"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158"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435.54</w:t>
            </w:r>
          </w:p>
        </w:tc>
        <w:tc>
          <w:tcPr>
            <w:tcW w:w="1536"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89"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435.54</w:t>
            </w:r>
          </w:p>
        </w:tc>
        <w:tc>
          <w:tcPr>
            <w:tcW w:w="1396"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158"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435.54</w:t>
            </w:r>
          </w:p>
        </w:tc>
        <w:tc>
          <w:tcPr>
            <w:tcW w:w="1536"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89"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435.54</w:t>
            </w:r>
          </w:p>
        </w:tc>
        <w:tc>
          <w:tcPr>
            <w:tcW w:w="1396"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noWrap w:val="0"/>
            <w:vAlign w:val="center"/>
          </w:tcPr>
          <w:p>
            <w:pPr>
              <w:spacing w:line="320" w:lineRule="exact"/>
              <w:rPr>
                <w:rFonts w:hint="eastAsia" w:ascii="仿宋_GB2312" w:hAnsi="仿宋_GB2312" w:eastAsia="仿宋_GB2312" w:cs="仿宋_GB2312"/>
                <w:sz w:val="24"/>
              </w:rPr>
            </w:pPr>
            <w:r>
              <w:rPr>
                <w:rFonts w:hint="eastAsia" w:ascii="仿宋_GB2312" w:hAnsi="Calibri" w:eastAsia="仿宋_GB2312" w:cs="仿宋_GB2312"/>
                <w:color w:val="auto"/>
                <w:sz w:val="24"/>
                <w:szCs w:val="24"/>
              </w:rPr>
              <w:t>2、二级机构1</w:t>
            </w:r>
          </w:p>
        </w:tc>
        <w:tc>
          <w:tcPr>
            <w:tcW w:w="1158"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536"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8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96"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noWrap w:val="0"/>
            <w:vAlign w:val="center"/>
          </w:tcPr>
          <w:p>
            <w:pPr>
              <w:spacing w:line="320" w:lineRule="exact"/>
              <w:rPr>
                <w:rFonts w:hint="eastAsia" w:ascii="仿宋_GB2312" w:hAnsi="Calibri" w:eastAsia="仿宋_GB2312" w:cs="仿宋_GB2312"/>
                <w:color w:val="auto"/>
                <w:sz w:val="24"/>
                <w:szCs w:val="24"/>
                <w:lang w:eastAsia="zh-CN"/>
              </w:rPr>
            </w:pPr>
            <w:r>
              <w:rPr>
                <w:rFonts w:hint="eastAsia" w:ascii="仿宋_GB2312" w:hAnsi="Calibri" w:eastAsia="仿宋_GB2312" w:cs="仿宋_GB2312"/>
                <w:color w:val="auto"/>
                <w:sz w:val="24"/>
                <w:szCs w:val="24"/>
                <w:lang w:val="en-US" w:eastAsia="zh-CN"/>
              </w:rPr>
              <w:t>3</w:t>
            </w:r>
            <w:r>
              <w:rPr>
                <w:rFonts w:hint="eastAsia" w:ascii="仿宋_GB2312" w:hAnsi="Calibri" w:eastAsia="仿宋_GB2312" w:cs="仿宋_GB2312"/>
                <w:color w:val="auto"/>
                <w:sz w:val="24"/>
                <w:szCs w:val="24"/>
              </w:rPr>
              <w:t>、二级机构</w:t>
            </w:r>
            <w:r>
              <w:rPr>
                <w:rFonts w:hint="eastAsia" w:ascii="仿宋_GB2312" w:hAnsi="Calibri" w:eastAsia="仿宋_GB2312" w:cs="仿宋_GB2312"/>
                <w:color w:val="auto"/>
                <w:sz w:val="24"/>
                <w:szCs w:val="24"/>
                <w:lang w:val="en-US" w:eastAsia="zh-CN"/>
              </w:rPr>
              <w:t>2</w:t>
            </w:r>
          </w:p>
        </w:tc>
        <w:tc>
          <w:tcPr>
            <w:tcW w:w="1158"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536"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8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96"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158" w:type="dxa"/>
            <w:gridSpan w:val="2"/>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985" w:type="dxa"/>
            <w:gridSpan w:val="7"/>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216"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vMerge w:val="continue"/>
            <w:noWrap w:val="0"/>
            <w:vAlign w:val="center"/>
          </w:tcPr>
          <w:p>
            <w:pPr>
              <w:spacing w:line="320" w:lineRule="exact"/>
              <w:jc w:val="center"/>
              <w:rPr>
                <w:rFonts w:hint="eastAsia" w:ascii="仿宋_GB2312" w:hAnsi="仿宋_GB2312" w:eastAsia="仿宋_GB2312" w:cs="仿宋_GB2312"/>
                <w:sz w:val="24"/>
              </w:rPr>
            </w:pPr>
          </w:p>
        </w:tc>
        <w:tc>
          <w:tcPr>
            <w:tcW w:w="1158"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36"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609" w:type="dxa"/>
            <w:gridSpan w:val="4"/>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84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591"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vMerge w:val="continue"/>
            <w:noWrap w:val="0"/>
            <w:vAlign w:val="center"/>
          </w:tcPr>
          <w:p>
            <w:pPr>
              <w:spacing w:line="320" w:lineRule="exact"/>
              <w:jc w:val="center"/>
              <w:rPr>
                <w:rFonts w:hint="eastAsia" w:ascii="仿宋_GB2312" w:hAnsi="仿宋_GB2312" w:eastAsia="仿宋_GB2312" w:cs="仿宋_GB2312"/>
                <w:sz w:val="24"/>
              </w:rPr>
            </w:pPr>
          </w:p>
        </w:tc>
        <w:tc>
          <w:tcPr>
            <w:tcW w:w="1158"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36"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8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22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84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591"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441" w:type="dxa"/>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158"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435.54</w:t>
            </w:r>
          </w:p>
        </w:tc>
        <w:tc>
          <w:tcPr>
            <w:tcW w:w="1536"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365.36</w:t>
            </w:r>
          </w:p>
        </w:tc>
        <w:tc>
          <w:tcPr>
            <w:tcW w:w="1389"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292.54</w:t>
            </w:r>
          </w:p>
        </w:tc>
        <w:tc>
          <w:tcPr>
            <w:tcW w:w="222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72.82</w:t>
            </w:r>
          </w:p>
        </w:tc>
        <w:tc>
          <w:tcPr>
            <w:tcW w:w="84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70.18</w:t>
            </w:r>
          </w:p>
        </w:tc>
        <w:tc>
          <w:tcPr>
            <w:tcW w:w="591"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158"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435.54</w:t>
            </w:r>
          </w:p>
        </w:tc>
        <w:tc>
          <w:tcPr>
            <w:tcW w:w="1536"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365.36</w:t>
            </w:r>
          </w:p>
        </w:tc>
        <w:tc>
          <w:tcPr>
            <w:tcW w:w="1389"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292.54</w:t>
            </w:r>
          </w:p>
        </w:tc>
        <w:tc>
          <w:tcPr>
            <w:tcW w:w="222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72.82</w:t>
            </w:r>
          </w:p>
        </w:tc>
        <w:tc>
          <w:tcPr>
            <w:tcW w:w="84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70.18</w:t>
            </w:r>
          </w:p>
        </w:tc>
        <w:tc>
          <w:tcPr>
            <w:tcW w:w="591"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Calibri" w:eastAsia="仿宋_GB2312" w:cs="仿宋_GB2312"/>
                <w:color w:val="auto"/>
                <w:sz w:val="24"/>
                <w:szCs w:val="24"/>
              </w:rPr>
              <w:t>2、二级机构1</w:t>
            </w:r>
          </w:p>
        </w:tc>
        <w:tc>
          <w:tcPr>
            <w:tcW w:w="1158"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536"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8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22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84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591"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noWrap w:val="0"/>
            <w:vAlign w:val="center"/>
          </w:tcPr>
          <w:p>
            <w:pPr>
              <w:spacing w:line="320" w:lineRule="exact"/>
              <w:rPr>
                <w:rFonts w:hint="eastAsia" w:ascii="仿宋_GB2312" w:hAnsi="Calibri" w:eastAsia="仿宋_GB2312" w:cs="仿宋_GB2312"/>
                <w:color w:val="auto"/>
                <w:kern w:val="2"/>
                <w:sz w:val="24"/>
                <w:szCs w:val="24"/>
                <w:lang w:val="en-US" w:eastAsia="zh-CN" w:bidi="ar-SA"/>
              </w:rPr>
            </w:pPr>
            <w:r>
              <w:rPr>
                <w:rFonts w:hint="eastAsia" w:ascii="仿宋_GB2312" w:hAnsi="Calibri" w:eastAsia="仿宋_GB2312" w:cs="仿宋_GB2312"/>
                <w:color w:val="auto"/>
                <w:sz w:val="24"/>
                <w:szCs w:val="24"/>
                <w:lang w:val="en-US" w:eastAsia="zh-CN"/>
              </w:rPr>
              <w:t>3</w:t>
            </w:r>
            <w:r>
              <w:rPr>
                <w:rFonts w:hint="eastAsia" w:ascii="仿宋_GB2312" w:hAnsi="Calibri" w:eastAsia="仿宋_GB2312" w:cs="仿宋_GB2312"/>
                <w:color w:val="auto"/>
                <w:sz w:val="24"/>
                <w:szCs w:val="24"/>
              </w:rPr>
              <w:t>、二级机构</w:t>
            </w:r>
            <w:r>
              <w:rPr>
                <w:rFonts w:hint="eastAsia" w:ascii="仿宋_GB2312" w:hAnsi="Calibri" w:eastAsia="仿宋_GB2312" w:cs="仿宋_GB2312"/>
                <w:color w:val="auto"/>
                <w:sz w:val="24"/>
                <w:szCs w:val="24"/>
                <w:lang w:val="en-US" w:eastAsia="zh-CN"/>
              </w:rPr>
              <w:t>2</w:t>
            </w:r>
          </w:p>
        </w:tc>
        <w:tc>
          <w:tcPr>
            <w:tcW w:w="1158"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536"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8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22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84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591"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158" w:type="dxa"/>
            <w:gridSpan w:val="2"/>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201" w:type="dxa"/>
            <w:gridSpan w:val="11"/>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vMerge w:val="continue"/>
            <w:noWrap w:val="0"/>
            <w:vAlign w:val="center"/>
          </w:tcPr>
          <w:p>
            <w:pPr>
              <w:spacing w:line="320" w:lineRule="exact"/>
              <w:jc w:val="center"/>
              <w:rPr>
                <w:rFonts w:hint="eastAsia" w:ascii="仿宋_GB2312" w:hAnsi="仿宋_GB2312" w:eastAsia="仿宋_GB2312" w:cs="仿宋_GB2312"/>
                <w:sz w:val="24"/>
              </w:rPr>
            </w:pPr>
          </w:p>
        </w:tc>
        <w:tc>
          <w:tcPr>
            <w:tcW w:w="1158"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536"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38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22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056"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441" w:type="dxa"/>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158"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w:t>
            </w:r>
          </w:p>
        </w:tc>
        <w:tc>
          <w:tcPr>
            <w:tcW w:w="1536"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w:t>
            </w:r>
          </w:p>
        </w:tc>
        <w:tc>
          <w:tcPr>
            <w:tcW w:w="138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22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056"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158"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w:t>
            </w:r>
          </w:p>
        </w:tc>
        <w:tc>
          <w:tcPr>
            <w:tcW w:w="1536"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3.4</w:t>
            </w:r>
          </w:p>
        </w:tc>
        <w:tc>
          <w:tcPr>
            <w:tcW w:w="138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22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056"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Calibri" w:eastAsia="仿宋_GB2312" w:cs="仿宋_GB2312"/>
                <w:color w:val="auto"/>
                <w:sz w:val="24"/>
                <w:szCs w:val="24"/>
              </w:rPr>
              <w:t>2、二级机构1</w:t>
            </w:r>
          </w:p>
        </w:tc>
        <w:tc>
          <w:tcPr>
            <w:tcW w:w="1158"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536"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8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22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056"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441" w:type="dxa"/>
            <w:noWrap w:val="0"/>
            <w:vAlign w:val="center"/>
          </w:tcPr>
          <w:p>
            <w:pPr>
              <w:spacing w:line="320" w:lineRule="exact"/>
              <w:rPr>
                <w:rFonts w:hint="eastAsia" w:ascii="仿宋_GB2312" w:hAnsi="Calibri" w:eastAsia="仿宋_GB2312" w:cs="仿宋_GB2312"/>
                <w:color w:val="auto"/>
                <w:kern w:val="2"/>
                <w:sz w:val="24"/>
                <w:szCs w:val="24"/>
                <w:lang w:val="en-US" w:eastAsia="zh-CN" w:bidi="ar-SA"/>
              </w:rPr>
            </w:pPr>
            <w:r>
              <w:rPr>
                <w:rFonts w:hint="eastAsia" w:ascii="仿宋_GB2312" w:hAnsi="Calibri" w:eastAsia="仿宋_GB2312" w:cs="仿宋_GB2312"/>
                <w:color w:val="auto"/>
                <w:sz w:val="24"/>
                <w:szCs w:val="24"/>
                <w:lang w:val="en-US" w:eastAsia="zh-CN"/>
              </w:rPr>
              <w:t>3</w:t>
            </w:r>
            <w:r>
              <w:rPr>
                <w:rFonts w:hint="eastAsia" w:ascii="仿宋_GB2312" w:hAnsi="Calibri" w:eastAsia="仿宋_GB2312" w:cs="仿宋_GB2312"/>
                <w:color w:val="auto"/>
                <w:sz w:val="24"/>
                <w:szCs w:val="24"/>
              </w:rPr>
              <w:t>、二级机构</w:t>
            </w:r>
            <w:r>
              <w:rPr>
                <w:rFonts w:hint="eastAsia" w:ascii="仿宋_GB2312" w:hAnsi="Calibri" w:eastAsia="仿宋_GB2312" w:cs="仿宋_GB2312"/>
                <w:color w:val="auto"/>
                <w:sz w:val="24"/>
                <w:szCs w:val="24"/>
                <w:lang w:val="en-US" w:eastAsia="zh-CN"/>
              </w:rPr>
              <w:t>2</w:t>
            </w:r>
          </w:p>
        </w:tc>
        <w:tc>
          <w:tcPr>
            <w:tcW w:w="1158"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536"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8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22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056"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9" w:hRule="atLeast"/>
          <w:jc w:val="center"/>
        </w:trPr>
        <w:tc>
          <w:tcPr>
            <w:tcW w:w="1441" w:type="dxa"/>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158" w:type="dxa"/>
            <w:gridSpan w:val="2"/>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260" w:type="dxa"/>
            <w:gridSpan w:val="9"/>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9" w:hRule="atLeast"/>
          <w:jc w:val="center"/>
        </w:trPr>
        <w:tc>
          <w:tcPr>
            <w:tcW w:w="1441" w:type="dxa"/>
            <w:vMerge w:val="continue"/>
            <w:noWrap w:val="0"/>
            <w:vAlign w:val="center"/>
          </w:tcPr>
          <w:p>
            <w:pPr>
              <w:spacing w:line="320" w:lineRule="exact"/>
              <w:jc w:val="center"/>
              <w:rPr>
                <w:rFonts w:hint="eastAsia" w:ascii="仿宋_GB2312" w:hAnsi="仿宋_GB2312" w:eastAsia="仿宋_GB2312" w:cs="仿宋_GB2312"/>
                <w:sz w:val="24"/>
              </w:rPr>
            </w:pPr>
          </w:p>
        </w:tc>
        <w:tc>
          <w:tcPr>
            <w:tcW w:w="1158" w:type="dxa"/>
            <w:gridSpan w:val="2"/>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925" w:type="dxa"/>
            <w:gridSpan w:val="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335" w:type="dxa"/>
            <w:gridSpan w:val="6"/>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0" w:hRule="atLeast"/>
          <w:jc w:val="center"/>
        </w:trPr>
        <w:tc>
          <w:tcPr>
            <w:tcW w:w="1441" w:type="dxa"/>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158"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12.74</w:t>
            </w:r>
          </w:p>
        </w:tc>
        <w:tc>
          <w:tcPr>
            <w:tcW w:w="2925" w:type="dxa"/>
            <w:gridSpan w:val="3"/>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12.74</w:t>
            </w:r>
          </w:p>
        </w:tc>
        <w:tc>
          <w:tcPr>
            <w:tcW w:w="333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9" w:hRule="atLeast"/>
          <w:jc w:val="center"/>
        </w:trPr>
        <w:tc>
          <w:tcPr>
            <w:tcW w:w="1441" w:type="dxa"/>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158" w:type="dxa"/>
            <w:gridSpan w:val="2"/>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12.74</w:t>
            </w:r>
          </w:p>
        </w:tc>
        <w:tc>
          <w:tcPr>
            <w:tcW w:w="2925" w:type="dxa"/>
            <w:gridSpan w:val="3"/>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12.74</w:t>
            </w:r>
          </w:p>
        </w:tc>
        <w:tc>
          <w:tcPr>
            <w:tcW w:w="333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9" w:hRule="atLeast"/>
          <w:jc w:val="center"/>
        </w:trPr>
        <w:tc>
          <w:tcPr>
            <w:tcW w:w="1441" w:type="dxa"/>
            <w:noWrap w:val="0"/>
            <w:vAlign w:val="center"/>
          </w:tcPr>
          <w:p>
            <w:pPr>
              <w:spacing w:line="320" w:lineRule="exact"/>
              <w:rPr>
                <w:rFonts w:hint="eastAsia" w:ascii="仿宋_GB2312" w:hAnsi="仿宋_GB2312" w:eastAsia="仿宋_GB2312" w:cs="仿宋_GB2312"/>
                <w:kern w:val="2"/>
                <w:sz w:val="24"/>
                <w:szCs w:val="24"/>
                <w:lang w:val="en-US" w:eastAsia="zh-CN" w:bidi="ar-SA"/>
              </w:rPr>
            </w:pPr>
            <w:r>
              <w:rPr>
                <w:rFonts w:hint="eastAsia" w:ascii="仿宋_GB2312" w:hAnsi="Calibri" w:eastAsia="仿宋_GB2312" w:cs="仿宋_GB2312"/>
                <w:color w:val="auto"/>
                <w:sz w:val="24"/>
                <w:szCs w:val="24"/>
              </w:rPr>
              <w:t>2、二级机构1</w:t>
            </w:r>
          </w:p>
        </w:tc>
        <w:tc>
          <w:tcPr>
            <w:tcW w:w="1158"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2925" w:type="dxa"/>
            <w:gridSpan w:val="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333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9" w:hRule="atLeast"/>
          <w:jc w:val="center"/>
        </w:trPr>
        <w:tc>
          <w:tcPr>
            <w:tcW w:w="1441" w:type="dxa"/>
            <w:noWrap w:val="0"/>
            <w:vAlign w:val="center"/>
          </w:tcPr>
          <w:p>
            <w:pPr>
              <w:spacing w:line="320" w:lineRule="exact"/>
              <w:rPr>
                <w:rFonts w:hint="eastAsia" w:ascii="仿宋_GB2312" w:hAnsi="Calibri" w:eastAsia="仿宋_GB2312" w:cs="仿宋_GB2312"/>
                <w:color w:val="auto"/>
                <w:kern w:val="2"/>
                <w:sz w:val="24"/>
                <w:szCs w:val="24"/>
                <w:lang w:val="en-US" w:eastAsia="zh-CN" w:bidi="ar-SA"/>
              </w:rPr>
            </w:pPr>
            <w:r>
              <w:rPr>
                <w:rFonts w:hint="eastAsia" w:ascii="仿宋_GB2312" w:hAnsi="Calibri" w:eastAsia="仿宋_GB2312" w:cs="仿宋_GB2312"/>
                <w:color w:val="auto"/>
                <w:sz w:val="24"/>
                <w:szCs w:val="24"/>
                <w:lang w:val="en-US" w:eastAsia="zh-CN"/>
              </w:rPr>
              <w:t>3</w:t>
            </w:r>
            <w:r>
              <w:rPr>
                <w:rFonts w:hint="eastAsia" w:ascii="仿宋_GB2312" w:hAnsi="Calibri" w:eastAsia="仿宋_GB2312" w:cs="仿宋_GB2312"/>
                <w:color w:val="auto"/>
                <w:sz w:val="24"/>
                <w:szCs w:val="24"/>
              </w:rPr>
              <w:t>、二级机构</w:t>
            </w:r>
            <w:r>
              <w:rPr>
                <w:rFonts w:hint="eastAsia" w:ascii="仿宋_GB2312" w:hAnsi="Calibri" w:eastAsia="仿宋_GB2312" w:cs="仿宋_GB2312"/>
                <w:color w:val="auto"/>
                <w:sz w:val="24"/>
                <w:szCs w:val="24"/>
                <w:lang w:val="en-US" w:eastAsia="zh-CN"/>
              </w:rPr>
              <w:t>2</w:t>
            </w:r>
          </w:p>
        </w:tc>
        <w:tc>
          <w:tcPr>
            <w:tcW w:w="1158" w:type="dxa"/>
            <w:gridSpan w:val="2"/>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2925" w:type="dxa"/>
            <w:gridSpan w:val="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3335"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4083"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27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1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4083"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val="en-US" w:eastAsia="zh-CN"/>
              </w:rPr>
              <w:t>着眼教育培养，把党外代表人士工作抓得更牢。</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val="en-US" w:eastAsia="zh-CN"/>
              </w:rPr>
              <w:t>着眼服务大局，把非公经济工作抓得更强。</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任务3：着眼和谐稳定，把民族宗教工作抓得更细。</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任务4：着眼联络交流，把对台及侨联工作抓得更实。</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任务5：着眼提升水平，把自身建设工作抓得更优。</w:t>
            </w:r>
          </w:p>
        </w:tc>
        <w:tc>
          <w:tcPr>
            <w:tcW w:w="4276" w:type="dxa"/>
            <w:gridSpan w:val="8"/>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党外代表人士队伍建设取得新进展：培训锻炼到位，制定出台《党外代表人士分级分类管理办法》；平台搭建到位，推进新的社会阶层人士联谊会和实践创新基地筹备工作；作用发挥到位，调整充实了后备干部人才库。2、非公经济领域统战工作再上新台阶：构建“亲”“清”新型政商关系，积极促进非公有制经济“两个健康”；开展“迎老乡、回故乡、建家乡”活动；助推会员企业发展。3、民族宗教工作取得新成效：法制宣传；依法管理；正面引导。4、港澳台侨统战工作呈现新局面：维护侨权侨益；开展扶贫帮困；加强自身建设，完善县域侨情信息，筹备新建侨胞之家。5</w:t>
            </w:r>
            <w:r>
              <w:rPr>
                <w:rFonts w:hint="default"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lang w:val="en-US" w:eastAsia="zh-CN"/>
              </w:rPr>
              <w:t>自身建设不断加强</w:t>
            </w:r>
            <w:r>
              <w:rPr>
                <w:rFonts w:hint="default"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lang w:val="en-US" w:eastAsia="zh-CN"/>
              </w:rPr>
              <w:t>内设</w:t>
            </w:r>
            <w:r>
              <w:rPr>
                <w:rFonts w:hint="default" w:ascii="仿宋_GB2312" w:hAnsi="仿宋_GB2312" w:eastAsia="仿宋_GB2312" w:cs="仿宋_GB2312"/>
                <w:color w:val="000000"/>
                <w:sz w:val="24"/>
                <w:lang w:val="en-US" w:eastAsia="zh-CN"/>
              </w:rPr>
              <w:t>机构进一步完善优化</w:t>
            </w:r>
            <w:r>
              <w:rPr>
                <w:rFonts w:hint="eastAsia" w:ascii="仿宋_GB2312" w:hAnsi="仿宋_GB2312" w:eastAsia="仿宋_GB2312" w:cs="仿宋_GB2312"/>
                <w:color w:val="000000"/>
                <w:sz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403"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390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056"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8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158"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245"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3900" w:type="dxa"/>
            <w:gridSpan w:val="5"/>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center"/>
              <w:rPr>
                <w:rFonts w:hint="eastAsia" w:ascii="仿宋_GB2312" w:hAnsi="仿宋_GB2312" w:eastAsia="仿宋_GB2312" w:cs="仿宋_GB2312"/>
                <w:color w:val="000000"/>
                <w:sz w:val="24"/>
                <w:lang w:eastAsia="zh-CN"/>
              </w:rPr>
            </w:pPr>
            <w:r>
              <w:rPr>
                <w:rFonts w:hint="eastAsia" w:ascii="仿宋_GB2312" w:hAnsi="Calibri" w:eastAsia="仿宋_GB2312" w:cs="仿宋_GB2312"/>
                <w:color w:val="000000"/>
                <w:sz w:val="24"/>
                <w:szCs w:val="24"/>
                <w:lang w:eastAsia="zh-CN"/>
              </w:rPr>
              <w:t>全面履行</w:t>
            </w:r>
            <w:r>
              <w:rPr>
                <w:rFonts w:hint="eastAsia" w:ascii="仿宋_GB2312" w:hAnsi="Calibri" w:eastAsia="仿宋_GB2312" w:cs="仿宋_GB2312"/>
                <w:color w:val="000000"/>
                <w:sz w:val="24"/>
                <w:szCs w:val="24"/>
              </w:rPr>
              <w:t>统战部门职责，助推</w:t>
            </w:r>
            <w:r>
              <w:rPr>
                <w:rFonts w:hint="eastAsia" w:ascii="仿宋_GB2312" w:hAnsi="Calibri" w:eastAsia="仿宋_GB2312" w:cs="仿宋_GB2312"/>
                <w:color w:val="000000"/>
                <w:sz w:val="24"/>
                <w:szCs w:val="24"/>
                <w:lang w:eastAsia="zh-CN"/>
              </w:rPr>
              <w:t>经济</w:t>
            </w:r>
            <w:r>
              <w:rPr>
                <w:rFonts w:hint="eastAsia" w:ascii="仿宋_GB2312" w:hAnsi="Calibri" w:eastAsia="仿宋_GB2312" w:cs="仿宋_GB2312"/>
                <w:color w:val="000000"/>
                <w:sz w:val="24"/>
                <w:szCs w:val="24"/>
              </w:rPr>
              <w:t>社会发展</w:t>
            </w:r>
            <w:r>
              <w:rPr>
                <w:rFonts w:hint="eastAsia" w:ascii="仿宋_GB2312" w:hAnsi="Calibri" w:eastAsia="仿宋_GB2312" w:cs="仿宋_GB2312"/>
                <w:color w:val="000000"/>
                <w:sz w:val="24"/>
                <w:szCs w:val="24"/>
                <w:lang w:eastAsia="zh-CN"/>
              </w:rPr>
              <w:t>，统战地位进一步提升，社会影响进一步扩大。</w:t>
            </w:r>
          </w:p>
        </w:tc>
        <w:tc>
          <w:tcPr>
            <w:tcW w:w="2056" w:type="dxa"/>
            <w:gridSpan w:val="5"/>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158" w:type="dxa"/>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1245" w:type="dxa"/>
            <w:vMerge w:val="continue"/>
            <w:noWrap w:val="0"/>
            <w:vAlign w:val="center"/>
          </w:tcPr>
          <w:p>
            <w:pPr>
              <w:spacing w:line="320" w:lineRule="exact"/>
              <w:rPr>
                <w:rFonts w:hint="eastAsia" w:ascii="仿宋_GB2312" w:hAnsi="仿宋_GB2312" w:eastAsia="仿宋_GB2312" w:cs="仿宋_GB2312"/>
                <w:sz w:val="24"/>
              </w:rPr>
            </w:pPr>
          </w:p>
        </w:tc>
        <w:tc>
          <w:tcPr>
            <w:tcW w:w="3900" w:type="dxa"/>
            <w:gridSpan w:val="5"/>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both"/>
              <w:textAlignment w:val="center"/>
              <w:rPr>
                <w:rFonts w:hint="eastAsia" w:ascii="仿宋_GB2312" w:hAnsi="仿宋_GB2312" w:eastAsia="仿宋_GB2312" w:cs="仿宋_GB2312"/>
                <w:color w:val="000000"/>
                <w:sz w:val="24"/>
                <w:lang w:eastAsia="zh-CN"/>
              </w:rPr>
            </w:pPr>
            <w:r>
              <w:rPr>
                <w:rFonts w:hint="eastAsia" w:ascii="仿宋_GB2312" w:hAnsi="Calibri" w:eastAsia="仿宋_GB2312" w:cs="仿宋_GB2312"/>
                <w:color w:val="000000"/>
                <w:sz w:val="24"/>
                <w:szCs w:val="24"/>
              </w:rPr>
              <w:t>确保市</w:t>
            </w:r>
            <w:r>
              <w:rPr>
                <w:rFonts w:hint="eastAsia" w:ascii="仿宋_GB2312" w:hAnsi="Calibri" w:eastAsia="仿宋_GB2312" w:cs="仿宋_GB2312"/>
                <w:color w:val="000000"/>
                <w:sz w:val="24"/>
                <w:szCs w:val="24"/>
                <w:lang w:eastAsia="zh-CN"/>
              </w:rPr>
              <w:t>县</w:t>
            </w:r>
            <w:r>
              <w:rPr>
                <w:rFonts w:hint="eastAsia" w:ascii="仿宋_GB2312" w:hAnsi="Calibri" w:eastAsia="仿宋_GB2312" w:cs="仿宋_GB2312"/>
                <w:color w:val="000000"/>
                <w:sz w:val="24"/>
                <w:szCs w:val="24"/>
              </w:rPr>
              <w:t>绩效考评项目</w:t>
            </w:r>
            <w:r>
              <w:rPr>
                <w:rFonts w:hint="eastAsia" w:ascii="仿宋_GB2312" w:hAnsi="Calibri" w:eastAsia="仿宋_GB2312" w:cs="仿宋_GB2312"/>
                <w:color w:val="000000"/>
                <w:sz w:val="24"/>
                <w:szCs w:val="24"/>
                <w:lang w:eastAsia="zh-CN"/>
              </w:rPr>
              <w:t>的完成。</w:t>
            </w:r>
          </w:p>
        </w:tc>
        <w:tc>
          <w:tcPr>
            <w:tcW w:w="2056"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158" w:type="dxa"/>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1245"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3900" w:type="dxa"/>
            <w:gridSpan w:val="5"/>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w:t>
            </w:r>
            <w:r>
              <w:rPr>
                <w:rFonts w:hint="eastAsia" w:ascii="仿宋_GB2312" w:hAnsi="仿宋_GB2312" w:eastAsia="仿宋_GB2312" w:cs="仿宋_GB2312"/>
                <w:color w:val="000000"/>
                <w:sz w:val="24"/>
                <w:lang w:eastAsia="zh-CN"/>
              </w:rPr>
              <w:t>党外代表人士队伍建设：培训讲座</w:t>
            </w:r>
            <w:r>
              <w:rPr>
                <w:rFonts w:hint="eastAsia" w:ascii="仿宋_GB2312" w:hAnsi="仿宋_GB2312" w:eastAsia="仿宋_GB2312" w:cs="仿宋_GB2312"/>
                <w:color w:val="000000"/>
                <w:sz w:val="24"/>
                <w:lang w:val="en-US" w:eastAsia="zh-CN"/>
              </w:rPr>
              <w:t>4次，受训人员180余人；举办暑期谈心活动；建立党外知识分子人才库140人，建立完善党外后备干部人才；召开座谈会6次，情况通报会2次，提拔重用党外干部4人</w:t>
            </w:r>
          </w:p>
        </w:tc>
        <w:tc>
          <w:tcPr>
            <w:tcW w:w="2056" w:type="dxa"/>
            <w:gridSpan w:val="5"/>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158" w:type="dxa"/>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1245" w:type="dxa"/>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900" w:type="dxa"/>
            <w:gridSpan w:val="5"/>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w:t>
            </w:r>
            <w:r>
              <w:rPr>
                <w:rFonts w:hint="eastAsia" w:ascii="仿宋_GB2312" w:hAnsi="仿宋_GB2312" w:eastAsia="仿宋_GB2312" w:cs="仿宋_GB2312"/>
                <w:color w:val="000000"/>
                <w:sz w:val="24"/>
                <w:lang w:eastAsia="zh-CN"/>
              </w:rPr>
              <w:t>非公经济领域统战工作：企业商会帮扶贫困学生</w:t>
            </w:r>
            <w:r>
              <w:rPr>
                <w:rFonts w:hint="eastAsia" w:ascii="仿宋_GB2312" w:hAnsi="仿宋_GB2312" w:eastAsia="仿宋_GB2312" w:cs="仿宋_GB2312"/>
                <w:color w:val="000000"/>
                <w:sz w:val="24"/>
                <w:lang w:val="en-US" w:eastAsia="zh-CN"/>
              </w:rPr>
              <w:t>100名，帮扶资金20万元；30家非公企业对接帮扶28个重点贫困村，帮扶资金1000万元。每月2次以上的会员企业走访，异地商会企业走访本土企业，为会员提供有价值信息50余条；为会员协调和解决困难和矛盾近100人次。</w:t>
            </w:r>
          </w:p>
        </w:tc>
        <w:tc>
          <w:tcPr>
            <w:tcW w:w="2056"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5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158" w:type="dxa"/>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1245" w:type="dxa"/>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900" w:type="dxa"/>
            <w:gridSpan w:val="5"/>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w:t>
            </w:r>
            <w:r>
              <w:rPr>
                <w:rFonts w:hint="eastAsia" w:ascii="仿宋_GB2312" w:hAnsi="仿宋_GB2312" w:eastAsia="仿宋_GB2312" w:cs="仿宋_GB2312"/>
                <w:color w:val="000000"/>
                <w:sz w:val="24"/>
                <w:lang w:eastAsia="zh-CN"/>
              </w:rPr>
              <w:t>民族宗教工作：参加宗教政策法规学习和测试的人数达</w:t>
            </w:r>
            <w:r>
              <w:rPr>
                <w:rFonts w:hint="eastAsia" w:ascii="仿宋_GB2312" w:hAnsi="仿宋_GB2312" w:eastAsia="仿宋_GB2312" w:cs="仿宋_GB2312"/>
                <w:color w:val="000000"/>
                <w:sz w:val="24"/>
                <w:lang w:val="en-US" w:eastAsia="zh-CN"/>
              </w:rPr>
              <w:t>500人次，举办培训班4期，培训人次1000人，发放宗教政策法规资料3.5万份，制定相关制度，开展谈心谈话350人次，收集意见建议100条，宗教界累计捐款10万，资助贫困学生110人。</w:t>
            </w:r>
          </w:p>
        </w:tc>
        <w:tc>
          <w:tcPr>
            <w:tcW w:w="2056"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4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158" w:type="dxa"/>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1245" w:type="dxa"/>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900" w:type="dxa"/>
            <w:gridSpan w:val="5"/>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lang w:eastAsia="zh-CN"/>
              </w:rPr>
              <w:t>港澳台侨工作：开展侨法宣传</w:t>
            </w:r>
            <w:r>
              <w:rPr>
                <w:rFonts w:hint="eastAsia" w:ascii="仿宋_GB2312" w:hAnsi="仿宋_GB2312" w:eastAsia="仿宋_GB2312" w:cs="仿宋_GB2312"/>
                <w:color w:val="000000"/>
                <w:sz w:val="24"/>
                <w:lang w:val="en-US" w:eastAsia="zh-CN"/>
              </w:rPr>
              <w:t>14场，宣传资料4000份。</w:t>
            </w:r>
          </w:p>
        </w:tc>
        <w:tc>
          <w:tcPr>
            <w:tcW w:w="2056"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158" w:type="dxa"/>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124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3900"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Calibri" w:eastAsia="仿宋_GB2312" w:cs="仿宋_GB2312"/>
                <w:color w:val="000000"/>
                <w:sz w:val="24"/>
                <w:szCs w:val="24"/>
              </w:rPr>
              <w:t>年底前完成</w:t>
            </w:r>
            <w:bookmarkStart w:id="0" w:name="_GoBack"/>
            <w:bookmarkEnd w:id="0"/>
          </w:p>
        </w:tc>
        <w:tc>
          <w:tcPr>
            <w:tcW w:w="2056"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Calibri" w:eastAsia="仿宋_GB2312" w:cs="仿宋_GB2312"/>
                <w:color w:val="000000"/>
                <w:sz w:val="24"/>
                <w:szCs w:val="24"/>
              </w:rPr>
              <w:t>已按时按质完成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9" w:hRule="atLeast"/>
          <w:jc w:val="center"/>
        </w:trPr>
        <w:tc>
          <w:tcPr>
            <w:tcW w:w="1441" w:type="dxa"/>
            <w:vMerge w:val="restart"/>
            <w:noWrap w:val="0"/>
            <w:vAlign w:val="center"/>
          </w:tcPr>
          <w:p>
            <w:pPr>
              <w:spacing w:line="320" w:lineRule="exact"/>
              <w:rPr>
                <w:rFonts w:hint="eastAsia" w:ascii="仿宋_GB2312" w:hAnsi="仿宋_GB2312" w:eastAsia="仿宋_GB2312" w:cs="仿宋_GB2312"/>
                <w:sz w:val="24"/>
              </w:rPr>
            </w:pPr>
          </w:p>
        </w:tc>
        <w:tc>
          <w:tcPr>
            <w:tcW w:w="1158" w:type="dxa"/>
            <w:gridSpan w:val="2"/>
            <w:noWrap w:val="0"/>
            <w:vAlign w:val="center"/>
          </w:tcPr>
          <w:p>
            <w:pPr>
              <w:autoSpaceDN w:val="0"/>
              <w:spacing w:line="320" w:lineRule="exact"/>
              <w:rPr>
                <w:rFonts w:hint="eastAsia" w:ascii="仿宋_GB2312" w:hAnsi="仿宋_GB2312" w:eastAsia="仿宋_GB2312" w:cs="仿宋_GB2312"/>
                <w:sz w:val="24"/>
              </w:rPr>
            </w:pPr>
          </w:p>
        </w:tc>
        <w:tc>
          <w:tcPr>
            <w:tcW w:w="124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3900" w:type="dxa"/>
            <w:gridSpan w:val="5"/>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left"/>
              <w:textAlignment w:val="center"/>
              <w:rPr>
                <w:rFonts w:hint="eastAsia" w:ascii="仿宋_GB2312" w:hAnsi="仿宋_GB2312" w:eastAsia="仿宋_GB2312" w:cs="仿宋_GB2312"/>
                <w:color w:val="000000"/>
                <w:sz w:val="24"/>
              </w:rPr>
            </w:pPr>
            <w:r>
              <w:rPr>
                <w:rFonts w:hint="eastAsia" w:ascii="仿宋_GB2312" w:hAnsi="Calibri" w:eastAsia="仿宋_GB2312" w:cs="仿宋_GB2312"/>
                <w:color w:val="000000"/>
                <w:sz w:val="24"/>
                <w:szCs w:val="24"/>
              </w:rPr>
              <w:t>全年财政整体支出</w:t>
            </w:r>
          </w:p>
        </w:tc>
        <w:tc>
          <w:tcPr>
            <w:tcW w:w="2056" w:type="dxa"/>
            <w:gridSpan w:val="5"/>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435.54</w:t>
            </w:r>
            <w:r>
              <w:rPr>
                <w:rFonts w:hint="eastAsia" w:ascii="仿宋_GB2312" w:hAnsi="Calibri" w:eastAsia="仿宋_GB2312" w:cs="仿宋_GB2312"/>
                <w:color w:val="000000"/>
                <w:sz w:val="24"/>
                <w:szCs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158"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24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3900" w:type="dxa"/>
            <w:gridSpan w:val="5"/>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left"/>
              <w:textAlignment w:val="center"/>
              <w:rPr>
                <w:rFonts w:hint="eastAsia" w:ascii="Calibri" w:hAnsi="Calibri" w:eastAsia="宋体" w:cs="Calibri"/>
                <w:color w:val="auto"/>
                <w:kern w:val="0"/>
                <w:sz w:val="21"/>
                <w:szCs w:val="21"/>
                <w:lang w:val="en-US" w:eastAsia="zh-CN" w:bidi="ar"/>
              </w:rPr>
            </w:pPr>
            <w:r>
              <w:rPr>
                <w:rFonts w:hint="eastAsia" w:ascii="仿宋_GB2312" w:hAnsi="Calibri" w:eastAsia="仿宋_GB2312" w:cs="仿宋_GB2312"/>
                <w:color w:val="000000"/>
                <w:sz w:val="24"/>
                <w:szCs w:val="24"/>
              </w:rPr>
              <w:t>促进五大关系和谐</w:t>
            </w:r>
          </w:p>
        </w:tc>
        <w:tc>
          <w:tcPr>
            <w:tcW w:w="2056" w:type="dxa"/>
            <w:gridSpan w:val="5"/>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center"/>
              <w:textAlignment w:val="center"/>
              <w:rPr>
                <w:rFonts w:hint="eastAsia" w:ascii="Calibri" w:hAnsi="Calibri" w:eastAsia="宋体" w:cs="Calibri"/>
                <w:color w:val="auto"/>
                <w:kern w:val="0"/>
                <w:sz w:val="21"/>
                <w:szCs w:val="21"/>
                <w:lang w:val="en-US" w:eastAsia="zh-CN" w:bidi="ar"/>
              </w:rPr>
            </w:pPr>
            <w:r>
              <w:rPr>
                <w:rFonts w:hint="eastAsia" w:ascii="仿宋_GB2312" w:hAnsi="Calibri" w:eastAsia="仿宋_GB2312" w:cs="仿宋_GB2312"/>
                <w:color w:val="000000"/>
                <w:sz w:val="24"/>
                <w:szCs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158" w:type="dxa"/>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1245"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3900" w:type="dxa"/>
            <w:gridSpan w:val="5"/>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left"/>
              <w:textAlignment w:val="center"/>
              <w:rPr>
                <w:rFonts w:hint="eastAsia" w:ascii="Calibri" w:hAnsi="Calibri" w:eastAsia="宋体" w:cs="Calibri"/>
                <w:color w:val="auto"/>
                <w:kern w:val="0"/>
                <w:sz w:val="21"/>
                <w:szCs w:val="21"/>
                <w:lang w:val="en-US" w:eastAsia="zh-CN" w:bidi="ar"/>
              </w:rPr>
            </w:pPr>
            <w:r>
              <w:rPr>
                <w:rFonts w:hint="eastAsia" w:ascii="仿宋_GB2312" w:hAnsi="Calibri" w:eastAsia="仿宋_GB2312" w:cs="仿宋_GB2312"/>
                <w:color w:val="000000"/>
                <w:sz w:val="24"/>
                <w:szCs w:val="24"/>
              </w:rPr>
              <w:t>促进县域非公经济发展；</w:t>
            </w:r>
          </w:p>
        </w:tc>
        <w:tc>
          <w:tcPr>
            <w:tcW w:w="2056" w:type="dxa"/>
            <w:gridSpan w:val="5"/>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center"/>
              <w:textAlignment w:val="center"/>
              <w:rPr>
                <w:rFonts w:hint="eastAsia" w:ascii="Calibri" w:hAnsi="Calibri" w:eastAsia="宋体" w:cs="Calibri"/>
                <w:color w:val="auto"/>
                <w:kern w:val="0"/>
                <w:sz w:val="21"/>
                <w:szCs w:val="21"/>
                <w:lang w:val="en-US" w:eastAsia="zh-CN" w:bidi="ar"/>
              </w:rPr>
            </w:pPr>
            <w:r>
              <w:rPr>
                <w:rFonts w:hint="eastAsia" w:ascii="仿宋_GB2312" w:hAnsi="Calibri" w:eastAsia="仿宋_GB2312" w:cs="仿宋_GB2312"/>
                <w:color w:val="000000"/>
                <w:sz w:val="24"/>
                <w:szCs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6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158" w:type="dxa"/>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1245" w:type="dxa"/>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900" w:type="dxa"/>
            <w:gridSpan w:val="5"/>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left"/>
              <w:textAlignment w:val="center"/>
              <w:rPr>
                <w:rFonts w:hint="eastAsia" w:ascii="Calibri" w:hAnsi="Calibri" w:eastAsia="宋体" w:cs="Calibri"/>
                <w:color w:val="auto"/>
                <w:kern w:val="0"/>
                <w:sz w:val="21"/>
                <w:szCs w:val="21"/>
                <w:lang w:val="en-US" w:eastAsia="zh-CN" w:bidi="ar"/>
              </w:rPr>
            </w:pPr>
            <w:r>
              <w:rPr>
                <w:rFonts w:hint="eastAsia" w:ascii="仿宋_GB2312" w:hAnsi="Calibri" w:eastAsia="仿宋_GB2312" w:cs="仿宋_GB2312"/>
                <w:color w:val="000000"/>
                <w:sz w:val="24"/>
                <w:szCs w:val="24"/>
              </w:rPr>
              <w:t>引导全县党外人士参与县域经济发展，非公经济发展明显</w:t>
            </w:r>
          </w:p>
        </w:tc>
        <w:tc>
          <w:tcPr>
            <w:tcW w:w="2056" w:type="dxa"/>
            <w:gridSpan w:val="5"/>
            <w:noWrap w:val="0"/>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leftChars="0" w:right="0" w:rightChars="0"/>
              <w:jc w:val="center"/>
              <w:textAlignment w:val="center"/>
              <w:rPr>
                <w:rFonts w:hint="eastAsia" w:ascii="Calibri" w:hAnsi="Calibri" w:eastAsia="宋体" w:cs="Calibri"/>
                <w:color w:val="auto"/>
                <w:kern w:val="0"/>
                <w:sz w:val="21"/>
                <w:szCs w:val="21"/>
                <w:lang w:val="en-US" w:eastAsia="zh-CN" w:bidi="ar"/>
              </w:rPr>
            </w:pPr>
            <w:r>
              <w:rPr>
                <w:rFonts w:hint="eastAsia" w:ascii="仿宋_GB2312" w:hAnsi="Calibri" w:eastAsia="仿宋_GB2312" w:cs="仿宋_GB2312"/>
                <w:color w:val="000000"/>
                <w:sz w:val="24"/>
                <w:szCs w:val="24"/>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91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158" w:type="dxa"/>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124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3900"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转变价值观念，增强服务意识，逐步满足社会公众生态需求。2：完善生态管理制度体系，协调生态环境与经济社会发展的关系，使经济社会与生态环境协调发展。3：建立健全政府生态管理创新机制，培育生态文化、学习文化、法治文化和责任文化，为公众创造良好的生存环境。</w:t>
            </w:r>
          </w:p>
        </w:tc>
        <w:tc>
          <w:tcPr>
            <w:tcW w:w="2056"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社会公众生态需求逐步满足、经济社会与生态环境协调发展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69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158" w:type="dxa"/>
            <w:gridSpan w:val="2"/>
            <w:vMerge w:val="continue"/>
            <w:noWrap w:val="0"/>
            <w:vAlign w:val="center"/>
          </w:tcPr>
          <w:p>
            <w:pPr>
              <w:autoSpaceDN w:val="0"/>
              <w:spacing w:line="320" w:lineRule="exact"/>
              <w:rPr>
                <w:rFonts w:hint="eastAsia" w:ascii="仿宋_GB2312" w:hAnsi="仿宋_GB2312" w:eastAsia="仿宋_GB2312" w:cs="仿宋_GB2312"/>
                <w:sz w:val="24"/>
              </w:rPr>
            </w:pPr>
          </w:p>
        </w:tc>
        <w:tc>
          <w:tcPr>
            <w:tcW w:w="124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3900" w:type="dxa"/>
            <w:gridSpan w:val="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1：根据社会公众的申请内容，向申请人提供依法应当或可以公开的政府信息。2：向社会公众提供法律法规及相关政策的咨询意见。</w:t>
            </w:r>
          </w:p>
        </w:tc>
        <w:tc>
          <w:tcPr>
            <w:tcW w:w="2056" w:type="dxa"/>
            <w:gridSpan w:val="5"/>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color w:val="000000"/>
                <w:sz w:val="24"/>
              </w:rPr>
              <w:t>政府信息及时有效公开、社会公众满意达96%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2" w:hRule="atLeast"/>
          <w:jc w:val="center"/>
        </w:trPr>
        <w:tc>
          <w:tcPr>
            <w:tcW w:w="259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7201" w:type="dxa"/>
            <w:gridSpan w:val="11"/>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599"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7201" w:type="dxa"/>
            <w:gridSpan w:val="11"/>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87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39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2881"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蔡丽</w:t>
            </w:r>
          </w:p>
        </w:tc>
        <w:tc>
          <w:tcPr>
            <w:tcW w:w="387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非公有制经济室主任</w:t>
            </w:r>
          </w:p>
        </w:tc>
        <w:tc>
          <w:tcPr>
            <w:tcW w:w="139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县委统战部</w:t>
            </w:r>
          </w:p>
        </w:tc>
        <w:tc>
          <w:tcPr>
            <w:tcW w:w="2881"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胡雁</w:t>
            </w:r>
          </w:p>
        </w:tc>
        <w:tc>
          <w:tcPr>
            <w:tcW w:w="387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办公室主任</w:t>
            </w:r>
          </w:p>
        </w:tc>
        <w:tc>
          <w:tcPr>
            <w:tcW w:w="139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县委统战部</w:t>
            </w:r>
          </w:p>
        </w:tc>
        <w:tc>
          <w:tcPr>
            <w:tcW w:w="2881"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王科</w:t>
            </w:r>
          </w:p>
        </w:tc>
        <w:tc>
          <w:tcPr>
            <w:tcW w:w="387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政策法规室主任</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宗教执法队长</w:t>
            </w:r>
          </w:p>
        </w:tc>
        <w:tc>
          <w:tcPr>
            <w:tcW w:w="139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县委统战部</w:t>
            </w:r>
          </w:p>
        </w:tc>
        <w:tc>
          <w:tcPr>
            <w:tcW w:w="2881"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87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95"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881"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　　　　　　　　　　　同意以上评价</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　　　　　　　　　　同意以上评价</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4"/>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w:t>
            </w:r>
          </w:p>
          <w:p>
            <w:pPr>
              <w:spacing w:line="560" w:lineRule="exact"/>
              <w:ind w:firstLine="482" w:firstLineChars="200"/>
              <w:rPr>
                <w:rFonts w:hint="eastAsia" w:ascii="宋体" w:hAnsi="宋体" w:eastAsia="宋体" w:cs="宋体"/>
                <w:b/>
                <w:bCs w:val="0"/>
                <w:sz w:val="24"/>
                <w:szCs w:val="24"/>
              </w:rPr>
            </w:pPr>
            <w:r>
              <w:rPr>
                <w:rFonts w:hint="eastAsia" w:ascii="宋体" w:hAnsi="宋体" w:eastAsia="宋体" w:cs="宋体"/>
                <w:b/>
                <w:bCs w:val="0"/>
                <w:sz w:val="24"/>
                <w:szCs w:val="24"/>
              </w:rPr>
              <w:t>一、华容县委统战部概况</w:t>
            </w:r>
          </w:p>
          <w:p>
            <w:pPr>
              <w:spacing w:line="546" w:lineRule="exact"/>
              <w:ind w:firstLine="482" w:firstLineChars="200"/>
              <w:rPr>
                <w:rFonts w:hint="eastAsia" w:ascii="宋体" w:hAnsi="宋体" w:eastAsia="宋体" w:cs="宋体"/>
                <w:b/>
                <w:bCs w:val="0"/>
                <w:sz w:val="24"/>
                <w:szCs w:val="24"/>
                <w:lang w:eastAsia="zh-CN"/>
              </w:rPr>
            </w:pPr>
            <w:r>
              <w:rPr>
                <w:rFonts w:hint="eastAsia" w:ascii="宋体" w:hAnsi="宋体" w:eastAsia="宋体" w:cs="宋体"/>
                <w:b/>
                <w:bCs w:val="0"/>
                <w:sz w:val="24"/>
                <w:szCs w:val="24"/>
              </w:rPr>
              <w:t>（一）基本情况</w:t>
            </w:r>
            <w:r>
              <w:rPr>
                <w:rFonts w:hint="eastAsia" w:ascii="宋体" w:hAnsi="宋体" w:eastAsia="宋体" w:cs="宋体"/>
                <w:b/>
                <w:bCs w:val="0"/>
                <w:sz w:val="24"/>
                <w:szCs w:val="24"/>
                <w:lang w:eastAsia="zh-CN"/>
              </w:rPr>
              <w:t>：</w:t>
            </w:r>
          </w:p>
          <w:p>
            <w:pPr>
              <w:spacing w:line="60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w:t>
            </w:r>
            <w:r>
              <w:rPr>
                <w:rFonts w:hint="eastAsia" w:ascii="仿宋_GB2312" w:hAnsi="仿宋_GB2312" w:eastAsia="仿宋_GB2312" w:cs="仿宋_GB2312"/>
                <w:b/>
                <w:bCs/>
                <w:color w:val="000000"/>
                <w:sz w:val="24"/>
                <w:lang w:val="en-US" w:eastAsia="zh-CN"/>
              </w:rPr>
              <w:t>　1、人员编制：</w:t>
            </w:r>
            <w:r>
              <w:rPr>
                <w:rFonts w:hint="eastAsia" w:ascii="仿宋_GB2312" w:hAnsi="仿宋_GB2312" w:eastAsia="仿宋_GB2312" w:cs="仿宋_GB2312"/>
                <w:color w:val="000000"/>
                <w:sz w:val="24"/>
                <w:lang w:val="en-US" w:eastAsia="zh-CN"/>
              </w:rPr>
              <w:t>机关共有人员编制23人，实有人数22人，其中行政编制14名，工勤人员2名，事业编制7人。其中：退休人员8人。</w:t>
            </w:r>
          </w:p>
          <w:p>
            <w:pPr>
              <w:spacing w:line="60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w:t>
            </w:r>
            <w:r>
              <w:rPr>
                <w:rFonts w:hint="eastAsia" w:ascii="仿宋_GB2312" w:hAnsi="仿宋_GB2312" w:eastAsia="仿宋_GB2312" w:cs="仿宋_GB2312"/>
                <w:b/>
                <w:bCs/>
                <w:color w:val="000000"/>
                <w:sz w:val="24"/>
                <w:lang w:val="en-US" w:eastAsia="zh-CN"/>
              </w:rPr>
              <w:t>　2、机构设置：</w:t>
            </w:r>
            <w:r>
              <w:rPr>
                <w:rFonts w:hint="eastAsia" w:ascii="仿宋_GB2312" w:hAnsi="仿宋_GB2312" w:eastAsia="仿宋_GB2312" w:cs="仿宋_GB2312"/>
                <w:color w:val="000000"/>
                <w:sz w:val="24"/>
                <w:lang w:val="en-US" w:eastAsia="zh-CN"/>
              </w:rPr>
              <w:t>内设职能办公室7个：办公室、干部室、民族宗教事务室、政策法规室（行政审批室）、非公有制经济工作室、党外知识分子和新的社会阶层人士统战工作室、港澳台侨统战工作室。其他机构2个：县归国华侨联合会（简称县侨联）、县宗教执法队。</w:t>
            </w:r>
          </w:p>
          <w:p>
            <w:pPr>
              <w:spacing w:line="600" w:lineRule="exact"/>
              <w:rPr>
                <w:rFonts w:hint="eastAsia" w:ascii="仿宋_GB2312" w:hAnsi="仿宋_GB2312" w:eastAsia="仿宋_GB2312" w:cs="仿宋_GB2312"/>
                <w:b/>
                <w:bCs/>
                <w:color w:val="000000"/>
                <w:sz w:val="24"/>
                <w:lang w:val="en-US" w:eastAsia="zh-CN"/>
              </w:rPr>
            </w:pPr>
            <w:r>
              <w:rPr>
                <w:rFonts w:hint="eastAsia" w:ascii="仿宋_GB2312" w:hAnsi="仿宋_GB2312" w:eastAsia="仿宋_GB2312" w:cs="仿宋_GB2312"/>
                <w:color w:val="000000"/>
                <w:sz w:val="24"/>
                <w:lang w:val="en-US" w:eastAsia="zh-CN"/>
              </w:rPr>
              <w:t>　　</w:t>
            </w:r>
            <w:r>
              <w:rPr>
                <w:rFonts w:hint="eastAsia" w:ascii="仿宋_GB2312" w:hAnsi="仿宋_GB2312" w:eastAsia="仿宋_GB2312" w:cs="仿宋_GB2312"/>
                <w:b/>
                <w:bCs/>
                <w:color w:val="000000"/>
                <w:sz w:val="24"/>
                <w:lang w:val="en-US" w:eastAsia="zh-CN"/>
              </w:rPr>
              <w:t>　2、主要工作职责如下：</w:t>
            </w:r>
          </w:p>
          <w:p>
            <w:pPr>
              <w:spacing w:line="60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1、贯彻执行党中央关于统一战线的方针、政策，调查研究统一战线理论和重大方针政策，向县委反映情况，提出全县开展统一战线工作的意见和建议。</w:t>
            </w:r>
          </w:p>
          <w:p>
            <w:pPr>
              <w:spacing w:line="60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2、负责联系党外代表人士，及时通报情况，反映他们的意见和建议；研究、贯彻党领导的多党合作和政治协商制度及对党外代表人士的方针、政策；落实县委关于发挥党外代表人士参政议政、民主监督作用的工作。</w:t>
            </w:r>
          </w:p>
          <w:p>
            <w:pPr>
              <w:spacing w:line="60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3、负责调查研究和协调检查有关民族、宗教工作的重大方针、政策问题；联系少数民族和宗教界的代表人物，协助有关部门做好少数民族干部的培养和宗教界代表人士的举荐工作。</w:t>
            </w:r>
          </w:p>
          <w:p>
            <w:pPr>
              <w:spacing w:line="60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4、开展以祖国统一为重点的海外统战工作；联系海外有关社团及代表人士；做好台胞、台属的有关工作。</w:t>
            </w:r>
          </w:p>
          <w:p>
            <w:pPr>
              <w:spacing w:line="60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5、负责党外人士的政治安排，会同有关部门做好培养、考察、选拔、推荐党外人士担任政府及司法机关领导职务的工作，做好党外后备干部和新的代表人物队伍的建设工作。</w:t>
            </w:r>
          </w:p>
          <w:p>
            <w:pPr>
              <w:spacing w:line="600" w:lineRule="exact"/>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　　　6、负责联系海内外工商界社团和代表人士；调查、研究并反映我县新的社会阶层代表人物的情况，协调关系，提出政策建议。</w:t>
            </w:r>
          </w:p>
          <w:p>
            <w:pPr>
              <w:spacing w:line="600" w:lineRule="exact"/>
              <w:ind w:firstLine="720" w:firstLineChars="300"/>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7、调查研究党外知识分子的情况，协调关系，提出政策建议；联系并培养党外知识分子的代表人物。</w:t>
            </w:r>
          </w:p>
          <w:p>
            <w:pPr>
              <w:spacing w:line="600" w:lineRule="exact"/>
              <w:ind w:firstLine="720" w:firstLineChars="300"/>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8、负责开展海内外统一战线的宣传工作。</w:t>
            </w:r>
          </w:p>
          <w:p>
            <w:pPr>
              <w:spacing w:line="600" w:lineRule="exact"/>
              <w:ind w:firstLine="720" w:firstLineChars="300"/>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9、指导乡（镇）统战工作，做好统战干部的培训工作，协调政府各有关部门的统战工作；归口管理工商联、指导民宗局工作，领导和管理县侨联、县海外联谊会和县黄埔同学会等有关社会团体的工作。</w:t>
            </w:r>
          </w:p>
          <w:p>
            <w:pPr>
              <w:spacing w:line="600" w:lineRule="exact"/>
              <w:ind w:firstLine="720" w:firstLineChars="300"/>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10、承办县委和上级主管部门交办的其他事项。</w:t>
            </w:r>
          </w:p>
          <w:p>
            <w:pPr>
              <w:spacing w:line="560" w:lineRule="exact"/>
              <w:ind w:firstLine="482" w:firstLineChars="200"/>
              <w:rPr>
                <w:rFonts w:hint="eastAsia" w:ascii="宋体" w:hAnsi="宋体" w:eastAsia="宋体" w:cs="宋体"/>
                <w:b/>
                <w:bCs w:val="0"/>
                <w:sz w:val="24"/>
                <w:szCs w:val="24"/>
              </w:rPr>
            </w:pPr>
            <w:r>
              <w:rPr>
                <w:rFonts w:hint="eastAsia" w:ascii="宋体" w:hAnsi="宋体" w:cs="宋体"/>
                <w:b/>
                <w:bCs w:val="0"/>
                <w:sz w:val="24"/>
                <w:szCs w:val="24"/>
                <w:lang w:eastAsia="zh-CN"/>
              </w:rPr>
              <w:t>（二）</w:t>
            </w:r>
            <w:r>
              <w:rPr>
                <w:rFonts w:hint="eastAsia" w:ascii="宋体" w:hAnsi="宋体" w:eastAsia="宋体" w:cs="宋体"/>
                <w:b/>
                <w:bCs w:val="0"/>
                <w:sz w:val="24"/>
                <w:szCs w:val="24"/>
              </w:rPr>
              <w:t>整体支出规模、使用方向和主要内容、涉及范围等</w:t>
            </w:r>
          </w:p>
          <w:p>
            <w:pPr>
              <w:spacing w:line="600" w:lineRule="exact"/>
              <w:rPr>
                <w:rFonts w:hint="eastAsia" w:ascii="宋体" w:hAnsi="宋体" w:eastAsia="宋体" w:cs="宋体"/>
                <w:bCs/>
                <w:sz w:val="24"/>
                <w:szCs w:val="24"/>
                <w:lang w:val="en-US" w:eastAsia="zh-CN"/>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en-US" w:eastAsia="zh-CN"/>
              </w:rPr>
              <w:t xml:space="preserve">    </w:t>
            </w:r>
            <w:r>
              <w:rPr>
                <w:rFonts w:hint="eastAsia" w:ascii="仿宋_GB2312" w:hAnsi="仿宋_GB2312" w:eastAsia="仿宋_GB2312" w:cs="仿宋_GB2312"/>
                <w:color w:val="000000"/>
                <w:sz w:val="24"/>
                <w:lang w:val="en-US" w:eastAsia="zh-CN"/>
              </w:rPr>
              <w:t xml:space="preserve"> 2019年实现年度收入435.54万元，其中公共财政预算拨款435.54万元，2019年年度实际支出435.54万元，主要是基本支出365.36万元，其中人员经费支出292.54万元，公用经费支出72.82万元；其他支出70.18万元。    </w:t>
            </w:r>
            <w:r>
              <w:rPr>
                <w:rFonts w:hint="eastAsia" w:ascii="宋体" w:hAnsi="宋体" w:eastAsia="宋体" w:cs="宋体"/>
                <w:bCs/>
                <w:sz w:val="24"/>
                <w:szCs w:val="24"/>
                <w:lang w:val="en-US" w:eastAsia="zh-CN"/>
              </w:rPr>
              <w:t xml:space="preserve">     </w:t>
            </w:r>
          </w:p>
          <w:p>
            <w:pPr>
              <w:numPr>
                <w:ilvl w:val="0"/>
                <w:numId w:val="1"/>
              </w:numPr>
              <w:spacing w:line="560" w:lineRule="exact"/>
              <w:ind w:firstLine="482" w:firstLineChars="200"/>
              <w:rPr>
                <w:rFonts w:hint="eastAsia" w:ascii="宋体" w:hAnsi="宋体" w:eastAsia="宋体" w:cs="宋体"/>
                <w:b/>
                <w:bCs w:val="0"/>
                <w:sz w:val="24"/>
                <w:szCs w:val="24"/>
              </w:rPr>
            </w:pPr>
            <w:r>
              <w:rPr>
                <w:rFonts w:hint="eastAsia" w:ascii="宋体" w:hAnsi="宋体" w:eastAsia="宋体" w:cs="宋体"/>
                <w:b/>
                <w:bCs w:val="0"/>
                <w:sz w:val="24"/>
                <w:szCs w:val="24"/>
              </w:rPr>
              <w:t>整体支出管理及使用情况</w:t>
            </w:r>
            <w:r>
              <w:rPr>
                <w:rFonts w:hint="eastAsia" w:ascii="宋体" w:hAnsi="宋体" w:eastAsia="宋体" w:cs="宋体"/>
                <w:b/>
                <w:bCs w:val="0"/>
                <w:sz w:val="24"/>
                <w:szCs w:val="24"/>
                <w:lang w:eastAsia="zh-CN"/>
              </w:rPr>
              <w:t>：</w:t>
            </w:r>
          </w:p>
          <w:p>
            <w:pPr>
              <w:spacing w:line="560" w:lineRule="exact"/>
              <w:ind w:firstLine="480" w:firstLineChars="200"/>
              <w:rPr>
                <w:rFonts w:hint="eastAsia" w:ascii="仿宋_GB2312" w:hAnsi="仿宋_GB2312" w:eastAsia="仿宋_GB2312" w:cs="仿宋_GB2312"/>
                <w:color w:val="000000"/>
                <w:sz w:val="24"/>
                <w:lang w:val="en-US" w:eastAsia="zh-CN"/>
              </w:rPr>
            </w:pPr>
            <w:r>
              <w:rPr>
                <w:rFonts w:hint="eastAsia" w:ascii="宋体" w:hAnsi="宋体" w:eastAsia="宋体" w:cs="宋体"/>
                <w:bCs/>
                <w:sz w:val="24"/>
                <w:szCs w:val="24"/>
                <w:lang w:val="en-US" w:eastAsia="zh-CN"/>
              </w:rPr>
              <w:t xml:space="preserve">  </w:t>
            </w:r>
            <w:r>
              <w:rPr>
                <w:rFonts w:hint="eastAsia" w:ascii="仿宋_GB2312" w:hAnsi="仿宋_GB2312" w:eastAsia="仿宋_GB2312" w:cs="仿宋_GB2312"/>
                <w:color w:val="000000"/>
                <w:sz w:val="24"/>
                <w:lang w:val="en-US" w:eastAsia="zh-CN"/>
              </w:rPr>
              <w:t>2019年基本支出预算数为270万元，决算数为365.36万元。其中工资福利支出预算数为190.46万元，决算数为282.25万元；商品服务支出预算数为79.03万元，决算数为72.82万元；对个人和家庭补助支出预算数为0.51万元，决算数为10.29万元。其他支出预算数为115万元，决算数为70.18万元。三公”经费预算数为3.41万元，决算数为3.4万元。</w:t>
            </w:r>
          </w:p>
          <w:p>
            <w:pPr>
              <w:numPr>
                <w:ilvl w:val="0"/>
                <w:numId w:val="1"/>
              </w:numPr>
              <w:spacing w:line="560" w:lineRule="exact"/>
              <w:ind w:left="0" w:leftChars="0" w:firstLine="482" w:firstLineChars="200"/>
              <w:rPr>
                <w:rFonts w:hint="eastAsia" w:ascii="宋体" w:hAnsi="宋体" w:eastAsia="宋体" w:cs="宋体"/>
                <w:b/>
                <w:bCs w:val="0"/>
                <w:sz w:val="24"/>
                <w:szCs w:val="24"/>
                <w:lang w:eastAsia="zh-CN"/>
              </w:rPr>
            </w:pPr>
            <w:r>
              <w:rPr>
                <w:rFonts w:hint="eastAsia" w:ascii="宋体" w:hAnsi="宋体" w:eastAsia="宋体" w:cs="宋体"/>
                <w:b/>
                <w:bCs w:val="0"/>
                <w:sz w:val="24"/>
                <w:szCs w:val="24"/>
              </w:rPr>
              <w:t>部门（单位）整体支出绩效情况</w:t>
            </w:r>
            <w:r>
              <w:rPr>
                <w:rFonts w:hint="eastAsia" w:ascii="宋体" w:hAnsi="宋体" w:eastAsia="宋体" w:cs="宋体"/>
                <w:b/>
                <w:bCs w:val="0"/>
                <w:sz w:val="24"/>
                <w:szCs w:val="24"/>
                <w:lang w:eastAsia="zh-CN"/>
              </w:rPr>
              <w:t>：</w:t>
            </w:r>
          </w:p>
          <w:p>
            <w:pPr>
              <w:spacing w:line="600" w:lineRule="exact"/>
              <w:ind w:firstLine="964" w:firstLineChars="400"/>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b/>
                <w:bCs/>
                <w:color w:val="000000"/>
                <w:sz w:val="24"/>
                <w:lang w:val="en-US" w:eastAsia="zh-CN"/>
              </w:rPr>
              <w:t>1、党外代表人士队伍建设取得新进展。</w:t>
            </w:r>
            <w:r>
              <w:rPr>
                <w:rFonts w:hint="eastAsia" w:ascii="仿宋_GB2312" w:hAnsi="仿宋_GB2312" w:eastAsia="仿宋_GB2312" w:cs="仿宋_GB2312"/>
                <w:color w:val="000000"/>
                <w:sz w:val="24"/>
                <w:lang w:val="en-US" w:eastAsia="zh-CN"/>
              </w:rPr>
              <w:t>培训锻炼：制定出台《党外代表人士分级分类管理办法》，进一步完善了党外干部管理台账和信息库、学习培训制度、谈心谈话制度、履职情况反馈制度。今年来，共举办培训讲座4次，受训人员180余人次。组织党外人士赴西柏坡举办了“不忘合作初心、共担历史使命”专题研讨班暨暑期谈心活动。平台搭建：县委领导带头与党外人士交朋友，通过主动接触，加深了解、增进感情，促进了思想认同、政治认同。稳步推进新的社会阶层人士联谊会和实践创新基地筹备工作。作用发挥：调整充实了后备干部人才库，从党外知识分子人才库中吸收83名党外后备干部进行培养。目前，纳入登记的党外知识分子人才库共有143人。今年来，共召开座谈会6次，情况通报会2次，提拔重用党外干部4人。</w:t>
            </w:r>
          </w:p>
          <w:p>
            <w:pPr>
              <w:spacing w:line="600" w:lineRule="exact"/>
              <w:ind w:firstLine="964" w:firstLineChars="400"/>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b/>
                <w:bCs/>
                <w:color w:val="000000"/>
                <w:sz w:val="24"/>
                <w:lang w:val="en-US" w:eastAsia="zh-CN"/>
              </w:rPr>
              <w:t>2、非公经济领域统战工作再上新台阶。</w:t>
            </w:r>
            <w:r>
              <w:rPr>
                <w:rFonts w:hint="eastAsia" w:ascii="仿宋_GB2312" w:hAnsi="仿宋_GB2312" w:eastAsia="仿宋_GB2312" w:cs="仿宋_GB2312"/>
                <w:color w:val="000000"/>
                <w:sz w:val="24"/>
                <w:lang w:val="en-US" w:eastAsia="zh-CN"/>
              </w:rPr>
              <w:t>构建“亲”“清”新型政商关系，促进非公有制经济“两个健康”。开展非公经济人士“不忘创业初心、接力改革伟业”理想信念教育活动。组织县内4家智能机械制造企业与国内智能制造领头企业汇川技术对接，并成功签订合作协议。引导金融机构依法依规加大对民营企业的信贷投放力度。组织开展“迎老乡、回故乡、建家乡”活动。支持异地商会建设，在陕西西安、广东惠州开展了异地华容商会筹建工作。积极引导非公企业和商会参与“户帮户、亲帮亲”精准扶贫活动，长沙华容商会、我县青年企业家商会等商会组织帮扶贫困学生100多名，帮扶资金20多万元。积极引导非公企业参与“万企帮万村”活动，30家非公企业对接帮扶28个重点贫困村，帮扶资金1000多万元。助推会员企业发展。持续开展“会员企业家家行”活动，坚持每月开展2次以上的会员企业走访活动。组织异地商会企业走访华容本土企业，为会员提供有价值的信息50余条。积极为会员提供重大会务服务和维权服务，先后为会员协调和解决困难和矛盾近100次。</w:t>
            </w:r>
          </w:p>
          <w:p>
            <w:pPr>
              <w:spacing w:line="600" w:lineRule="exact"/>
              <w:ind w:firstLine="964" w:firstLineChars="400"/>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b/>
                <w:bCs/>
                <w:color w:val="000000"/>
                <w:sz w:val="24"/>
                <w:lang w:val="en-US" w:eastAsia="zh-CN"/>
              </w:rPr>
              <w:t>3、民族宗教工作取得新成效。</w:t>
            </w:r>
            <w:r>
              <w:rPr>
                <w:rFonts w:hint="eastAsia" w:ascii="仿宋_GB2312" w:hAnsi="仿宋_GB2312" w:eastAsia="仿宋_GB2312" w:cs="仿宋_GB2312"/>
                <w:color w:val="000000"/>
                <w:sz w:val="24"/>
                <w:lang w:val="en-US" w:eastAsia="zh-CN"/>
              </w:rPr>
              <w:t>建立健全“县级主体、乡（镇）主责、村（社区）协同、网格管理”的全覆盖宗教工作体系。法制宣传：多层次、多平台、多形式开展了法制宣传教育培训活动，加强了领导干部学法用法教育、教职人员遵纪守法教育和全社会宗教普法教育。今年来，参加宗教政策法规学习和测试的党政干部达500多人次；举办宗教政策法规、财务管理、法规教义培训班4期，培训1000多人次；发放宗教政策法规资料3.5万份。依法管理，从严依法审批。制定《宗教行政执法程序规定》《宗教行政执法重大案件集体研究制度》等20多项制度，建立健全了行政权力和责任清单，梳理行政许可、审批事项26项。从严依法管理。制定出台了《宗教活动场所财务管理规定》，123处宗教活动场所在银行设立单位结算账户。从严依法整顿。深入开展“五抓五治”专项治理行动。经摸排，全县107处佛教道教活动场所无商业化现象，并对已依法取缔的6处基督教私私设聚会点进行了“回头看”，未发现有反弹回潮。从严依法扫黑除恶。针对中央扫黑除恶第16督导组督导反馈所指出的我县部分农村存在境外基督教渗透、威胁基层政权的问题开展了摸底排查、走访调研，未发现一起境外基督教渗透、威胁基层政权的问题。正面引导：建立了与宗教界人士的谈话和交流制度，今年来，共谈心谈话350多人次，收集意见建议180多条，做到了逐条梳理、当面回复。同时，继续引导宗教界人士积极参与“四教同心、三助同行”活动。今年来，宗教界累计捐款10多万元，资助大、中、小贫困学生114人。10月15-16日，市委统一战线工作领导小组宗教工作现场推进会在我县召开，我县宗教工作经验材料《突出“四个到位” 不断提升宗教工作法治化水平》在《湖南民族宗教工作》上刊发，向全省进行了推介。</w:t>
            </w:r>
          </w:p>
          <w:p>
            <w:pPr>
              <w:spacing w:line="600" w:lineRule="exact"/>
              <w:ind w:firstLine="964" w:firstLineChars="400"/>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b/>
                <w:bCs/>
                <w:color w:val="000000"/>
                <w:sz w:val="24"/>
                <w:lang w:val="en-US" w:eastAsia="zh-CN"/>
              </w:rPr>
              <w:t>4、港澳台侨统战工作呈现新局面。</w:t>
            </w:r>
            <w:r>
              <w:rPr>
                <w:rFonts w:hint="eastAsia" w:ascii="仿宋_GB2312" w:hAnsi="仿宋_GB2312" w:eastAsia="仿宋_GB2312" w:cs="仿宋_GB2312"/>
                <w:color w:val="000000"/>
                <w:sz w:val="24"/>
                <w:lang w:val="en-US" w:eastAsia="zh-CN"/>
              </w:rPr>
              <w:t>维护侨权侨益：始终坚持把贯彻《归侨侨眷权益保护法》作为一项政治任务，努力为侨服务办实事。今年来，共开展侨法宣传14场次，发放宣传资料4000多份。开展扶贫帮困：对全县困难归侨侨眷进行了摸底和精准识别，并组织协调多方面力量开展扶贫帮困活动。对特别困难的归侨侨眷组织民政、侨资企业和相关乡镇开展定向帮扶活动。加强自身建设：完善了县域侨情信息，为发挥侨智侨力奠定了良好基础。筹备新建侨胞之家，开展了重新选址和规划设计，力争明年建成。</w:t>
            </w:r>
          </w:p>
          <w:p>
            <w:pPr>
              <w:spacing w:line="600" w:lineRule="exact"/>
              <w:ind w:firstLine="964" w:firstLineChars="400"/>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b/>
                <w:bCs/>
                <w:color w:val="000000"/>
                <w:sz w:val="24"/>
                <w:lang w:val="en-US" w:eastAsia="zh-CN"/>
              </w:rPr>
              <w:t>5、自身建设不断加强。</w:t>
            </w:r>
            <w:r>
              <w:rPr>
                <w:rFonts w:hint="eastAsia" w:ascii="仿宋_GB2312" w:hAnsi="仿宋_GB2312" w:eastAsia="仿宋_GB2312" w:cs="仿宋_GB2312"/>
                <w:color w:val="000000"/>
                <w:sz w:val="24"/>
                <w:lang w:val="en-US" w:eastAsia="zh-CN"/>
              </w:rPr>
              <w:t>2017年，按照省市委统一部署，着力构建大统战工作格局。今年来，按照机构改革要求，进一步进行了完善优化。目前，设统战部、工商联2个组织机构，将民宗局整体并入统战部，合并侨联侨务。统战部领导班子1正4副（其中1名副部长兼任县民宗局局长，保留县民宗局专职副局长），工商联2正2副，侨联1正1副。设立办公室、干部室、政策法规室、党外知识分子和新的社会阶层人士统战工作室、经济联络室、民族宗教事务室、港澳台侨统战工作室等7个内设办（室）和侨联，下设宗教执法队。加挂我县民宗局和我县人民政府侨务办公室的牌子。</w:t>
            </w:r>
          </w:p>
          <w:p>
            <w:pPr>
              <w:spacing w:line="560" w:lineRule="exact"/>
              <w:ind w:firstLine="482" w:firstLineChars="200"/>
              <w:rPr>
                <w:rFonts w:hint="eastAsia" w:ascii="宋体" w:hAnsi="宋体" w:eastAsia="宋体" w:cs="宋体"/>
                <w:b/>
                <w:bCs w:val="0"/>
                <w:sz w:val="24"/>
                <w:szCs w:val="24"/>
                <w:lang w:eastAsia="zh-CN"/>
              </w:rPr>
            </w:pPr>
            <w:r>
              <w:rPr>
                <w:rFonts w:hint="eastAsia" w:ascii="宋体" w:hAnsi="宋体" w:eastAsia="宋体" w:cs="宋体"/>
                <w:b/>
                <w:bCs w:val="0"/>
                <w:sz w:val="24"/>
                <w:szCs w:val="24"/>
                <w:lang w:eastAsia="zh-CN"/>
              </w:rPr>
              <w:t>四</w:t>
            </w:r>
            <w:r>
              <w:rPr>
                <w:rFonts w:hint="eastAsia" w:ascii="宋体" w:hAnsi="宋体" w:eastAsia="宋体" w:cs="宋体"/>
                <w:b/>
                <w:bCs w:val="0"/>
                <w:sz w:val="24"/>
                <w:szCs w:val="24"/>
              </w:rPr>
              <w:t>、存在的主要问题</w:t>
            </w:r>
            <w:r>
              <w:rPr>
                <w:rFonts w:hint="eastAsia" w:ascii="宋体" w:hAnsi="宋体" w:eastAsia="宋体" w:cs="宋体"/>
                <w:b/>
                <w:bCs w:val="0"/>
                <w:sz w:val="24"/>
                <w:szCs w:val="24"/>
                <w:lang w:eastAsia="zh-CN"/>
              </w:rPr>
              <w:t>：</w:t>
            </w:r>
          </w:p>
          <w:p>
            <w:pPr>
              <w:spacing w:line="600" w:lineRule="exact"/>
              <w:ind w:firstLine="960" w:firstLineChars="400"/>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一是创新意识不够，工作无特色，成效不明显；二是学习意识不强，新时代新要求，需及时更新业务知识。</w:t>
            </w:r>
          </w:p>
          <w:p>
            <w:pPr>
              <w:numPr>
                <w:ilvl w:val="0"/>
                <w:numId w:val="2"/>
              </w:numPr>
              <w:spacing w:line="560" w:lineRule="exact"/>
              <w:ind w:firstLine="482" w:firstLineChars="200"/>
              <w:rPr>
                <w:rFonts w:hint="eastAsia" w:ascii="宋体" w:hAnsi="宋体" w:eastAsia="宋体" w:cs="宋体"/>
                <w:b/>
                <w:bCs w:val="0"/>
                <w:sz w:val="24"/>
                <w:szCs w:val="24"/>
                <w:lang w:eastAsia="zh-CN"/>
              </w:rPr>
            </w:pPr>
            <w:r>
              <w:rPr>
                <w:rFonts w:hint="eastAsia" w:ascii="宋体" w:hAnsi="宋体" w:eastAsia="宋体" w:cs="宋体"/>
                <w:b/>
                <w:bCs w:val="0"/>
                <w:sz w:val="24"/>
                <w:szCs w:val="24"/>
              </w:rPr>
              <w:t>改进措施和有关建议</w:t>
            </w:r>
            <w:r>
              <w:rPr>
                <w:rFonts w:hint="eastAsia" w:ascii="宋体" w:hAnsi="宋体" w:eastAsia="宋体" w:cs="宋体"/>
                <w:b/>
                <w:bCs w:val="0"/>
                <w:sz w:val="24"/>
                <w:szCs w:val="24"/>
                <w:lang w:eastAsia="zh-CN"/>
              </w:rPr>
              <w:t>：</w:t>
            </w:r>
          </w:p>
          <w:p>
            <w:pPr>
              <w:spacing w:line="600" w:lineRule="exact"/>
              <w:ind w:firstLine="964" w:firstLineChars="400"/>
              <w:rPr>
                <w:rFonts w:hint="eastAsia" w:ascii="仿宋_GB2312" w:hAnsi="仿宋_GB2312" w:eastAsia="仿宋_GB2312" w:cs="仿宋_GB2312"/>
                <w:color w:val="000000"/>
                <w:sz w:val="24"/>
                <w:lang w:val="en-US" w:eastAsia="zh-CN"/>
              </w:rPr>
            </w:pPr>
            <w:r>
              <w:rPr>
                <w:rFonts w:hint="eastAsia" w:ascii="宋体" w:hAnsi="宋体" w:eastAsia="宋体" w:cs="宋体"/>
                <w:b/>
                <w:bCs w:val="0"/>
                <w:sz w:val="24"/>
                <w:szCs w:val="24"/>
                <w:lang w:val="en-US" w:eastAsia="zh-CN"/>
              </w:rPr>
              <w:t xml:space="preserve"> </w:t>
            </w:r>
            <w:r>
              <w:rPr>
                <w:rFonts w:hint="eastAsia" w:ascii="仿宋_GB2312" w:hAnsi="仿宋_GB2312" w:eastAsia="仿宋_GB2312" w:cs="仿宋_GB2312"/>
                <w:b/>
                <w:bCs w:val="0"/>
                <w:color w:val="000000"/>
                <w:sz w:val="24"/>
                <w:lang w:val="en-US" w:eastAsia="zh-CN"/>
              </w:rPr>
              <w:t>1、加强政治引领。</w:t>
            </w:r>
            <w:r>
              <w:rPr>
                <w:rFonts w:hint="eastAsia" w:ascii="仿宋_GB2312" w:hAnsi="仿宋_GB2312" w:eastAsia="仿宋_GB2312" w:cs="仿宋_GB2312"/>
                <w:color w:val="000000"/>
                <w:sz w:val="24"/>
                <w:lang w:val="en-US" w:eastAsia="zh-CN"/>
              </w:rPr>
              <w:t>通过开展主题教育、组织座谈培训等多种形式，引导统一战线成员深入学习贯彻习近平新时代中国特色社会主义思想，领会总书记关于加强和改进统一战线工作的重要思想，增强“四个意识”，坚定“四个自信”，做到“两个维护”。及时了解统一战线内部思想动态，做好求同存异、聚同化异的工作，推动统一战线成员实现思想上的共同进步。</w:t>
            </w:r>
          </w:p>
          <w:p>
            <w:pPr>
              <w:spacing w:line="600" w:lineRule="exact"/>
              <w:ind w:firstLine="964" w:firstLineChars="400"/>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b/>
                <w:bCs/>
                <w:color w:val="000000"/>
                <w:sz w:val="24"/>
                <w:lang w:val="en-US" w:eastAsia="zh-CN"/>
              </w:rPr>
              <w:t>2、围绕中心服务大局。</w:t>
            </w:r>
            <w:r>
              <w:rPr>
                <w:rFonts w:hint="eastAsia" w:ascii="仿宋_GB2312" w:hAnsi="仿宋_GB2312" w:eastAsia="仿宋_GB2312" w:cs="仿宋_GB2312"/>
                <w:color w:val="000000"/>
                <w:sz w:val="24"/>
                <w:lang w:val="en-US" w:eastAsia="zh-CN"/>
              </w:rPr>
              <w:t>组织党外人士开展调查研究，围绕“乡村振兴”“六大工程”“四大会战”等重点工作建言献策。推进全县统一战线“助力脱贫攻坚”行动，开展“万企帮万村”“光彩事业”“泛海助学”“千侨帮千户”等活动。深入开展“同心美丽乡村”示范点创建活动，打造一批同心美丽乡村示范点。推进“统战大招商”，开展“迎老乡、回故乡、建家乡”活动，推动县域经济发展。</w:t>
            </w:r>
          </w:p>
          <w:p>
            <w:pPr>
              <w:spacing w:line="600" w:lineRule="exact"/>
              <w:ind w:firstLine="964" w:firstLineChars="400"/>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b/>
                <w:bCs/>
                <w:color w:val="000000"/>
                <w:sz w:val="24"/>
                <w:lang w:val="en-US" w:eastAsia="zh-CN"/>
              </w:rPr>
              <w:t>3、发挥大统战工作格局作用。</w:t>
            </w:r>
            <w:r>
              <w:rPr>
                <w:rFonts w:hint="eastAsia" w:ascii="仿宋_GB2312" w:hAnsi="仿宋_GB2312" w:eastAsia="仿宋_GB2312" w:cs="仿宋_GB2312"/>
                <w:color w:val="000000"/>
                <w:sz w:val="24"/>
                <w:lang w:val="en-US" w:eastAsia="zh-CN"/>
              </w:rPr>
              <w:t>做好党外代表人士队伍建设。健全同党外代表人士的沟通联络机制，加强教育引导，畅通他们建言献策、参与社会治理和社会服务的渠道。做好非公经济领域统战工作。完善构建亲清政商关系的政策体系，促进非公有制经济健康发展和非公有制经济人士健康成长，引导其弘扬企业家精神，做爱国敬业、守法经营、创业创新、回报社会的典范。做好民族宗教工作。深入开展民族团结进步创建，加大少数民族服务力度，切实维护少数民族合法权益。坚持党的宗教工作基本方针，掌握宗教工作的主动权主导权话语权，依法管理宗教事务。做好港澳台侨统战工作。切实维护港澳台侨合法权益，加强交流交往，拓展联谊渠道，扩大联谊覆盖面。</w:t>
            </w:r>
          </w:p>
          <w:p>
            <w:pPr>
              <w:spacing w:line="600" w:lineRule="exact"/>
              <w:ind w:firstLine="960" w:firstLineChars="400"/>
              <w:rPr>
                <w:rFonts w:hint="eastAsia" w:ascii="仿宋_GB2312" w:hAnsi="仿宋_GB2312" w:eastAsia="仿宋_GB2312" w:cs="仿宋_GB2312"/>
                <w:color w:val="000000"/>
                <w:sz w:val="24"/>
                <w:lang w:val="en-US" w:eastAsia="zh-CN"/>
              </w:rPr>
            </w:pPr>
          </w:p>
          <w:p>
            <w:pPr>
              <w:rPr>
                <w:rFonts w:eastAsia="楷体_GB2312"/>
                <w:bCs/>
                <w:sz w:val="28"/>
                <w:szCs w:val="28"/>
              </w:rPr>
            </w:pP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100</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line="200" w:lineRule="exact"/>
        <w:jc w:val="both"/>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7C8D9B"/>
    <w:multiLevelType w:val="singleLevel"/>
    <w:tmpl w:val="D17C8D9B"/>
    <w:lvl w:ilvl="0" w:tentative="0">
      <w:start w:val="2"/>
      <w:numFmt w:val="chineseCounting"/>
      <w:suff w:val="nothing"/>
      <w:lvlText w:val="%1、"/>
      <w:lvlJc w:val="left"/>
      <w:rPr>
        <w:rFonts w:hint="eastAsia"/>
      </w:rPr>
    </w:lvl>
  </w:abstractNum>
  <w:abstractNum w:abstractNumId="1">
    <w:nsid w:val="2301001C"/>
    <w:multiLevelType w:val="singleLevel"/>
    <w:tmpl w:val="2301001C"/>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7B2063"/>
    <w:rsid w:val="02BC667C"/>
    <w:rsid w:val="05A872CE"/>
    <w:rsid w:val="060206B1"/>
    <w:rsid w:val="07E94022"/>
    <w:rsid w:val="083749E7"/>
    <w:rsid w:val="089608A6"/>
    <w:rsid w:val="09AA2281"/>
    <w:rsid w:val="0B8C1DE8"/>
    <w:rsid w:val="0DE528CD"/>
    <w:rsid w:val="14037D0B"/>
    <w:rsid w:val="1743361A"/>
    <w:rsid w:val="18725427"/>
    <w:rsid w:val="1AFF6D9A"/>
    <w:rsid w:val="1E753678"/>
    <w:rsid w:val="263C173A"/>
    <w:rsid w:val="29297911"/>
    <w:rsid w:val="2CA33441"/>
    <w:rsid w:val="2CE55C20"/>
    <w:rsid w:val="2EA77B16"/>
    <w:rsid w:val="2F287302"/>
    <w:rsid w:val="30426D13"/>
    <w:rsid w:val="331A49D3"/>
    <w:rsid w:val="337137E5"/>
    <w:rsid w:val="38E44320"/>
    <w:rsid w:val="3A43255A"/>
    <w:rsid w:val="3AA11255"/>
    <w:rsid w:val="3AAA4E90"/>
    <w:rsid w:val="3B003050"/>
    <w:rsid w:val="3C3B21D9"/>
    <w:rsid w:val="3D6201A1"/>
    <w:rsid w:val="412E33D9"/>
    <w:rsid w:val="413D3F64"/>
    <w:rsid w:val="42D009A6"/>
    <w:rsid w:val="43344F49"/>
    <w:rsid w:val="44705D51"/>
    <w:rsid w:val="477245B4"/>
    <w:rsid w:val="4A910A0C"/>
    <w:rsid w:val="4AD50001"/>
    <w:rsid w:val="4D4A24F9"/>
    <w:rsid w:val="4DEA5544"/>
    <w:rsid w:val="4E4F0BB0"/>
    <w:rsid w:val="50973705"/>
    <w:rsid w:val="566A4E8E"/>
    <w:rsid w:val="57C83960"/>
    <w:rsid w:val="59805081"/>
    <w:rsid w:val="5B0A4520"/>
    <w:rsid w:val="5BE95901"/>
    <w:rsid w:val="5E652EFE"/>
    <w:rsid w:val="5F444691"/>
    <w:rsid w:val="5FA7092A"/>
    <w:rsid w:val="5FE07A2F"/>
    <w:rsid w:val="610864A0"/>
    <w:rsid w:val="61C9258D"/>
    <w:rsid w:val="63EE1EC7"/>
    <w:rsid w:val="64662977"/>
    <w:rsid w:val="6551281C"/>
    <w:rsid w:val="6716424C"/>
    <w:rsid w:val="686B2CD3"/>
    <w:rsid w:val="6A0A15CD"/>
    <w:rsid w:val="6CAF3BC9"/>
    <w:rsid w:val="6DF352BD"/>
    <w:rsid w:val="6EE677CB"/>
    <w:rsid w:val="6FE10D3D"/>
    <w:rsid w:val="705E3E6D"/>
    <w:rsid w:val="71C1048A"/>
    <w:rsid w:val="73F35F5B"/>
    <w:rsid w:val="74524CAD"/>
    <w:rsid w:val="750421BF"/>
    <w:rsid w:val="76EA09DF"/>
    <w:rsid w:val="79C04582"/>
    <w:rsid w:val="7CCD48A5"/>
    <w:rsid w:val="7D1F0DA2"/>
    <w:rsid w:val="7D2120B0"/>
    <w:rsid w:val="7E324D29"/>
    <w:rsid w:val="7FF23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page number"/>
    <w:basedOn w:val="6"/>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2020-10-16T05:01:00Z</cp:lastPrinted>
  <dcterms:modified xsi:type="dcterms:W3CDTF">2020-10-19T03:53:38Z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