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名称：华容县妇女联合会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123001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 xml:space="preserve"> 10</w:t>
      </w:r>
      <w:r>
        <w:rPr>
          <w:rFonts w:hint="eastAsia" w:eastAsia="仿宋_GB2312"/>
          <w:sz w:val="32"/>
        </w:rPr>
        <w:t>月</w:t>
      </w:r>
      <w:r>
        <w:rPr>
          <w:rFonts w:eastAsia="仿宋_GB2312"/>
          <w:sz w:val="32"/>
        </w:rPr>
        <w:t>20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孙莹</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18390157732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ascii="宋体" w:cs="宋体"/>
                <w:kern w:val="0"/>
                <w:sz w:val="32"/>
                <w:szCs w:val="32"/>
              </w:rPr>
              <w:t>1</w:t>
            </w:r>
            <w:r>
              <w:rPr>
                <w:rFonts w:hint="eastAsia" w:ascii="仿宋_GB2312" w:hAnsi="仿宋_GB2312" w:eastAsia="仿宋_GB2312" w:cs="仿宋_GB2312"/>
                <w:color w:val="000000"/>
                <w:sz w:val="24"/>
              </w:rPr>
              <w:t>、宣传、贯彻党的基本路线、方针、政策，团结动员广大妇女投身社会主义现代化建设，促进经济发展和社会进步。</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、根据党的中心任务，指导下属各级妇联组织依据《中华全国妇女联合会章程》和妇女代表大会的决议开展妇女儿童工作，加强与各团体会员</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间的关系，并予以业务指导。</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、教育、引导妇女增强自尊、自信、自立、自强的精神，组织开展家庭文明建设活动，促进社会主义精神文明建设。</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、调查研究全县各乡镇、各行业妇女儿童的情况和问题，及时向县委、县政府反映，提出合理化建议。推动《妇女发展规划的实施。</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、指导各级妇联做好宣传舆论工作，及时发现、培养、推介、表彰各行各业的先进妇女典型。协助组织部门做好女干部的培养、教育、考察、推荐工作，促进妇女人才的成长</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、动员全县妇女参与社会事务和民主管理、民主监督，切实维护妇女儿童的合法权益。</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、加强与社会各界的联系，协调和推动社会各界为妇女儿童办实事、办好事。</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、推动《中国儿童发展纲要》的实施，加强自办园所及阵地活动的管理与指导。</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、加强对女知识分子协会、女领导干部联谊会的组织管理、领导与协调工作，拓展妇女工作领域。</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、承办县委、县政府交办的有关事项。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把握政治思想引领，筑牢“巾帼心向党”</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任务2：聚焦服务发展新使命，引领“巾帼建新功”</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任务3：强化维权服务新担当，勇担“巾帼促和谐”</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：展示家庭文明新风貌，推动“巾帼树新风”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被评为省妇联系统宣传工作先进单位、市三八红旗集体、县十佳人民调解组织、县扶贫工作先进单位、县信访工作先进集体、县禁毒工作先进集体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119</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104.1</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14.4</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119</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104.1</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14.4</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76.1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76.1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0.32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0.32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3774" w:type="dxa"/>
            <w:gridSpan w:val="7"/>
            <w:noWrap/>
            <w:vAlign w:val="center"/>
          </w:tcPr>
          <w:p>
            <w:pPr>
              <w:autoSpaceDN w:val="0"/>
              <w:spacing w:line="32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把握政治思想引领，筑牢“巾帼心向党”</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：聚焦服务发展新使命，引领“巾帼建新功”</w:t>
            </w:r>
          </w:p>
          <w:p>
            <w:pPr>
              <w:autoSpaceDN w:val="0"/>
              <w:spacing w:line="32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目标3：强化维权服务新担当，勇担“巾帼促和谐”</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：展示家庭文明新风貌，推动“巾帼树新风”</w:t>
            </w:r>
          </w:p>
          <w:p>
            <w:pPr>
              <w:autoSpaceDN w:val="0"/>
              <w:spacing w:line="320" w:lineRule="exact"/>
              <w:jc w:val="left"/>
              <w:textAlignment w:val="center"/>
              <w:rPr>
                <w:rFonts w:ascii="仿宋_GB2312" w:hAnsi="仿宋_GB2312" w:eastAsia="仿宋_GB2312" w:cs="仿宋_GB2312"/>
                <w:color w:val="auto"/>
                <w:sz w:val="24"/>
              </w:rPr>
            </w:pPr>
          </w:p>
        </w:tc>
        <w:tc>
          <w:tcPr>
            <w:tcW w:w="4585" w:type="dxa"/>
            <w:gridSpan w:val="9"/>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组织百名妇女干部拍摄了庆祝中华人民共和国成立70周年“巾帼心向党，礼赞新中国”小合唱微视频，开展了创新创业系列评选表彰活动，评选出了蔡玲芝、张丞俊如等5名巾帼创业之星，</w:t>
            </w:r>
            <w:r>
              <w:rPr>
                <w:rFonts w:hint="eastAsia" w:ascii="仿宋_GB2312" w:hAnsi="仿宋_GB2312" w:eastAsia="仿宋_GB2312" w:cs="仿宋_GB2312"/>
                <w:color w:val="auto"/>
                <w:sz w:val="24"/>
                <w:lang w:val="zh-CN" w:eastAsia="zh-CN"/>
              </w:rPr>
              <w:t>周艳辉、邓瑞霞等</w:t>
            </w:r>
            <w:r>
              <w:rPr>
                <w:rFonts w:hint="eastAsia" w:ascii="仿宋_GB2312" w:hAnsi="仿宋_GB2312" w:eastAsia="仿宋_GB2312" w:cs="仿宋_GB2312"/>
                <w:color w:val="auto"/>
                <w:sz w:val="24"/>
                <w:lang w:val="en-US" w:eastAsia="zh-CN"/>
              </w:rPr>
              <w:t>10名巾帼建功标兵，推荐华容县保丰中药材获评市巾帼农业示范基地；联合县人社等多部门开展了创客中国华容县首届中小微企业创新创业大赛，湖南牧特职能装备股份有限公司等5个企业在此次活动中获奖。以 “伊人成长计划”女性素质提升项目为依托，联合长江电商产业园为贫困妇女免费开设电脑培训、育婴师、家政技能等多类实用技术培训班，深入村、社区开展法律知识讲座6场，利用“三八”维权周组织巾帼志愿者开展法制宣传教育活动，在全县范围内开展了“最美家庭”评选活动，评选出了19户文明家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31"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指标1：</w:t>
            </w:r>
            <w:r>
              <w:rPr>
                <w:rFonts w:hint="eastAsia" w:ascii="仿宋_GB2312" w:hAnsi="仿宋_GB2312" w:eastAsia="仿宋_GB2312" w:cs="仿宋_GB2312"/>
                <w:color w:val="auto"/>
                <w:sz w:val="24"/>
              </w:rPr>
              <w:t>聚焦服务发展新使命，引领“巾帼建新功”</w:t>
            </w:r>
          </w:p>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vMerge w:val="restart"/>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color w:val="auto"/>
                <w:sz w:val="24"/>
                <w:lang w:val="en-US" w:eastAsia="zh-CN"/>
              </w:rPr>
              <w:t>联合开展2019年就业扶贫暨春（秋）季园区招聘会，为女性提供了包括研发、管理、销售、文职等在内1948个岗位，招聘会发放宣传资料1万余份，与用人单位达成就业意向1464人，其中女性890人。开展了创新创业系列评选表彰活动，评选出了蔡玲芝、张丞俊如等5名巾帼创业之星，</w:t>
            </w:r>
            <w:r>
              <w:rPr>
                <w:rFonts w:hint="eastAsia" w:ascii="仿宋_GB2312" w:hAnsi="仿宋_GB2312" w:eastAsia="仿宋_GB2312" w:cs="仿宋_GB2312"/>
                <w:color w:val="auto"/>
                <w:sz w:val="24"/>
                <w:lang w:val="zh-CN" w:eastAsia="zh-CN"/>
              </w:rPr>
              <w:t>周艳辉、邓瑞霞等</w:t>
            </w:r>
            <w:r>
              <w:rPr>
                <w:rFonts w:hint="eastAsia" w:ascii="仿宋_GB2312" w:hAnsi="仿宋_GB2312" w:eastAsia="仿宋_GB2312" w:cs="仿宋_GB2312"/>
                <w:color w:val="auto"/>
                <w:sz w:val="24"/>
                <w:lang w:val="en-US" w:eastAsia="zh-CN"/>
              </w:rPr>
              <w:t>10名巾帼建功标兵，开设电脑培训、育婴师、家政技能等多类实用技术培训班，培训贫困妇女260多人，200余名贫困妇女拿到了相应的职业资格证书</w:t>
            </w:r>
            <w:r>
              <w:rPr>
                <w:rFonts w:hint="eastAsia" w:ascii="仿宋" w:hAnsi="仿宋" w:eastAsia="仿宋" w:cs="仿宋"/>
                <w:color w:val="auto"/>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指标：农村适龄妇女两癌免费检查</w:t>
            </w:r>
          </w:p>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完成了15532人次两癌免费检查。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7"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vMerge w:val="restart"/>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auto"/>
                <w:sz w:val="24"/>
                <w:lang w:val="en-US" w:eastAsia="zh-CN"/>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指标1：展示家庭文明新风貌</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auto"/>
                <w:sz w:val="24"/>
                <w:lang w:val="en-US" w:eastAsia="zh-CN"/>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县妇联在全县范围内开展了“最美家庭”评选活动，评选出了的19户“最美家庭”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4"/>
              </w:rPr>
            </w:pPr>
          </w:p>
        </w:tc>
        <w:tc>
          <w:tcPr>
            <w:tcW w:w="1417"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生态效益</w:t>
            </w:r>
          </w:p>
        </w:tc>
        <w:tc>
          <w:tcPr>
            <w:tcW w:w="2709"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指标1：“展巾帼风采，创最美庭院”</w:t>
            </w:r>
          </w:p>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召开了县、乡、村三级妇联干部参加的“展巾帼风采，创最美庭院”启动仪式，近2000余名巾帼志愿者参与启动仪式和垃圾清理活动，各级妇联组织创评“最美庭院”8000余户。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4"/>
              </w:rPr>
            </w:pPr>
          </w:p>
        </w:tc>
        <w:tc>
          <w:tcPr>
            <w:tcW w:w="1417"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社会公众或服务对象满意度</w:t>
            </w:r>
          </w:p>
        </w:tc>
        <w:tc>
          <w:tcPr>
            <w:tcW w:w="2709"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绩效自评综合得分</w:t>
            </w:r>
          </w:p>
        </w:tc>
        <w:tc>
          <w:tcPr>
            <w:tcW w:w="6810" w:type="dxa"/>
            <w:gridSpan w:val="12"/>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评价等次</w:t>
            </w:r>
          </w:p>
        </w:tc>
        <w:tc>
          <w:tcPr>
            <w:tcW w:w="6810" w:type="dxa"/>
            <w:gridSpan w:val="12"/>
            <w:noWrap/>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徐</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敏</w:t>
            </w:r>
            <w:r>
              <w:rPr>
                <w:rFonts w:hint="eastAsia" w:ascii="仿宋_GB2312" w:hAnsi="仿宋_GB2312" w:eastAsia="仿宋_GB2312" w:cs="仿宋_GB2312"/>
                <w:color w:val="auto"/>
                <w:sz w:val="24"/>
                <w:lang w:val="en-US" w:eastAsia="zh-CN"/>
              </w:rPr>
              <w:t xml:space="preserve">  </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付丽琼</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县妇联副主席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周晓辉</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县妇联副主席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孙</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莹</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县妇联出纳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eastAsia="zh-CN"/>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五、评价报告综述（文字部分）</w:t>
            </w:r>
          </w:p>
          <w:p>
            <w:pPr>
              <w:spacing w:line="440" w:lineRule="exact"/>
              <w:ind w:firstLine="560" w:firstLineChars="200"/>
              <w:rPr>
                <w:rFonts w:ascii="仿宋_GB2312" w:hAnsi="宋体" w:eastAsia="仿宋_GB2312" w:cs="宋体"/>
                <w:sz w:val="28"/>
                <w:szCs w:val="28"/>
                <w:shd w:val="clear" w:color="auto" w:fill="FFFFFF"/>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人，实有人数为</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、宣传、贯彻党的基本路线、方针、政策，团结动员广大妇女投身社会主义现代化建设，促进经济发展和社会进步。</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、根据党的中心任务，指导下属各级妇联组织依据《中华全国妇女联合会章程》和妇女代表大会的决议开展妇女儿童工作，加强与各团体会员</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间的关系，并予以业务指导。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、教育、引导妇女增强自尊、自信、自立、自强的精神，组织开展家庭文明建设活动，促进社会主义精神文明建设。</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、调查研究全县各乡镇、各行业妇女儿童的情况和问题，及时向县委、县政府反映，提出合理化建议。推动《妇女发展规划的实施。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、指导各级妇联做好宣传舆论工作，及时发现、培养、推介、表彰各行各业的先进妇女典型。协助组织部门做好女干部的培养、教育、考察、推荐工作，促进妇女人才的成长</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、动员全县妇女参与社会事务和民主管理、民主监督，切实维护妇女儿童的合法权益。</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、加强与社会各界的联系，协调和推动社会各界为妇女儿童办实事、办好事。</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、推动《中国儿童发展纲要》的实施，加强自办园所及阵地活动的管理与指导。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、加强对女知识分子协会、女领导干部联谊会的组织管理、领导与协调工作，拓展妇女工作领域。</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10</w:t>
            </w:r>
            <w:r>
              <w:rPr>
                <w:rFonts w:hint="eastAsia" w:ascii="仿宋_GB2312" w:hAnsi="宋体" w:eastAsia="仿宋_GB2312" w:cs="宋体"/>
                <w:sz w:val="28"/>
                <w:szCs w:val="28"/>
                <w:shd w:val="clear" w:color="auto" w:fill="FFFFFF"/>
              </w:rPr>
              <w:t>、承办县委、县政府交办的有关事项。</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）内设机构：无内设机构。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w:t>
            </w:r>
            <w:r>
              <w:rPr>
                <w:rFonts w:ascii="仿宋_GB2312" w:hAnsi="宋体" w:eastAsia="仿宋_GB2312" w:cs="宋体"/>
                <w:sz w:val="28"/>
                <w:szCs w:val="28"/>
                <w:shd w:val="clear" w:color="auto" w:fill="FFFFFF"/>
              </w:rPr>
              <w:t xml:space="preserve">119 </w:t>
            </w:r>
            <w:r>
              <w:rPr>
                <w:rFonts w:hint="eastAsia" w:ascii="仿宋_GB2312" w:hAnsi="宋体" w:eastAsia="仿宋_GB2312" w:cs="宋体"/>
                <w:sz w:val="28"/>
                <w:szCs w:val="28"/>
                <w:shd w:val="clear" w:color="auto" w:fill="FFFFFF"/>
              </w:rPr>
              <w:t>万元，其中：财政拨款收入</w:t>
            </w:r>
            <w:r>
              <w:rPr>
                <w:rFonts w:ascii="仿宋_GB2312" w:hAnsi="宋体" w:eastAsia="仿宋_GB2312" w:cs="宋体"/>
                <w:sz w:val="28"/>
                <w:szCs w:val="28"/>
                <w:shd w:val="clear" w:color="auto" w:fill="FFFFFF"/>
              </w:rPr>
              <w:t>118.5</w:t>
            </w:r>
            <w:r>
              <w:rPr>
                <w:rFonts w:hint="eastAsia" w:ascii="仿宋_GB2312" w:hAnsi="宋体" w:eastAsia="仿宋_GB2312" w:cs="宋体"/>
                <w:sz w:val="28"/>
                <w:szCs w:val="28"/>
                <w:shd w:val="clear" w:color="auto" w:fill="FFFFFF"/>
              </w:rPr>
              <w:t>万元，其他收入</w:t>
            </w:r>
            <w:r>
              <w:rPr>
                <w:rFonts w:ascii="仿宋_GB2312" w:hAnsi="宋体" w:eastAsia="仿宋_GB2312" w:cs="宋体"/>
                <w:sz w:val="28"/>
                <w:szCs w:val="28"/>
                <w:shd w:val="clear" w:color="auto" w:fill="FFFFFF"/>
              </w:rPr>
              <w:t>0.5</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119</w:t>
            </w:r>
            <w:r>
              <w:rPr>
                <w:rFonts w:hint="eastAsia" w:ascii="仿宋_GB2312" w:hAnsi="宋体" w:eastAsia="仿宋_GB2312" w:cs="宋体"/>
                <w:sz w:val="28"/>
                <w:szCs w:val="28"/>
                <w:shd w:val="clear" w:color="auto" w:fill="FFFFFF"/>
              </w:rPr>
              <w:t>万元，</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其中：基本支出</w:t>
            </w:r>
            <w:r>
              <w:rPr>
                <w:rFonts w:ascii="仿宋_GB2312" w:hAnsi="宋体" w:eastAsia="仿宋_GB2312" w:cs="宋体"/>
                <w:sz w:val="28"/>
                <w:szCs w:val="28"/>
                <w:shd w:val="clear" w:color="auto" w:fill="FFFFFF"/>
              </w:rPr>
              <w:t>119</w:t>
            </w:r>
            <w:r>
              <w:rPr>
                <w:rFonts w:hint="eastAsia" w:ascii="仿宋_GB2312" w:hAnsi="宋体" w:eastAsia="仿宋_GB2312" w:cs="宋体"/>
                <w:sz w:val="28"/>
                <w:szCs w:val="28"/>
                <w:shd w:val="clear" w:color="auto" w:fill="FFFFFF"/>
              </w:rPr>
              <w:t>万元（工资福利支出</w:t>
            </w:r>
            <w:r>
              <w:rPr>
                <w:rFonts w:ascii="仿宋_GB2312" w:hAnsi="宋体" w:eastAsia="仿宋_GB2312" w:cs="宋体"/>
                <w:sz w:val="28"/>
                <w:szCs w:val="28"/>
                <w:shd w:val="clear" w:color="auto" w:fill="FFFFFF"/>
              </w:rPr>
              <w:t>41.8</w:t>
            </w:r>
            <w:r>
              <w:rPr>
                <w:rFonts w:hint="eastAsia" w:ascii="仿宋_GB2312" w:hAnsi="宋体" w:eastAsia="仿宋_GB2312" w:cs="宋体"/>
                <w:sz w:val="28"/>
                <w:szCs w:val="28"/>
                <w:shd w:val="clear" w:color="auto" w:fill="FFFFFF"/>
              </w:rPr>
              <w:t>万元，商品和服务支出</w:t>
            </w:r>
            <w:r>
              <w:rPr>
                <w:rFonts w:ascii="仿宋_GB2312" w:hAnsi="宋体" w:eastAsia="仿宋_GB2312" w:cs="宋体"/>
                <w:sz w:val="28"/>
                <w:szCs w:val="28"/>
                <w:shd w:val="clear" w:color="auto" w:fill="FFFFFF"/>
              </w:rPr>
              <w:t>70.5</w:t>
            </w:r>
            <w:r>
              <w:rPr>
                <w:rFonts w:hint="eastAsia" w:ascii="仿宋_GB2312" w:hAnsi="宋体" w:eastAsia="仿宋_GB2312" w:cs="宋体"/>
                <w:sz w:val="28"/>
                <w:szCs w:val="28"/>
                <w:shd w:val="clear" w:color="auto" w:fill="FFFFFF"/>
              </w:rPr>
              <w:t>万元，对个人和家庭补助支出</w:t>
            </w:r>
            <w:r>
              <w:rPr>
                <w:rFonts w:ascii="仿宋_GB2312" w:hAnsi="宋体" w:eastAsia="仿宋_GB2312" w:cs="宋体"/>
                <w:sz w:val="28"/>
                <w:szCs w:val="28"/>
                <w:shd w:val="clear" w:color="auto" w:fill="FFFFFF"/>
              </w:rPr>
              <w:t xml:space="preserve"> 1.1  </w:t>
            </w:r>
            <w:r>
              <w:rPr>
                <w:rFonts w:hint="eastAsia" w:ascii="仿宋_GB2312" w:hAnsi="宋体" w:eastAsia="仿宋_GB2312" w:cs="宋体"/>
                <w:sz w:val="28"/>
                <w:szCs w:val="28"/>
                <w:shd w:val="clear" w:color="auto" w:fill="FFFFFF"/>
              </w:rPr>
              <w:t>万元，其他支出</w:t>
            </w:r>
            <w:r>
              <w:rPr>
                <w:rFonts w:ascii="仿宋_GB2312" w:hAnsi="宋体" w:eastAsia="仿宋_GB2312" w:cs="宋体"/>
                <w:sz w:val="28"/>
                <w:szCs w:val="28"/>
                <w:shd w:val="clear" w:color="auto" w:fill="FFFFFF"/>
              </w:rPr>
              <w:t xml:space="preserve"> 5.6 </w:t>
            </w:r>
            <w:r>
              <w:rPr>
                <w:rFonts w:hint="eastAsia" w:ascii="仿宋_GB2312" w:hAnsi="宋体" w:eastAsia="仿宋_GB2312" w:cs="宋体"/>
                <w:sz w:val="28"/>
                <w:szCs w:val="28"/>
                <w:shd w:val="clear" w:color="auto" w:fill="FFFFFF"/>
              </w:rPr>
              <w:t>万元）；项目支出</w:t>
            </w:r>
            <w:r>
              <w:rPr>
                <w:rFonts w:ascii="仿宋_GB2312" w:hAnsi="宋体" w:eastAsia="仿宋_GB2312" w:cs="宋体"/>
                <w:sz w:val="28"/>
                <w:szCs w:val="28"/>
                <w:shd w:val="clear" w:color="auto" w:fill="FFFFFF"/>
              </w:rPr>
              <w:t>0</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年整体支出</w:t>
            </w:r>
            <w:r>
              <w:rPr>
                <w:rFonts w:ascii="仿宋_GB2312" w:hAnsi="宋体" w:eastAsia="仿宋_GB2312" w:cs="宋体"/>
                <w:sz w:val="28"/>
                <w:szCs w:val="28"/>
                <w:shd w:val="clear" w:color="auto" w:fill="FFFFFF"/>
              </w:rPr>
              <w:t>119</w:t>
            </w:r>
            <w:r>
              <w:rPr>
                <w:rFonts w:hint="eastAsia" w:ascii="仿宋_GB2312" w:hAnsi="宋体" w:eastAsia="仿宋_GB2312" w:cs="宋体"/>
                <w:sz w:val="28"/>
                <w:szCs w:val="28"/>
                <w:shd w:val="clear" w:color="auto" w:fill="FFFFFF"/>
              </w:rPr>
              <w:t>万元，其中基本支出</w:t>
            </w:r>
            <w:r>
              <w:rPr>
                <w:rFonts w:ascii="仿宋_GB2312" w:hAnsi="宋体" w:eastAsia="仿宋_GB2312" w:cs="宋体"/>
                <w:sz w:val="28"/>
                <w:szCs w:val="28"/>
                <w:shd w:val="clear" w:color="auto" w:fill="FFFFFF"/>
              </w:rPr>
              <w:t>119</w:t>
            </w:r>
            <w:r>
              <w:rPr>
                <w:rFonts w:hint="eastAsia" w:ascii="仿宋_GB2312" w:hAnsi="宋体" w:eastAsia="仿宋_GB2312" w:cs="宋体"/>
                <w:sz w:val="28"/>
                <w:szCs w:val="28"/>
                <w:shd w:val="clear" w:color="auto" w:fill="FFFFFF"/>
              </w:rPr>
              <w:t>万元，人员支出</w:t>
            </w:r>
            <w:r>
              <w:rPr>
                <w:rFonts w:ascii="仿宋_GB2312" w:hAnsi="宋体" w:eastAsia="仿宋_GB2312" w:cs="宋体"/>
                <w:sz w:val="28"/>
                <w:szCs w:val="28"/>
                <w:shd w:val="clear" w:color="auto" w:fill="FFFFFF"/>
              </w:rPr>
              <w:t xml:space="preserve"> 42.9</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36%</w:t>
            </w:r>
            <w:r>
              <w:rPr>
                <w:rFonts w:hint="eastAsia" w:ascii="仿宋_GB2312" w:hAnsi="宋体" w:eastAsia="仿宋_GB2312" w:cs="宋体"/>
                <w:sz w:val="28"/>
                <w:szCs w:val="28"/>
                <w:shd w:val="clear" w:color="auto" w:fill="FFFFFF"/>
              </w:rPr>
              <w:t>，公用支出</w:t>
            </w:r>
            <w:r>
              <w:rPr>
                <w:rFonts w:ascii="仿宋_GB2312" w:hAnsi="宋体" w:eastAsia="仿宋_GB2312" w:cs="宋体"/>
                <w:sz w:val="28"/>
                <w:szCs w:val="28"/>
                <w:shd w:val="clear" w:color="auto" w:fill="FFFFFF"/>
              </w:rPr>
              <w:t>76.1</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64%</w:t>
            </w:r>
            <w:r>
              <w:rPr>
                <w:rFonts w:hint="eastAsia" w:ascii="仿宋_GB2312" w:hAnsi="宋体" w:eastAsia="仿宋_GB2312" w:cs="宋体"/>
                <w:sz w:val="28"/>
                <w:szCs w:val="28"/>
                <w:shd w:val="clear" w:color="auto" w:fill="FFFFFF"/>
              </w:rPr>
              <w:t>，项目支出</w:t>
            </w:r>
            <w:r>
              <w:rPr>
                <w:rFonts w:ascii="仿宋_GB2312" w:hAnsi="宋体" w:eastAsia="仿宋_GB2312" w:cs="宋体"/>
                <w:sz w:val="28"/>
                <w:szCs w:val="28"/>
                <w:shd w:val="clear" w:color="auto" w:fill="FFFFFF"/>
              </w:rPr>
              <w:t>0</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年“三公经费”预算</w:t>
            </w:r>
            <w:r>
              <w:rPr>
                <w:rFonts w:ascii="仿宋_GB2312" w:hAnsi="宋体" w:eastAsia="仿宋_GB2312" w:cs="宋体"/>
                <w:sz w:val="28"/>
                <w:szCs w:val="28"/>
                <w:shd w:val="clear" w:color="auto" w:fill="FFFFFF"/>
              </w:rPr>
              <w:t>0.5</w:t>
            </w:r>
            <w:r>
              <w:rPr>
                <w:rFonts w:hint="eastAsia" w:ascii="仿宋_GB2312" w:hAnsi="宋体" w:eastAsia="仿宋_GB2312" w:cs="宋体"/>
                <w:sz w:val="28"/>
                <w:szCs w:val="28"/>
                <w:shd w:val="clear" w:color="auto" w:fill="FFFFFF"/>
              </w:rPr>
              <w:t>万元，实际开支</w:t>
            </w:r>
            <w:r>
              <w:rPr>
                <w:rFonts w:ascii="仿宋_GB2312" w:hAnsi="宋体" w:eastAsia="仿宋_GB2312" w:cs="宋体"/>
                <w:sz w:val="28"/>
                <w:szCs w:val="28"/>
                <w:shd w:val="clear" w:color="auto" w:fill="FFFFFF"/>
              </w:rPr>
              <w:t>0.32</w:t>
            </w:r>
            <w:r>
              <w:rPr>
                <w:rFonts w:hint="eastAsia" w:ascii="仿宋_GB2312" w:hAnsi="宋体" w:eastAsia="仿宋_GB2312" w:cs="宋体"/>
                <w:sz w:val="28"/>
                <w:szCs w:val="28"/>
                <w:shd w:val="clear" w:color="auto" w:fill="FFFFFF"/>
              </w:rPr>
              <w:t>万元。“三公经费”与去年基本持平，控制在年初预算之内。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ascii="仿宋_GB2312" w:hAnsi="宋体" w:eastAsia="仿宋_GB2312" w:cs="宋体"/>
                <w:sz w:val="28"/>
                <w:szCs w:val="28"/>
                <w:shd w:val="clear" w:color="auto" w:fill="FFFFFF"/>
              </w:rPr>
              <w:t>10.7</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年项目支出</w:t>
            </w:r>
            <w:r>
              <w:rPr>
                <w:rFonts w:ascii="仿宋_GB2312" w:hAnsi="宋体" w:eastAsia="仿宋_GB2312" w:cs="宋体"/>
                <w:sz w:val="28"/>
                <w:szCs w:val="28"/>
                <w:shd w:val="clear" w:color="auto" w:fill="FFFFFF"/>
              </w:rPr>
              <w:t xml:space="preserve">  0  </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三是进一步完善差旅审批、会议审批、接待审批及培训审批制度和财务报账手续。</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spacing w:line="560" w:lineRule="exact"/>
              <w:ind w:firstLine="560" w:firstLineChars="200"/>
              <w:rPr>
                <w:rFonts w:ascii="仿宋_GB2312" w:hAnsi="宋体" w:eastAsia="仿宋_GB2312" w:cs="宋体"/>
                <w:sz w:val="28"/>
                <w:szCs w:val="28"/>
                <w:shd w:val="clear" w:color="auto" w:fill="FFFFFF"/>
              </w:rPr>
            </w:pPr>
          </w:p>
          <w:p>
            <w:pPr>
              <w:rPr>
                <w:rFonts w:ascii="仿宋_GB2312" w:hAnsi="宋体" w:eastAsia="仿宋_GB2312" w:cs="宋体"/>
                <w:sz w:val="28"/>
                <w:szCs w:val="28"/>
                <w:shd w:val="clear" w:color="auto" w:fill="FFFFFF"/>
              </w:rPr>
            </w:pPr>
          </w:p>
        </w:tc>
      </w:tr>
    </w:tbl>
    <w:p>
      <w:pPr>
        <w:spacing w:line="200" w:lineRule="exact"/>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10</w:t>
    </w:r>
    <w:r>
      <w:rPr>
        <w:rStyle w:val="7"/>
        <w:sz w:val="24"/>
        <w:szCs w:val="24"/>
      </w:rPr>
      <w:fldChar w:fldCharType="end"/>
    </w:r>
    <w:r>
      <w:rPr>
        <w:rStyle w:val="7"/>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F79"/>
    <w:multiLevelType w:val="multilevel"/>
    <w:tmpl w:val="014C6F79"/>
    <w:lvl w:ilvl="0" w:tentative="0">
      <w:start w:val="1"/>
      <w:numFmt w:val="japaneseCounting"/>
      <w:pStyle w:val="2"/>
      <w:lvlText w:val="%1、"/>
      <w:lvlJc w:val="left"/>
      <w:pPr>
        <w:ind w:left="720" w:hanging="7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105029"/>
    <w:rsid w:val="00156118"/>
    <w:rsid w:val="001F609A"/>
    <w:rsid w:val="00212E58"/>
    <w:rsid w:val="00335C98"/>
    <w:rsid w:val="003551AF"/>
    <w:rsid w:val="003C0311"/>
    <w:rsid w:val="004475B4"/>
    <w:rsid w:val="0045405B"/>
    <w:rsid w:val="00496ABC"/>
    <w:rsid w:val="004A1371"/>
    <w:rsid w:val="004B1D50"/>
    <w:rsid w:val="004E1B79"/>
    <w:rsid w:val="004E680A"/>
    <w:rsid w:val="005B7431"/>
    <w:rsid w:val="005F423D"/>
    <w:rsid w:val="00647D61"/>
    <w:rsid w:val="006A4DDD"/>
    <w:rsid w:val="006C1AA1"/>
    <w:rsid w:val="00757ED6"/>
    <w:rsid w:val="007B2063"/>
    <w:rsid w:val="007B411F"/>
    <w:rsid w:val="008277A9"/>
    <w:rsid w:val="00877826"/>
    <w:rsid w:val="008A088A"/>
    <w:rsid w:val="008B3DC0"/>
    <w:rsid w:val="008E31AF"/>
    <w:rsid w:val="008F7974"/>
    <w:rsid w:val="00901E0E"/>
    <w:rsid w:val="009C26D2"/>
    <w:rsid w:val="00A25C0C"/>
    <w:rsid w:val="00A92A11"/>
    <w:rsid w:val="00AB6051"/>
    <w:rsid w:val="00AC6FAF"/>
    <w:rsid w:val="00B51D25"/>
    <w:rsid w:val="00DA059A"/>
    <w:rsid w:val="00DA3F5B"/>
    <w:rsid w:val="00E16E0C"/>
    <w:rsid w:val="00E417B6"/>
    <w:rsid w:val="00E65129"/>
    <w:rsid w:val="00EB3493"/>
    <w:rsid w:val="00FE4D6A"/>
    <w:rsid w:val="083749E7"/>
    <w:rsid w:val="0C6C520A"/>
    <w:rsid w:val="0DE528CD"/>
    <w:rsid w:val="18725427"/>
    <w:rsid w:val="263C173A"/>
    <w:rsid w:val="2B7F45AB"/>
    <w:rsid w:val="2CA33441"/>
    <w:rsid w:val="2CE55C20"/>
    <w:rsid w:val="2F287302"/>
    <w:rsid w:val="30426D13"/>
    <w:rsid w:val="33DA5C2E"/>
    <w:rsid w:val="3A43255A"/>
    <w:rsid w:val="3D6201A1"/>
    <w:rsid w:val="477245B4"/>
    <w:rsid w:val="4E4F0BB0"/>
    <w:rsid w:val="5BE95901"/>
    <w:rsid w:val="682E726C"/>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locked/>
    <w:uiPriority w:val="99"/>
    <w:pPr>
      <w:numPr>
        <w:ilvl w:val="0"/>
        <w:numId w:val="1"/>
      </w:numPr>
      <w:ind w:left="720" w:hanging="720"/>
      <w:outlineLvl w:val="0"/>
    </w:pPr>
    <w:rPr>
      <w:rFonts w:hint="eastAsia" w:ascii="黑体" w:hAnsi="黑体" w:eastAsia="黑体"/>
      <w:sz w:val="30"/>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8"/>
    <w:uiPriority w:val="99"/>
    <w:pPr>
      <w:ind w:firstLine="588" w:firstLineChars="200"/>
    </w:pPr>
    <w:rPr>
      <w:rFonts w:ascii="仿宋_GB2312" w:hAnsi="Calibri" w:eastAsia="仿宋_GB2312"/>
      <w:sz w:val="32"/>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character" w:styleId="7">
    <w:name w:val="page number"/>
    <w:basedOn w:val="6"/>
    <w:qFormat/>
    <w:uiPriority w:val="99"/>
    <w:rPr>
      <w:rFonts w:cs="Times New Roman"/>
    </w:rPr>
  </w:style>
  <w:style w:type="character" w:customStyle="1" w:styleId="8">
    <w:name w:val="Body Text Indent 2 Char"/>
    <w:basedOn w:val="6"/>
    <w:link w:val="3"/>
    <w:semiHidden/>
    <w:locked/>
    <w:uiPriority w:val="99"/>
    <w:rPr>
      <w:rFonts w:cs="Times New Roman"/>
      <w:sz w:val="24"/>
      <w:szCs w:val="24"/>
    </w:rPr>
  </w:style>
  <w:style w:type="character" w:customStyle="1" w:styleId="9">
    <w:name w:val="Footer Char"/>
    <w:basedOn w:val="6"/>
    <w:link w:val="4"/>
    <w:semiHidden/>
    <w:qFormat/>
    <w:locked/>
    <w:uiPriority w:val="99"/>
    <w:rPr>
      <w:rFonts w:cs="Times New Roman"/>
      <w:sz w:val="18"/>
      <w:szCs w:val="18"/>
    </w:rPr>
  </w:style>
  <w:style w:type="character" w:customStyle="1" w:styleId="10">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1437</Words>
  <Characters>8192</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2020-12-10T00:58:10Z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