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  <w:lang w:eastAsia="zh-CN"/>
        </w:rPr>
        <w:t>华容县</w:t>
      </w:r>
      <w:r>
        <w:rPr>
          <w:rFonts w:hint="eastAsia"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u w:val="single"/>
        </w:rPr>
        <w:t>1</w:t>
      </w:r>
      <w:r>
        <w:rPr>
          <w:rFonts w:hint="eastAsia" w:eastAsia="方正小标宋简体"/>
          <w:bCs/>
          <w:sz w:val="46"/>
          <w:szCs w:val="46"/>
          <w:u w:val="single"/>
          <w:lang w:val="en-US" w:eastAsia="zh-CN"/>
        </w:rPr>
        <w:t>9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eastAsia="zh-CN"/>
        </w:rPr>
        <w:t>华容县总工会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 </w:t>
      </w:r>
      <w:r>
        <w:rPr>
          <w:rFonts w:hint="eastAsia" w:eastAsia="仿宋_GB2312"/>
          <w:sz w:val="32"/>
          <w:lang w:val="en-US" w:eastAsia="zh-CN"/>
        </w:rPr>
        <w:t>2020</w:t>
      </w:r>
      <w:r>
        <w:rPr>
          <w:rFonts w:hint="eastAsia" w:eastAsia="仿宋_GB2312"/>
          <w:sz w:val="32"/>
        </w:rPr>
        <w:t xml:space="preserve">年  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20</w:t>
      </w:r>
      <w:r>
        <w:rPr>
          <w:rFonts w:hint="eastAsia" w:eastAsia="仿宋_GB2312"/>
          <w:sz w:val="32"/>
        </w:rPr>
        <w:t xml:space="preserve">  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4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季彩霞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15073032908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1.维护职工合法权益；2.加强职工教育；3.组建健全工会组织；4.搞好困难职工和劳模的走访慰问送温暖；5.动员和组织职工劳动竞赛；6.督促企业民主管理，参与劳动关系的协调处理；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1.维护职工合法权益；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组建健全工会组织；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搞好困难职工和劳模的走访慰问送温；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任务4：动员和组织职工劳动竞赛；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任务5：督促并负责全县工会经费的收缴和工会财务的审计。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2019年度收、支总计235.97万元，与2018年相比，收支总计减少27万元，减少10.14%。主要原因是减压一般性支出，基本支出减少21.3万元，项目支出减少5.7万元。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235.97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235.97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235.97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235.97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235.97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169.31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137.58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31.73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66.66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235.97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169.31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137.58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31.73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66.66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2.34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2.34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250.52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250.52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250.52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250.52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目标3：……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县委县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p>
      <w:pPr>
        <w:spacing w:line="200" w:lineRule="exact"/>
        <w:jc w:val="both"/>
        <w:rPr>
          <w:rFonts w:hint="eastAsia" w:eastAsia="仿宋_GB2312"/>
          <w:sz w:val="32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55C20"/>
    <w:rsid w:val="007B2063"/>
    <w:rsid w:val="083749E7"/>
    <w:rsid w:val="0DE528CD"/>
    <w:rsid w:val="18725427"/>
    <w:rsid w:val="263C173A"/>
    <w:rsid w:val="2CA33441"/>
    <w:rsid w:val="2CE55C20"/>
    <w:rsid w:val="2F287302"/>
    <w:rsid w:val="30426D13"/>
    <w:rsid w:val="33B677A1"/>
    <w:rsid w:val="3A43255A"/>
    <w:rsid w:val="3D6201A1"/>
    <w:rsid w:val="411B0E4C"/>
    <w:rsid w:val="477245B4"/>
    <w:rsid w:val="4E4F0BB0"/>
    <w:rsid w:val="4F7C48F8"/>
    <w:rsid w:val="57E53E0A"/>
    <w:rsid w:val="5BE95901"/>
    <w:rsid w:val="6A0A15CD"/>
    <w:rsid w:val="6DF352BD"/>
    <w:rsid w:val="705E3E6D"/>
    <w:rsid w:val="71C1048A"/>
    <w:rsid w:val="73F35F5B"/>
    <w:rsid w:val="79C04582"/>
    <w:rsid w:val="7D1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Administrator</cp:lastModifiedBy>
  <cp:lastPrinted>2019-08-12T01:11:00Z</cp:lastPrinted>
  <dcterms:modified xsi:type="dcterms:W3CDTF">2020-12-10T00:54:43Z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