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w:t>
      </w:r>
      <w:r>
        <w:rPr>
          <w:rFonts w:eastAsia="方正小标宋简体"/>
          <w:bCs/>
          <w:sz w:val="46"/>
          <w:szCs w:val="46"/>
        </w:rPr>
        <w:t>20</w:t>
      </w:r>
      <w:r>
        <w:rPr>
          <w:rFonts w:eastAsia="方正小标宋简体"/>
          <w:bCs/>
          <w:sz w:val="46"/>
          <w:szCs w:val="46"/>
          <w:u w:val="single"/>
        </w:rPr>
        <w:t>19</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名称：华容县政务服务中心</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30"/>
          <w:sz w:val="32"/>
          <w:szCs w:val="32"/>
        </w:rPr>
        <w:t>103002</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2020</w:t>
      </w:r>
      <w:r>
        <w:rPr>
          <w:rFonts w:hint="eastAsia" w:eastAsia="仿宋_GB2312"/>
          <w:sz w:val="32"/>
        </w:rPr>
        <w:t>年</w:t>
      </w:r>
      <w:r>
        <w:rPr>
          <w:rFonts w:eastAsia="仿宋_GB2312"/>
          <w:sz w:val="32"/>
        </w:rPr>
        <w:t>10</w:t>
      </w:r>
      <w:r>
        <w:rPr>
          <w:rFonts w:hint="eastAsia" w:eastAsia="仿宋_GB2312"/>
          <w:sz w:val="32"/>
        </w:rPr>
        <w:t>月</w:t>
      </w:r>
      <w:r>
        <w:rPr>
          <w:rFonts w:eastAsia="仿宋_GB2312"/>
          <w:sz w:val="32"/>
        </w:rPr>
        <w:t>20</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陈慧洋</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17773091216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人员编制</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12</w:t>
            </w:r>
          </w:p>
        </w:tc>
        <w:tc>
          <w:tcPr>
            <w:tcW w:w="1479" w:type="dxa"/>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实有人数</w:t>
            </w:r>
          </w:p>
        </w:tc>
        <w:tc>
          <w:tcPr>
            <w:tcW w:w="3106" w:type="dxa"/>
            <w:gridSpan w:val="8"/>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对全县具有行政许可及行政审批职能的部门进行分类管理；</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主要负责对窗口办理的行政许可和行政审批事项全过程进行监督协调，并进行日常考勤考核管理；</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负责对乡镇和县直单位的政务公开和政务服务工作进行检查督促。</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146" w:type="dxa"/>
            <w:gridSpan w:val="15"/>
            <w:noWrap/>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：建好“一扇门”，推进服务高效集成。</w:t>
            </w:r>
          </w:p>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：办好“一件事”，推进服务提质增效。</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：用好“一张网”，推进服务“上云”。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FF0000"/>
                <w:spacing w:val="-6"/>
                <w:sz w:val="24"/>
              </w:rPr>
            </w:pPr>
            <w:r>
              <w:rPr>
                <w:rFonts w:hint="eastAsia" w:ascii="仿宋_GB2312" w:hAnsi="仿宋_GB2312" w:eastAsia="仿宋_GB2312" w:cs="仿宋_GB2312"/>
                <w:color w:val="auto"/>
                <w:sz w:val="24"/>
                <w:lang w:eastAsia="zh-CN"/>
              </w:rPr>
              <w:t>年度部门（单位）总体运行情况及取得的成绩</w:t>
            </w:r>
          </w:p>
        </w:tc>
        <w:tc>
          <w:tcPr>
            <w:tcW w:w="8146" w:type="dxa"/>
            <w:gridSpan w:val="15"/>
            <w:noWrap/>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自我县提出推进“最多跑一次”改革后，取得了阶段性成果。2018年度获全省第一批省政府“放管服”改革表扬激励县的表彰，湖南省《全面深化改革工作简报》推介华容经验。2019年岳阳日报头版分别用标题《一窗受理 集成服务“华容 跑改”跑出新速度》、《放管服加力、群众享红利》对我县改革进行了详细的宣传报道，市跑改办在工作简报上向全市推介华容县“最多跑一次”改革的典型经验。2020年我县改革经验已上报省《基层改革探索100例》，并被《湘组研究》2020年第七期专题报道</w:t>
            </w:r>
            <w:r>
              <w:rPr>
                <w:rFonts w:hint="eastAsia" w:ascii="仿宋_GB2312" w:hAnsi="仿宋_GB2312" w:eastAsia="仿宋_GB2312" w:cs="仿宋_GB2312"/>
                <w:color w:val="auto"/>
                <w:sz w:val="24"/>
                <w:lang w:eastAsia="zh-CN"/>
              </w:rPr>
              <w:t>以及在</w:t>
            </w:r>
            <w:r>
              <w:rPr>
                <w:rFonts w:hint="eastAsia" w:ascii="仿宋_GB2312" w:hAnsi="仿宋_GB2312" w:eastAsia="仿宋_GB2312" w:cs="仿宋_GB2312"/>
                <w:color w:val="auto"/>
                <w:sz w:val="24"/>
              </w:rPr>
              <w:t>岳阳日报头版宣传报道。</w:t>
            </w:r>
          </w:p>
          <w:p>
            <w:pPr>
              <w:autoSpaceDN w:val="0"/>
              <w:spacing w:line="320" w:lineRule="exact"/>
              <w:jc w:val="left"/>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1507</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1507</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1270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425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128</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297</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845</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260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1270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425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128</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297</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845</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260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428.6</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428.6</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tcPr>
          <w:p>
            <w:r>
              <w:rPr>
                <w:rFonts w:ascii="仿宋_GB2312" w:hAnsi="仿宋_GB2312" w:eastAsia="仿宋_GB2312" w:cs="仿宋_GB2312"/>
                <w:color w:val="000000"/>
                <w:sz w:val="24"/>
              </w:rPr>
              <w:t>428.6</w:t>
            </w:r>
          </w:p>
        </w:tc>
        <w:tc>
          <w:tcPr>
            <w:tcW w:w="2435" w:type="dxa"/>
            <w:gridSpan w:val="4"/>
            <w:tcBorders>
              <w:left w:val="single" w:color="auto" w:sz="4" w:space="0"/>
            </w:tcBorders>
            <w:noWrap/>
          </w:tcPr>
          <w:p>
            <w:pPr>
              <w:ind w:firstLine="960" w:firstLineChars="400"/>
            </w:pPr>
            <w:r>
              <w:rPr>
                <w:rFonts w:ascii="仿宋_GB2312" w:hAnsi="仿宋_GB2312" w:eastAsia="仿宋_GB2312" w:cs="仿宋_GB2312"/>
                <w:color w:val="000000"/>
                <w:sz w:val="24"/>
              </w:rPr>
              <w:t>428.6</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整体支出绩效定性目标及实施计划完成情况</w:t>
            </w:r>
          </w:p>
        </w:tc>
        <w:tc>
          <w:tcPr>
            <w:tcW w:w="3774" w:type="dxa"/>
            <w:gridSpan w:val="7"/>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预期目标</w:t>
            </w:r>
          </w:p>
        </w:tc>
        <w:tc>
          <w:tcPr>
            <w:tcW w:w="4585" w:type="dxa"/>
            <w:gridSpan w:val="9"/>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3774" w:type="dxa"/>
            <w:gridSpan w:val="7"/>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lang w:eastAsia="zh-CN"/>
              </w:rPr>
              <w:t>建好“一扇门”，推进服务高效集成。</w:t>
            </w:r>
          </w:p>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lang w:eastAsia="zh-CN"/>
              </w:rPr>
              <w:t>办好“一件事”，推进服务提质增效。</w:t>
            </w:r>
          </w:p>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lang w:eastAsia="zh-CN"/>
              </w:rPr>
              <w:t>用好“一张网”，推进服务“上云”。</w:t>
            </w:r>
          </w:p>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4585" w:type="dxa"/>
            <w:gridSpan w:val="9"/>
            <w:noWrap/>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整体支出</w:t>
            </w:r>
          </w:p>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绩效定量目标及实施计划完成情况</w:t>
            </w:r>
          </w:p>
        </w:tc>
        <w:tc>
          <w:tcPr>
            <w:tcW w:w="2966"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评价内容</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绩效目标</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restart"/>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产出目标</w:t>
            </w:r>
          </w:p>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质量指标</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指标1：制定政务服务工作方案。</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417" w:type="dxa"/>
            <w:gridSpan w:val="2"/>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指标2：更新窗口办事项目</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417" w:type="dxa"/>
            <w:gridSpan w:val="2"/>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417" w:type="dxa"/>
            <w:gridSpan w:val="2"/>
            <w:vMerge w:val="restart"/>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数量指标</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指标1：全县政务公开督查2次</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417" w:type="dxa"/>
            <w:gridSpan w:val="2"/>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指标2：</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417" w:type="dxa"/>
            <w:gridSpan w:val="2"/>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417" w:type="dxa"/>
            <w:gridSpan w:val="2"/>
            <w:vMerge w:val="restart"/>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时效指标</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指标1：年度内完成</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417" w:type="dxa"/>
            <w:gridSpan w:val="2"/>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指标2：</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417" w:type="dxa"/>
            <w:gridSpan w:val="2"/>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417" w:type="dxa"/>
            <w:gridSpan w:val="2"/>
            <w:vMerge w:val="restart"/>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成本指标</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指标1：</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417" w:type="dxa"/>
            <w:gridSpan w:val="2"/>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指标2：</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417" w:type="dxa"/>
            <w:gridSpan w:val="2"/>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restart"/>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效益目标</w:t>
            </w:r>
          </w:p>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（预期实现的效益）</w:t>
            </w:r>
          </w:p>
        </w:tc>
        <w:tc>
          <w:tcPr>
            <w:tcW w:w="1417" w:type="dxa"/>
            <w:gridSpan w:val="2"/>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社会效益</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指标1：方便办事群众</w:t>
            </w:r>
          </w:p>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指标2：政府工作更加公开透明。</w:t>
            </w:r>
          </w:p>
          <w:p>
            <w:pPr>
              <w:autoSpaceDN w:val="0"/>
              <w:spacing w:line="320" w:lineRule="exact"/>
              <w:jc w:val="center"/>
              <w:textAlignment w:val="center"/>
              <w:rPr>
                <w:rFonts w:hint="eastAsia" w:ascii="仿宋_GB2312" w:hAnsi="仿宋_GB2312" w:eastAsia="仿宋_GB2312" w:cs="仿宋_GB2312"/>
                <w:color w:val="auto"/>
                <w:sz w:val="24"/>
                <w:lang w:eastAsia="zh-CN"/>
              </w:rPr>
            </w:pPr>
          </w:p>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417" w:type="dxa"/>
            <w:gridSpan w:val="2"/>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经济效益</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协助征收建安税</w:t>
            </w:r>
            <w:r>
              <w:rPr>
                <w:rFonts w:hint="eastAsia" w:ascii="仿宋_GB2312" w:hAnsi="仿宋_GB2312" w:eastAsia="仿宋_GB2312" w:cs="仿宋_GB2312"/>
                <w:color w:val="auto"/>
                <w:sz w:val="24"/>
                <w:lang w:val="en-US" w:eastAsia="zh-CN"/>
              </w:rPr>
              <w:t>5178</w:t>
            </w:r>
            <w:r>
              <w:rPr>
                <w:rFonts w:hint="eastAsia" w:ascii="仿宋_GB2312" w:hAnsi="仿宋_GB2312" w:eastAsia="仿宋_GB2312" w:cs="仿宋_GB2312"/>
                <w:color w:val="auto"/>
                <w:sz w:val="24"/>
                <w:lang w:eastAsia="zh-CN"/>
              </w:rPr>
              <w:t>万元</w:t>
            </w:r>
          </w:p>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417" w:type="dxa"/>
            <w:gridSpan w:val="2"/>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生态效益</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转变政府职能、提高行政工作效率、优化经济发展环境、推进廉政设。</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549" w:type="dxa"/>
            <w:gridSpan w:val="4"/>
            <w:vMerge w:val="continue"/>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1417" w:type="dxa"/>
            <w:gridSpan w:val="2"/>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社会公众或服务对象满意度</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指标1：</w:t>
            </w:r>
            <w:r>
              <w:rPr>
                <w:rFonts w:hint="eastAsia" w:ascii="仿宋_GB2312" w:hAnsi="仿宋_GB2312" w:eastAsia="仿宋_GB2312" w:cs="仿宋_GB2312"/>
                <w:color w:val="auto"/>
                <w:sz w:val="24"/>
                <w:lang w:val="en-US" w:eastAsia="zh-CN"/>
              </w:rPr>
              <w:t>96</w:t>
            </w:r>
            <w:r>
              <w:rPr>
                <w:rFonts w:hint="eastAsia" w:ascii="仿宋_GB2312" w:hAnsi="仿宋_GB2312" w:eastAsia="仿宋_GB2312" w:cs="仿宋_GB2312"/>
                <w:color w:val="auto"/>
                <w:sz w:val="24"/>
                <w:lang w:eastAsia="zh-CN"/>
              </w:rPr>
              <w:t>%</w:t>
            </w:r>
          </w:p>
          <w:p>
            <w:pPr>
              <w:autoSpaceDN w:val="0"/>
              <w:spacing w:line="320" w:lineRule="exact"/>
              <w:jc w:val="center"/>
              <w:textAlignment w:val="center"/>
              <w:rPr>
                <w:rFonts w:hint="eastAsia" w:ascii="仿宋_GB2312" w:hAnsi="仿宋_GB2312" w:eastAsia="仿宋_GB2312" w:cs="仿宋_GB2312"/>
                <w:color w:val="auto"/>
                <w:sz w:val="24"/>
                <w:lang w:eastAsia="zh-CN"/>
              </w:rPr>
            </w:pP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绩效自评综合得分</w:t>
            </w:r>
          </w:p>
        </w:tc>
        <w:tc>
          <w:tcPr>
            <w:tcW w:w="6810" w:type="dxa"/>
            <w:gridSpan w:val="12"/>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评价等次</w:t>
            </w:r>
          </w:p>
        </w:tc>
        <w:tc>
          <w:tcPr>
            <w:tcW w:w="6810" w:type="dxa"/>
            <w:gridSpan w:val="12"/>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姓  名</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职务/职称</w:t>
            </w:r>
          </w:p>
        </w:tc>
        <w:tc>
          <w:tcPr>
            <w:tcW w:w="1479" w:type="dxa"/>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单  位</w:t>
            </w:r>
          </w:p>
        </w:tc>
        <w:tc>
          <w:tcPr>
            <w:tcW w:w="3106" w:type="dxa"/>
            <w:gridSpan w:val="8"/>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徐佳英</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副局长</w:t>
            </w:r>
          </w:p>
        </w:tc>
        <w:tc>
          <w:tcPr>
            <w:tcW w:w="1479" w:type="dxa"/>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行政审批服务局</w:t>
            </w:r>
          </w:p>
        </w:tc>
        <w:tc>
          <w:tcPr>
            <w:tcW w:w="3106" w:type="dxa"/>
            <w:gridSpan w:val="8"/>
            <w:noWrap/>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rPr>
              <w:t>刘达真</w:t>
            </w:r>
          </w:p>
        </w:tc>
        <w:tc>
          <w:tcPr>
            <w:tcW w:w="3561" w:type="dxa"/>
            <w:gridSpan w:val="6"/>
            <w:noWrap/>
            <w:vAlign w:val="center"/>
          </w:tcPr>
          <w:p>
            <w:pPr>
              <w:autoSpaceDN w:val="0"/>
              <w:spacing w:line="40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rPr>
              <w:t>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eastAsia="zh-CN"/>
              </w:rPr>
              <w:t>政务服务中心</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hint="default" w:eastAsia="仿宋_GB2312" w:cs="仿宋_GB2312"/>
          <w:bCs/>
          <w:color w:val="auto"/>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color w:val="auto"/>
          <w:sz w:val="28"/>
          <w:szCs w:val="28"/>
          <w:lang w:eastAsia="zh-CN"/>
        </w:rPr>
        <w:t>陈慧洋</w:t>
      </w:r>
      <w:r>
        <w:rPr>
          <w:rFonts w:hint="eastAsia" w:eastAsia="仿宋_GB2312" w:cs="仿宋_GB2312"/>
          <w:bCs/>
          <w:color w:val="auto"/>
          <w:sz w:val="28"/>
          <w:szCs w:val="28"/>
        </w:rPr>
        <w:t xml:space="preserve">     </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color w:val="auto"/>
          <w:sz w:val="28"/>
          <w:szCs w:val="28"/>
          <w:lang w:val="en-US" w:eastAsia="zh-CN"/>
        </w:rPr>
        <w:t>2929305</w:t>
      </w:r>
    </w:p>
    <w:p>
      <w:pPr>
        <w:rPr>
          <w:rFonts w:eastAsia="仿宋_GB2312" w:cs="仿宋_GB2312"/>
          <w:bCs/>
          <w:sz w:val="28"/>
          <w:szCs w:val="28"/>
        </w:rPr>
      </w:pP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五、评价报告综述（文字部分）</w:t>
            </w:r>
          </w:p>
          <w:p>
            <w:pPr>
              <w:spacing w:line="560" w:lineRule="exact"/>
              <w:ind w:firstLine="560" w:firstLineChars="200"/>
              <w:rPr>
                <w:rFonts w:ascii="仿宋_GB2312" w:hAnsi="宋体" w:eastAsia="仿宋_GB2312" w:cs="宋体"/>
                <w:sz w:val="28"/>
                <w:szCs w:val="28"/>
                <w:shd w:val="clear" w:color="auto" w:fill="FFFFFF"/>
              </w:rPr>
            </w:pP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一、部门（单位）概况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人，实有人数为</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人。</w:t>
            </w:r>
          </w:p>
          <w:p>
            <w:pPr>
              <w:keepNext/>
              <w:keepLines/>
              <w:shd w:val="clear" w:color="auto" w:fill="FFFFFF"/>
              <w:autoSpaceDE w:val="0"/>
              <w:autoSpaceDN w:val="0"/>
              <w:adjustRightInd w:val="0"/>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职责职能：对全县具有行政许可及行政审批职能的部门进行分类管理；主要负责对窗口办理的行政许可和行政审批事项全过程进行监督协调，并进行日常考勤考核管理；负责对乡镇和县直单位的政务公开和政务服务工作进行检查督促。</w:t>
            </w:r>
          </w:p>
          <w:p>
            <w:pPr>
              <w:keepNext/>
              <w:keepLines/>
              <w:autoSpaceDE w:val="0"/>
              <w:autoSpaceDN w:val="0"/>
              <w:adjustRightInd w:val="0"/>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内设机构：：综合办、政务公开股、行政审批制度改革股。</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w:t>
            </w:r>
            <w:r>
              <w:rPr>
                <w:rFonts w:ascii="仿宋_GB2312" w:hAnsi="宋体" w:eastAsia="仿宋_GB2312" w:cs="宋体"/>
                <w:sz w:val="28"/>
                <w:szCs w:val="28"/>
                <w:shd w:val="clear" w:color="auto" w:fill="FFFFFF"/>
              </w:rPr>
              <w:t>1530</w:t>
            </w:r>
            <w:r>
              <w:rPr>
                <w:rFonts w:hint="eastAsia" w:ascii="仿宋_GB2312" w:hAnsi="宋体" w:eastAsia="仿宋_GB2312" w:cs="宋体"/>
                <w:sz w:val="28"/>
                <w:szCs w:val="28"/>
                <w:shd w:val="clear" w:color="auto" w:fill="FFFFFF"/>
              </w:rPr>
              <w:t>万元，其中：财政拨款收入</w:t>
            </w:r>
            <w:r>
              <w:rPr>
                <w:rFonts w:ascii="仿宋_GB2312" w:hAnsi="宋体" w:eastAsia="仿宋_GB2312" w:cs="宋体"/>
                <w:sz w:val="28"/>
                <w:szCs w:val="28"/>
                <w:shd w:val="clear" w:color="auto" w:fill="FFFFFF"/>
              </w:rPr>
              <w:t>1507</w:t>
            </w:r>
            <w:r>
              <w:rPr>
                <w:rFonts w:hint="eastAsia" w:ascii="仿宋_GB2312" w:hAnsi="宋体" w:eastAsia="仿宋_GB2312" w:cs="宋体"/>
                <w:sz w:val="28"/>
                <w:szCs w:val="28"/>
                <w:shd w:val="clear" w:color="auto" w:fill="FFFFFF"/>
              </w:rPr>
              <w:t>万元，其他收入</w:t>
            </w:r>
            <w:r>
              <w:rPr>
                <w:rFonts w:ascii="仿宋_GB2312" w:hAnsi="宋体" w:eastAsia="仿宋_GB2312" w:cs="宋体"/>
                <w:sz w:val="28"/>
                <w:szCs w:val="28"/>
                <w:shd w:val="clear" w:color="auto" w:fill="FFFFFF"/>
              </w:rPr>
              <w:t>23</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w:t>
            </w:r>
            <w:r>
              <w:rPr>
                <w:rFonts w:ascii="仿宋_GB2312" w:hAnsi="宋体" w:eastAsia="仿宋_GB2312" w:cs="宋体"/>
                <w:sz w:val="28"/>
                <w:szCs w:val="28"/>
                <w:shd w:val="clear" w:color="auto" w:fill="FFFFFF"/>
              </w:rPr>
              <w:t>1270</w:t>
            </w:r>
            <w:r>
              <w:rPr>
                <w:rFonts w:hint="eastAsia" w:ascii="仿宋_GB2312" w:hAnsi="宋体" w:eastAsia="仿宋_GB2312" w:cs="宋体"/>
                <w:sz w:val="28"/>
                <w:szCs w:val="28"/>
                <w:shd w:val="clear" w:color="auto" w:fill="FFFFFF"/>
              </w:rPr>
              <w:t>万元，</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其中：基本支出</w:t>
            </w:r>
            <w:r>
              <w:rPr>
                <w:rFonts w:ascii="仿宋_GB2312" w:hAnsi="宋体" w:eastAsia="仿宋_GB2312" w:cs="宋体"/>
                <w:sz w:val="28"/>
                <w:szCs w:val="28"/>
                <w:shd w:val="clear" w:color="auto" w:fill="FFFFFF"/>
              </w:rPr>
              <w:t>425</w:t>
            </w:r>
            <w:r>
              <w:rPr>
                <w:rFonts w:hint="eastAsia" w:ascii="仿宋_GB2312" w:hAnsi="宋体" w:eastAsia="仿宋_GB2312" w:cs="宋体"/>
                <w:sz w:val="28"/>
                <w:szCs w:val="28"/>
                <w:shd w:val="clear" w:color="auto" w:fill="FFFFFF"/>
              </w:rPr>
              <w:t>万元（工资福利支出</w:t>
            </w:r>
            <w:r>
              <w:rPr>
                <w:rFonts w:ascii="仿宋_GB2312" w:hAnsi="宋体" w:eastAsia="仿宋_GB2312" w:cs="宋体"/>
                <w:sz w:val="28"/>
                <w:szCs w:val="28"/>
                <w:shd w:val="clear" w:color="auto" w:fill="FFFFFF"/>
              </w:rPr>
              <w:t>121.5</w:t>
            </w:r>
            <w:r>
              <w:rPr>
                <w:rFonts w:hint="eastAsia" w:ascii="仿宋_GB2312" w:hAnsi="宋体" w:eastAsia="仿宋_GB2312" w:cs="宋体"/>
                <w:sz w:val="28"/>
                <w:szCs w:val="28"/>
                <w:shd w:val="clear" w:color="auto" w:fill="FFFFFF"/>
              </w:rPr>
              <w:t>万元，商品和服务支出</w:t>
            </w:r>
            <w:r>
              <w:rPr>
                <w:rFonts w:ascii="仿宋_GB2312" w:hAnsi="宋体" w:eastAsia="仿宋_GB2312" w:cs="宋体"/>
                <w:sz w:val="28"/>
                <w:szCs w:val="28"/>
                <w:shd w:val="clear" w:color="auto" w:fill="FFFFFF"/>
              </w:rPr>
              <w:t>214.1</w:t>
            </w:r>
            <w:r>
              <w:rPr>
                <w:rFonts w:hint="eastAsia" w:ascii="仿宋_GB2312" w:hAnsi="宋体" w:eastAsia="仿宋_GB2312" w:cs="宋体"/>
                <w:sz w:val="28"/>
                <w:szCs w:val="28"/>
                <w:shd w:val="clear" w:color="auto" w:fill="FFFFFF"/>
              </w:rPr>
              <w:t>万元，对个人和家庭补助支出</w:t>
            </w:r>
            <w:r>
              <w:rPr>
                <w:rFonts w:ascii="仿宋_GB2312" w:hAnsi="宋体" w:eastAsia="仿宋_GB2312" w:cs="宋体"/>
                <w:sz w:val="28"/>
                <w:szCs w:val="28"/>
                <w:shd w:val="clear" w:color="auto" w:fill="FFFFFF"/>
              </w:rPr>
              <w:t xml:space="preserve"> 6.1 </w:t>
            </w:r>
            <w:r>
              <w:rPr>
                <w:rFonts w:hint="eastAsia" w:ascii="仿宋_GB2312" w:hAnsi="宋体" w:eastAsia="仿宋_GB2312" w:cs="宋体"/>
                <w:sz w:val="28"/>
                <w:szCs w:val="28"/>
                <w:shd w:val="clear" w:color="auto" w:fill="FFFFFF"/>
              </w:rPr>
              <w:t>万元，资本性支出</w:t>
            </w:r>
            <w:r>
              <w:rPr>
                <w:rFonts w:ascii="仿宋_GB2312" w:hAnsi="宋体" w:eastAsia="仿宋_GB2312" w:cs="宋体"/>
                <w:sz w:val="28"/>
                <w:szCs w:val="28"/>
                <w:shd w:val="clear" w:color="auto" w:fill="FFFFFF"/>
              </w:rPr>
              <w:t>79.5</w:t>
            </w:r>
            <w:r>
              <w:rPr>
                <w:rFonts w:hint="eastAsia" w:ascii="仿宋_GB2312" w:hAnsi="宋体" w:eastAsia="仿宋_GB2312" w:cs="宋体"/>
                <w:sz w:val="28"/>
                <w:szCs w:val="28"/>
                <w:shd w:val="clear" w:color="auto" w:fill="FFFFFF"/>
              </w:rPr>
              <w:t>万元，其他支出</w:t>
            </w:r>
            <w:r>
              <w:rPr>
                <w:rFonts w:ascii="仿宋_GB2312" w:hAnsi="宋体" w:eastAsia="仿宋_GB2312" w:cs="宋体"/>
                <w:sz w:val="28"/>
                <w:szCs w:val="28"/>
                <w:shd w:val="clear" w:color="auto" w:fill="FFFFFF"/>
              </w:rPr>
              <w:t>3.8</w:t>
            </w:r>
            <w:r>
              <w:rPr>
                <w:rFonts w:hint="eastAsia" w:ascii="仿宋_GB2312" w:hAnsi="宋体" w:eastAsia="仿宋_GB2312" w:cs="宋体"/>
                <w:sz w:val="28"/>
                <w:szCs w:val="28"/>
                <w:shd w:val="clear" w:color="auto" w:fill="FFFFFF"/>
              </w:rPr>
              <w:t>万元）。项目支出</w:t>
            </w:r>
            <w:r>
              <w:rPr>
                <w:rFonts w:ascii="仿宋_GB2312" w:hAnsi="宋体" w:eastAsia="仿宋_GB2312" w:cs="宋体"/>
                <w:sz w:val="28"/>
                <w:szCs w:val="28"/>
                <w:shd w:val="clear" w:color="auto" w:fill="FFFFFF"/>
              </w:rPr>
              <w:t>845</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年整体支出</w:t>
            </w:r>
            <w:r>
              <w:rPr>
                <w:rFonts w:ascii="仿宋_GB2312" w:hAnsi="宋体" w:eastAsia="仿宋_GB2312" w:cs="宋体"/>
                <w:sz w:val="28"/>
                <w:szCs w:val="28"/>
                <w:shd w:val="clear" w:color="auto" w:fill="FFFFFF"/>
              </w:rPr>
              <w:t>1270</w:t>
            </w:r>
            <w:r>
              <w:rPr>
                <w:rFonts w:hint="eastAsia" w:ascii="仿宋_GB2312" w:hAnsi="宋体" w:eastAsia="仿宋_GB2312" w:cs="宋体"/>
                <w:sz w:val="28"/>
                <w:szCs w:val="28"/>
                <w:shd w:val="clear" w:color="auto" w:fill="FFFFFF"/>
              </w:rPr>
              <w:t>万元，其中基本支出</w:t>
            </w:r>
            <w:r>
              <w:rPr>
                <w:rFonts w:ascii="仿宋_GB2312" w:hAnsi="宋体" w:eastAsia="仿宋_GB2312" w:cs="宋体"/>
                <w:sz w:val="28"/>
                <w:szCs w:val="28"/>
                <w:shd w:val="clear" w:color="auto" w:fill="FFFFFF"/>
              </w:rPr>
              <w:t>425</w:t>
            </w:r>
            <w:r>
              <w:rPr>
                <w:rFonts w:hint="eastAsia" w:ascii="仿宋_GB2312" w:hAnsi="宋体" w:eastAsia="仿宋_GB2312" w:cs="宋体"/>
                <w:sz w:val="28"/>
                <w:szCs w:val="28"/>
                <w:shd w:val="clear" w:color="auto" w:fill="FFFFFF"/>
              </w:rPr>
              <w:t>万元，人员支出</w:t>
            </w:r>
            <w:r>
              <w:rPr>
                <w:rFonts w:ascii="仿宋_GB2312" w:hAnsi="宋体" w:eastAsia="仿宋_GB2312" w:cs="宋体"/>
                <w:sz w:val="28"/>
                <w:szCs w:val="28"/>
                <w:shd w:val="clear" w:color="auto" w:fill="FFFFFF"/>
              </w:rPr>
              <w:t>127.6</w:t>
            </w:r>
            <w:r>
              <w:rPr>
                <w:rFonts w:hint="eastAsia" w:ascii="仿宋_GB2312" w:hAnsi="宋体" w:eastAsia="仿宋_GB2312" w:cs="宋体"/>
                <w:sz w:val="28"/>
                <w:szCs w:val="28"/>
                <w:shd w:val="clear" w:color="auto" w:fill="FFFFFF"/>
              </w:rPr>
              <w:t>万元，占基本支出</w:t>
            </w:r>
            <w:r>
              <w:rPr>
                <w:rFonts w:ascii="仿宋_GB2312" w:hAnsi="宋体" w:eastAsia="仿宋_GB2312" w:cs="宋体"/>
                <w:sz w:val="28"/>
                <w:szCs w:val="28"/>
                <w:shd w:val="clear" w:color="auto" w:fill="FFFFFF"/>
              </w:rPr>
              <w:t>30%</w:t>
            </w:r>
            <w:r>
              <w:rPr>
                <w:rFonts w:hint="eastAsia" w:ascii="仿宋_GB2312" w:hAnsi="宋体" w:eastAsia="仿宋_GB2312" w:cs="宋体"/>
                <w:sz w:val="28"/>
                <w:szCs w:val="28"/>
                <w:shd w:val="clear" w:color="auto" w:fill="FFFFFF"/>
              </w:rPr>
              <w:t>，公用支出</w:t>
            </w:r>
            <w:r>
              <w:rPr>
                <w:rFonts w:ascii="仿宋_GB2312" w:hAnsi="宋体" w:eastAsia="仿宋_GB2312" w:cs="宋体"/>
                <w:sz w:val="28"/>
                <w:szCs w:val="28"/>
                <w:shd w:val="clear" w:color="auto" w:fill="FFFFFF"/>
              </w:rPr>
              <w:t xml:space="preserve"> 297.4</w:t>
            </w:r>
            <w:r>
              <w:rPr>
                <w:rFonts w:hint="eastAsia" w:ascii="仿宋_GB2312" w:hAnsi="宋体" w:eastAsia="仿宋_GB2312" w:cs="宋体"/>
                <w:sz w:val="28"/>
                <w:szCs w:val="28"/>
                <w:shd w:val="clear" w:color="auto" w:fill="FFFFFF"/>
              </w:rPr>
              <w:t>万元，占基本支出</w:t>
            </w:r>
            <w:r>
              <w:rPr>
                <w:rFonts w:ascii="仿宋_GB2312" w:hAnsi="宋体" w:eastAsia="仿宋_GB2312" w:cs="宋体"/>
                <w:sz w:val="28"/>
                <w:szCs w:val="28"/>
                <w:shd w:val="clear" w:color="auto" w:fill="FFFFFF"/>
              </w:rPr>
              <w:t>70%</w:t>
            </w:r>
            <w:r>
              <w:rPr>
                <w:rFonts w:hint="eastAsia" w:ascii="仿宋_GB2312" w:hAnsi="宋体" w:eastAsia="仿宋_GB2312" w:cs="宋体"/>
                <w:sz w:val="28"/>
                <w:szCs w:val="28"/>
                <w:shd w:val="clear" w:color="auto" w:fill="FFFFFF"/>
              </w:rPr>
              <w:t>。项目支出</w:t>
            </w:r>
            <w:r>
              <w:rPr>
                <w:rFonts w:ascii="仿宋_GB2312" w:hAnsi="宋体" w:eastAsia="仿宋_GB2312" w:cs="宋体"/>
                <w:sz w:val="28"/>
                <w:szCs w:val="28"/>
                <w:shd w:val="clear" w:color="auto" w:fill="FFFFFF"/>
              </w:rPr>
              <w:t>845</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年“三公经费”预算</w:t>
            </w:r>
            <w:r>
              <w:rPr>
                <w:rFonts w:ascii="仿宋_GB2312" w:hAnsi="宋体" w:eastAsia="仿宋_GB2312" w:cs="宋体"/>
                <w:sz w:val="28"/>
                <w:szCs w:val="28"/>
                <w:shd w:val="clear" w:color="auto" w:fill="FFFFFF"/>
              </w:rPr>
              <w:t>9</w:t>
            </w:r>
            <w:r>
              <w:rPr>
                <w:rFonts w:hint="eastAsia" w:ascii="仿宋_GB2312" w:hAnsi="宋体" w:eastAsia="仿宋_GB2312" w:cs="宋体"/>
                <w:sz w:val="28"/>
                <w:szCs w:val="28"/>
                <w:shd w:val="clear" w:color="auto" w:fill="FFFFFF"/>
              </w:rPr>
              <w:t>万元，实际开支</w:t>
            </w:r>
            <w:r>
              <w:rPr>
                <w:rFonts w:ascii="仿宋_GB2312" w:hAnsi="宋体" w:eastAsia="仿宋_GB2312" w:cs="宋体"/>
                <w:sz w:val="28"/>
                <w:szCs w:val="28"/>
                <w:shd w:val="clear" w:color="auto" w:fill="FFFFFF"/>
              </w:rPr>
              <w:t>8.4</w:t>
            </w:r>
            <w:r>
              <w:rPr>
                <w:rFonts w:hint="eastAsia" w:ascii="仿宋_GB2312" w:hAnsi="宋体" w:eastAsia="仿宋_GB2312" w:cs="宋体"/>
                <w:sz w:val="28"/>
                <w:szCs w:val="28"/>
                <w:shd w:val="clear" w:color="auto" w:fill="FFFFFF"/>
              </w:rPr>
              <w:t>万元。“三公经费”比预算减少</w:t>
            </w:r>
            <w:r>
              <w:rPr>
                <w:rFonts w:ascii="仿宋_GB2312" w:hAnsi="宋体" w:eastAsia="仿宋_GB2312" w:cs="宋体"/>
                <w:sz w:val="28"/>
                <w:szCs w:val="28"/>
                <w:shd w:val="clear" w:color="auto" w:fill="FFFFFF"/>
              </w:rPr>
              <w:t>0.6</w:t>
            </w:r>
            <w:r>
              <w:rPr>
                <w:rFonts w:hint="eastAsia" w:ascii="仿宋_GB2312" w:hAnsi="宋体" w:eastAsia="仿宋_GB2312" w:cs="宋体"/>
                <w:sz w:val="28"/>
                <w:szCs w:val="28"/>
                <w:shd w:val="clear" w:color="auto" w:fill="FFFFFF"/>
              </w:rPr>
              <w:t>万元，控制在预算之内。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w:t>
            </w:r>
            <w:r>
              <w:rPr>
                <w:rFonts w:ascii="仿宋_GB2312" w:hAnsi="宋体" w:eastAsia="仿宋_GB2312" w:cs="宋体"/>
                <w:sz w:val="28"/>
                <w:szCs w:val="28"/>
                <w:shd w:val="clear" w:color="auto" w:fill="FFFFFF"/>
              </w:rPr>
              <w:t>428.6</w:t>
            </w:r>
            <w:r>
              <w:rPr>
                <w:rFonts w:hint="eastAsia" w:ascii="仿宋_GB2312" w:hAnsi="宋体" w:eastAsia="仿宋_GB2312" w:cs="宋体"/>
                <w:sz w:val="28"/>
                <w:szCs w:val="28"/>
                <w:shd w:val="clear" w:color="auto" w:fill="FFFFFF"/>
              </w:rPr>
              <w:t>万元</w:t>
            </w:r>
            <w:r>
              <w:rPr>
                <w:rFonts w:ascii="仿宋_GB2312" w:hAnsi="宋体" w:eastAsia="仿宋_GB2312" w:cs="宋体"/>
                <w:sz w:val="28"/>
                <w:szCs w:val="28"/>
                <w:shd w:val="clear" w:color="auto" w:fill="FFFFFF"/>
              </w:rPr>
              <w:t>.</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（二）专项支出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、专项资金安排落实、总投入等情况分析</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年收财政拨款项目资金</w:t>
            </w:r>
            <w:r>
              <w:rPr>
                <w:rFonts w:ascii="仿宋_GB2312" w:hAnsi="宋体" w:eastAsia="仿宋_GB2312" w:cs="宋体"/>
                <w:sz w:val="28"/>
                <w:szCs w:val="28"/>
                <w:shd w:val="clear" w:color="auto" w:fill="FFFFFF"/>
              </w:rPr>
              <w:t>1102.4</w:t>
            </w:r>
            <w:r>
              <w:rPr>
                <w:rFonts w:hint="eastAsia" w:ascii="仿宋_GB2312" w:hAnsi="宋体" w:eastAsia="仿宋_GB2312" w:cs="宋体"/>
                <w:sz w:val="28"/>
                <w:szCs w:val="28"/>
                <w:shd w:val="clear" w:color="auto" w:fill="FFFFFF"/>
              </w:rPr>
              <w:t>万元，其中大厅运行经费</w:t>
            </w:r>
            <w:r>
              <w:rPr>
                <w:rFonts w:ascii="仿宋_GB2312" w:hAnsi="宋体" w:eastAsia="仿宋_GB2312" w:cs="宋体"/>
                <w:sz w:val="28"/>
                <w:szCs w:val="28"/>
                <w:shd w:val="clear" w:color="auto" w:fill="FFFFFF"/>
              </w:rPr>
              <w:t>608</w:t>
            </w:r>
            <w:r>
              <w:rPr>
                <w:rFonts w:hint="eastAsia" w:ascii="仿宋_GB2312" w:hAnsi="宋体" w:eastAsia="仿宋_GB2312" w:cs="宋体"/>
                <w:sz w:val="28"/>
                <w:szCs w:val="28"/>
                <w:shd w:val="clear" w:color="auto" w:fill="FFFFFF"/>
              </w:rPr>
              <w:t>万，电子政务外网平台升级改造资金</w:t>
            </w:r>
            <w:r>
              <w:rPr>
                <w:rFonts w:ascii="仿宋_GB2312" w:hAnsi="宋体" w:eastAsia="仿宋_GB2312" w:cs="宋体"/>
                <w:sz w:val="28"/>
                <w:szCs w:val="28"/>
                <w:shd w:val="clear" w:color="auto" w:fill="FFFFFF"/>
              </w:rPr>
              <w:t>416.4</w:t>
            </w:r>
            <w:r>
              <w:rPr>
                <w:rFonts w:hint="eastAsia" w:ascii="仿宋_GB2312" w:hAnsi="宋体" w:eastAsia="仿宋_GB2312" w:cs="宋体"/>
                <w:sz w:val="28"/>
                <w:szCs w:val="28"/>
                <w:shd w:val="clear" w:color="auto" w:fill="FFFFFF"/>
              </w:rPr>
              <w:t>万元，“村镇办”系统建设资金</w:t>
            </w:r>
            <w:r>
              <w:rPr>
                <w:rFonts w:ascii="仿宋_GB2312" w:hAnsi="宋体" w:eastAsia="仿宋_GB2312" w:cs="宋体"/>
                <w:sz w:val="28"/>
                <w:szCs w:val="28"/>
                <w:shd w:val="clear" w:color="auto" w:fill="FFFFFF"/>
              </w:rPr>
              <w:t>78</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、专项资金实际使用情况分析</w:t>
            </w:r>
          </w:p>
          <w:p>
            <w:pPr>
              <w:spacing w:line="560" w:lineRule="exact"/>
              <w:ind w:firstLine="560" w:firstLineChars="200"/>
              <w:rPr>
                <w:rFonts w:ascii="仿宋_GB2312" w:hAnsi="宋体" w:eastAsia="仿宋_GB2312" w:cs="宋体"/>
                <w:color w:val="FF0000"/>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年项目支出</w:t>
            </w:r>
            <w:r>
              <w:rPr>
                <w:rFonts w:ascii="仿宋_GB2312" w:hAnsi="宋体" w:eastAsia="仿宋_GB2312" w:cs="宋体"/>
                <w:sz w:val="28"/>
                <w:szCs w:val="28"/>
                <w:shd w:val="clear" w:color="auto" w:fill="FFFFFF"/>
              </w:rPr>
              <w:t>845</w:t>
            </w:r>
            <w:r>
              <w:rPr>
                <w:rFonts w:hint="eastAsia" w:ascii="仿宋_GB2312" w:hAnsi="宋体" w:eastAsia="仿宋_GB2312" w:cs="宋体"/>
                <w:sz w:val="28"/>
                <w:szCs w:val="28"/>
                <w:shd w:val="clear" w:color="auto" w:fill="FFFFFF"/>
              </w:rPr>
              <w:t>万元，其中大厅运行经费</w:t>
            </w:r>
            <w:r>
              <w:rPr>
                <w:rFonts w:ascii="仿宋_GB2312" w:hAnsi="宋体" w:eastAsia="仿宋_GB2312" w:cs="宋体"/>
                <w:sz w:val="28"/>
                <w:szCs w:val="28"/>
                <w:shd w:val="clear" w:color="auto" w:fill="FFFFFF"/>
              </w:rPr>
              <w:t>526</w:t>
            </w:r>
            <w:r>
              <w:rPr>
                <w:rFonts w:hint="eastAsia" w:ascii="仿宋_GB2312" w:hAnsi="宋体" w:eastAsia="仿宋_GB2312" w:cs="宋体"/>
                <w:sz w:val="28"/>
                <w:szCs w:val="28"/>
                <w:shd w:val="clear" w:color="auto" w:fill="FFFFFF"/>
              </w:rPr>
              <w:t>万元，电子政务外网平台升级改造资金</w:t>
            </w:r>
            <w:r>
              <w:rPr>
                <w:rFonts w:ascii="仿宋_GB2312" w:hAnsi="宋体" w:eastAsia="仿宋_GB2312" w:cs="宋体"/>
                <w:sz w:val="28"/>
                <w:szCs w:val="28"/>
                <w:shd w:val="clear" w:color="auto" w:fill="FFFFFF"/>
              </w:rPr>
              <w:t>298.6</w:t>
            </w:r>
            <w:r>
              <w:rPr>
                <w:rFonts w:hint="eastAsia" w:ascii="仿宋_GB2312" w:hAnsi="宋体" w:eastAsia="仿宋_GB2312" w:cs="宋体"/>
                <w:sz w:val="28"/>
                <w:szCs w:val="28"/>
                <w:shd w:val="clear" w:color="auto" w:fill="FFFFFF"/>
              </w:rPr>
              <w:t>万元，“村镇办”系统建设</w:t>
            </w:r>
            <w:r>
              <w:rPr>
                <w:rFonts w:ascii="仿宋_GB2312" w:hAnsi="宋体" w:eastAsia="仿宋_GB2312" w:cs="宋体"/>
                <w:sz w:val="28"/>
                <w:szCs w:val="28"/>
                <w:shd w:val="clear" w:color="auto" w:fill="FFFFFF"/>
              </w:rPr>
              <w:t>20.4</w:t>
            </w:r>
            <w:r>
              <w:rPr>
                <w:rFonts w:hint="eastAsia" w:ascii="仿宋_GB2312" w:hAnsi="宋体" w:eastAsia="仿宋_GB2312" w:cs="宋体"/>
                <w:sz w:val="28"/>
                <w:szCs w:val="28"/>
                <w:shd w:val="clear" w:color="auto" w:fill="FFFFFF"/>
              </w:rPr>
              <w:t>万元。</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3、专项资金管理情况分析</w:t>
            </w:r>
          </w:p>
          <w:p>
            <w:pPr>
              <w:spacing w:line="560" w:lineRule="exact"/>
              <w:ind w:firstLine="560" w:firstLineChars="200"/>
              <w:rPr>
                <w:rFonts w:hint="eastAsia" w:ascii="仿宋_GB2312" w:hAnsi="宋体" w:eastAsia="仿宋_GB2312" w:cs="宋体"/>
                <w:sz w:val="28"/>
                <w:szCs w:val="28"/>
                <w:shd w:val="clear" w:color="auto" w:fill="FFFFFF"/>
              </w:rPr>
            </w:pP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三、部门（单位）专项组织实施情况</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（一）专项组织情况分析</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（二）专项管理情况分析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在支出预算编制上，人员经费按照配置定额，逐人核定编制，公用经费分类分档，按定额编制；根据“总量控制、计划管理”的要求从严控制行政经费，压缩一般性支出，严格控制“三公”经费，资产的配置严格政府采购，按照预算科目和项目资金的规定使用财政资金，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财务管理上，按照国家相关法律法规，制定了机关财务、公物购置使用、接待、会务、差旅等管理制度，并严格按照制度管理和执行，防范风险，保证财政资金的安全和高效运行。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根据考核评分细则，严格按照国家的相关财务管理制度规定，财务制度健全、会计核算规范，依照计划管理使用，整体支出对保障正常运行、贯彻执行国家方针、政策、法律法规，发挥了重要作用，强化部门的责任，取得了一定的成绩，确保全县各项社会稳定。</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一是“三公经费”有待更严格控制</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进一步加强厉行节约机制。</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二是预算编制与实际支出项目有的存在差异，有待进一步优化预算，提升预算编制的准确性。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三是进一步完善差旅审批、会议审批、接待审批及培训审批制度和财务报账手续。</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六、改进措施和有关建议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二是严格控制“三公经费”支出，杜绝挪用和挤占其他预算资金；进一步细化“三公经费”管理，压缩“三公经费”支出。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三是预算财务分析常态化，定期做好预算支出财务分析，做好部门整体支出预算评价工作。</w:t>
            </w:r>
          </w:p>
          <w:p>
            <w:pPr>
              <w:spacing w:line="560" w:lineRule="exact"/>
              <w:ind w:firstLine="560" w:firstLineChars="200"/>
              <w:rPr>
                <w:rFonts w:ascii="仿宋_GB2312" w:hAnsi="宋体" w:eastAsia="仿宋_GB2312" w:cs="宋体"/>
                <w:sz w:val="28"/>
                <w:szCs w:val="28"/>
                <w:shd w:val="clear" w:color="auto" w:fill="FFFFFF"/>
              </w:rPr>
            </w:pPr>
          </w:p>
        </w:tc>
      </w:tr>
    </w:tbl>
    <w:p>
      <w:pPr>
        <w:spacing w:line="200" w:lineRule="exact"/>
        <w:rPr>
          <w:rFonts w:eastAsia="仿宋_GB2312"/>
          <w:sz w:val="32"/>
        </w:rPr>
      </w:pPr>
      <w:bookmarkStart w:id="0" w:name="_GoBack"/>
      <w:bookmarkEnd w:id="0"/>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1</w:t>
    </w:r>
    <w:r>
      <w:rPr>
        <w:rStyle w:val="7"/>
        <w:sz w:val="24"/>
        <w:szCs w:val="24"/>
      </w:rPr>
      <w:fldChar w:fldCharType="end"/>
    </w:r>
    <w:r>
      <w:rPr>
        <w:rStyle w:val="7"/>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16</w:t>
    </w:r>
    <w:r>
      <w:rPr>
        <w:rStyle w:val="7"/>
        <w:sz w:val="24"/>
        <w:szCs w:val="24"/>
      </w:rPr>
      <w:fldChar w:fldCharType="end"/>
    </w:r>
    <w:r>
      <w:rPr>
        <w:rStyle w:val="7"/>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042361"/>
    <w:rsid w:val="00103DBF"/>
    <w:rsid w:val="00111B00"/>
    <w:rsid w:val="001243A4"/>
    <w:rsid w:val="00192945"/>
    <w:rsid w:val="001C249B"/>
    <w:rsid w:val="001F6743"/>
    <w:rsid w:val="00241CAC"/>
    <w:rsid w:val="00245311"/>
    <w:rsid w:val="00257529"/>
    <w:rsid w:val="00310B2F"/>
    <w:rsid w:val="003620E4"/>
    <w:rsid w:val="005147C5"/>
    <w:rsid w:val="00546EC5"/>
    <w:rsid w:val="005B7528"/>
    <w:rsid w:val="00605CA9"/>
    <w:rsid w:val="00624B00"/>
    <w:rsid w:val="00635DD9"/>
    <w:rsid w:val="0064220A"/>
    <w:rsid w:val="00673CFA"/>
    <w:rsid w:val="00677A5B"/>
    <w:rsid w:val="00697804"/>
    <w:rsid w:val="00707EBB"/>
    <w:rsid w:val="00730A9E"/>
    <w:rsid w:val="007B2063"/>
    <w:rsid w:val="00812FAE"/>
    <w:rsid w:val="00820DE0"/>
    <w:rsid w:val="00822097"/>
    <w:rsid w:val="008277A9"/>
    <w:rsid w:val="00832F34"/>
    <w:rsid w:val="008F5237"/>
    <w:rsid w:val="008F5DC4"/>
    <w:rsid w:val="009368A9"/>
    <w:rsid w:val="00961B4D"/>
    <w:rsid w:val="00AA31D6"/>
    <w:rsid w:val="00AC6FAF"/>
    <w:rsid w:val="00B27621"/>
    <w:rsid w:val="00BF273E"/>
    <w:rsid w:val="00C12815"/>
    <w:rsid w:val="00C45E1C"/>
    <w:rsid w:val="00C756DD"/>
    <w:rsid w:val="00C84EBA"/>
    <w:rsid w:val="00CC08AC"/>
    <w:rsid w:val="00D819AF"/>
    <w:rsid w:val="00D84706"/>
    <w:rsid w:val="00DA6980"/>
    <w:rsid w:val="00E2771D"/>
    <w:rsid w:val="00ED5D52"/>
    <w:rsid w:val="00EE603C"/>
    <w:rsid w:val="083749E7"/>
    <w:rsid w:val="0DE528CD"/>
    <w:rsid w:val="18725427"/>
    <w:rsid w:val="263C173A"/>
    <w:rsid w:val="2CA33441"/>
    <w:rsid w:val="2CE55C20"/>
    <w:rsid w:val="2F287302"/>
    <w:rsid w:val="2F56752C"/>
    <w:rsid w:val="30426D13"/>
    <w:rsid w:val="38BA4BC6"/>
    <w:rsid w:val="3A43255A"/>
    <w:rsid w:val="3D6201A1"/>
    <w:rsid w:val="477245B4"/>
    <w:rsid w:val="4E4F0BB0"/>
    <w:rsid w:val="5BE95901"/>
    <w:rsid w:val="66682A51"/>
    <w:rsid w:val="67B04D1F"/>
    <w:rsid w:val="67BF4A1C"/>
    <w:rsid w:val="6A0A15CD"/>
    <w:rsid w:val="6DF352BD"/>
    <w:rsid w:val="705E3E6D"/>
    <w:rsid w:val="71C1048A"/>
    <w:rsid w:val="73234EAD"/>
    <w:rsid w:val="73F35F5B"/>
    <w:rsid w:val="79C04582"/>
    <w:rsid w:val="7D1F0D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BodyTextIndent2"/>
    <w:basedOn w:val="1"/>
    <w:next w:val="1"/>
    <w:qFormat/>
    <w:uiPriority w:val="99"/>
    <w:pPr>
      <w:spacing w:after="120" w:line="480" w:lineRule="auto"/>
      <w:ind w:left="200" w:leftChars="200"/>
    </w:pPr>
  </w:style>
  <w:style w:type="paragraph" w:styleId="3">
    <w:name w:val="Body Text Indent 2"/>
    <w:basedOn w:val="1"/>
    <w:link w:val="8"/>
    <w:qFormat/>
    <w:uiPriority w:val="99"/>
    <w:pPr>
      <w:ind w:firstLine="588" w:firstLineChars="200"/>
    </w:pPr>
    <w:rPr>
      <w:rFonts w:ascii="仿宋_GB2312" w:hAnsi="Calibri" w:eastAsia="仿宋_GB2312"/>
      <w:sz w:val="32"/>
    </w:rPr>
  </w:style>
  <w:style w:type="paragraph" w:styleId="4">
    <w:name w:val="footer"/>
    <w:basedOn w:val="1"/>
    <w:link w:val="9"/>
    <w:qFormat/>
    <w:uiPriority w:val="99"/>
    <w:pPr>
      <w:tabs>
        <w:tab w:val="center" w:pos="4153"/>
        <w:tab w:val="right" w:pos="8306"/>
      </w:tabs>
      <w:snapToGrid w:val="0"/>
      <w:jc w:val="left"/>
    </w:pPr>
    <w:rPr>
      <w:kern w:val="0"/>
      <w:sz w:val="18"/>
      <w:szCs w:val="18"/>
    </w:rPr>
  </w:style>
  <w:style w:type="character" w:styleId="7">
    <w:name w:val="page number"/>
    <w:basedOn w:val="6"/>
    <w:qFormat/>
    <w:uiPriority w:val="99"/>
    <w:rPr>
      <w:rFonts w:cs="Times New Roman"/>
    </w:rPr>
  </w:style>
  <w:style w:type="character" w:customStyle="1" w:styleId="8">
    <w:name w:val="Body Text Indent 2 Char"/>
    <w:basedOn w:val="6"/>
    <w:link w:val="3"/>
    <w:semiHidden/>
    <w:qFormat/>
    <w:locked/>
    <w:uiPriority w:val="99"/>
    <w:rPr>
      <w:rFonts w:cs="Times New Roman"/>
      <w:sz w:val="24"/>
      <w:szCs w:val="24"/>
    </w:rPr>
  </w:style>
  <w:style w:type="character" w:customStyle="1" w:styleId="9">
    <w:name w:val="Footer Char"/>
    <w:basedOn w:val="6"/>
    <w:link w:val="4"/>
    <w:semiHidden/>
    <w:qFormat/>
    <w:locked/>
    <w:uiPriority w:val="99"/>
    <w:rPr>
      <w:rFonts w:cs="Times New Roman"/>
      <w:sz w:val="18"/>
      <w:szCs w:val="18"/>
    </w:rPr>
  </w:style>
  <w:style w:type="character" w:customStyle="1" w:styleId="10">
    <w:name w:val="标题 3 Char Char"/>
    <w:qFormat/>
    <w:uiPriority w:val="99"/>
    <w:rPr>
      <w:rFonts w:eastAsia="楷体_GB2312"/>
      <w:b/>
      <w:kern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19</Pages>
  <Words>1396</Words>
  <Characters>7960</Characters>
  <Lines>0</Lines>
  <Paragraphs>0</Paragraphs>
  <TotalTime>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2020-12-02T01:16:00Z</cp:lastPrinted>
  <dcterms:modified xsi:type="dcterms:W3CDTF">2020-12-10T01:28:23Z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