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仿宋" w:hAnsi="仿宋" w:eastAsia="仿宋"/>
          <w:sz w:val="32"/>
          <w:szCs w:val="32"/>
          <w:u w:val="single"/>
          <w:shd w:val="clear" w:color="auto" w:fill="FFFFFF"/>
        </w:rPr>
        <w:t>华容县人民代表大会常务委员会</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100</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15</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郑丽菲</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13574025058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县人大常委会是县人民代表大会的常设机关，对县人民代表大会负责并报告工作</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在本行政区域内，保证宪法、法律、行政法规和上级人民代表大会及其常委会决议的遵守和执行；</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领导、主持县人民代表大会代表的选举；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召集县人民代表大会会议；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讨论、决定本县内的政治、经济、教育、科学、文化、卫生、环境和资源保护、民政、民族等工作的重大事项；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根据县人民政府的建议，决定对本县内的国民经济和社会发展计划、预算的部分变更；</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7、监督县人民政府、人民法院和人民检察院的工作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69"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3"/>
              <w:keepNext w:val="0"/>
              <w:keepLines w:val="0"/>
              <w:widowControl/>
              <w:suppressLineNumbers w:val="0"/>
              <w:spacing w:before="0" w:beforeAutospacing="0" w:after="0" w:afterAutospacing="0" w:line="450" w:lineRule="atLeast"/>
              <w:ind w:left="0" w:right="0"/>
              <w:jc w:val="both"/>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任务1：以思想政治建设为基础</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进一步增强依法履职主动性；</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任务2：以做好换届选举工作为重点，进一步增强政治责任感；</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任务3：以保障民生民利为关键，进一步增强工作实效性；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任务4：以加强自身建设为抓手，进一步增强人大工作凝聚力。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5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ilvl w:val="0"/>
                <w:numId w:val="0"/>
              </w:numPr>
              <w:autoSpaceDN w:val="0"/>
              <w:spacing w:line="400" w:lineRule="exact"/>
              <w:ind w:left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强化预算审查监督；</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2、督促重点项目落实；</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3、助力精准扶贫、关心残障人士和关注医疗事业发展；</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4、力促执法公正、维护司法正义和规范权力运行；</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5、做好代表选举、做好大会材料准备、认真做好会务工作。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889.49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889.49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889.49</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889.49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889.49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698.4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492.37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206.03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191.09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889.49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698.4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492.37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206.03</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191.09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53.98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53.98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7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目标1：组织召开好人大主任会议、常委会会议和人民代表大会。</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目标2：行使决定权，作出事关全县重大经济社会发展的决议决定；</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目标3：行使监督权，督促“一府一委两院”完成工作；</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目标4：行使任免权，任免“一府一委两院”工作人员；</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指标1：按一类会议的标准和要求开好每年一次的全县人民代表大会</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指标2：按有关法律法规及文件精神组织好每年一到两次的人大代表的履职提升培训</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1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：督促政府在政策、发展规划制定方面注重在自然、社会、经济、科技等多方面</w:t>
            </w:r>
            <w:r>
              <w:rPr>
                <w:rFonts w:hint="eastAsia" w:ascii="仿宋_GB2312" w:hAnsi="仿宋_GB2312" w:eastAsia="仿宋_GB2312" w:cs="仿宋_GB2312"/>
                <w:color w:val="000000"/>
                <w:sz w:val="24"/>
                <w:lang w:eastAsia="zh-CN"/>
              </w:rPr>
              <w:t>的可持续发展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：其他工作按照县人大常委会年度重点工作安排的要求按质按量完成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指标1：年度至少组织召开1次全县人民代表大会，6次常委会会议，12次主任会议</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指标2：年度组织1到2次对人大代表和人大工作者的履职提升培训</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：根据实际情况开展人事任免和“双联”调研走访活动若干人次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：组织2次执法检查，</w:t>
            </w:r>
            <w:r>
              <w:rPr>
                <w:rFonts w:hint="eastAsia" w:ascii="仿宋_GB2312" w:hAnsi="仿宋_GB2312" w:eastAsia="仿宋_GB2312" w:cs="仿宋_GB2312"/>
                <w:color w:val="000000"/>
                <w:sz w:val="24"/>
                <w:lang w:eastAsia="zh-CN"/>
              </w:rPr>
              <w:t>根据实际情况开展</w:t>
            </w:r>
            <w:r>
              <w:rPr>
                <w:rFonts w:hint="eastAsia" w:ascii="仿宋_GB2312" w:hAnsi="仿宋_GB2312" w:eastAsia="仿宋_GB2312" w:cs="仿宋_GB2312"/>
                <w:color w:val="000000"/>
                <w:sz w:val="24"/>
              </w:rPr>
              <w:t>视察和调研</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指标1：年底前完成各项工作任务及目标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6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指标1：根据预算计划控制支出，确保机关正常运转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1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指标2：优先人员经费支出，公用经费支出不突破预算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指标1：密切联系代表和群众，</w:t>
            </w:r>
            <w:r>
              <w:rPr>
                <w:rFonts w:hint="eastAsia" w:ascii="仿宋_GB2312" w:hAnsi="仿宋_GB2312" w:eastAsia="仿宋_GB2312" w:cs="仿宋_GB2312"/>
                <w:color w:val="000000"/>
                <w:sz w:val="24"/>
                <w:lang w:eastAsia="zh-CN"/>
              </w:rPr>
              <w:t>了解民生需求</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指标2：维护最广大人民群众的利益，保障群众权益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本县内的国民经济和社会发展计划的</w:t>
            </w:r>
            <w:r>
              <w:rPr>
                <w:rFonts w:hint="eastAsia" w:ascii="仿宋_GB2312" w:hAnsi="仿宋_GB2312" w:eastAsia="仿宋_GB2312" w:cs="仿宋_GB2312"/>
                <w:color w:val="000000"/>
                <w:sz w:val="24"/>
                <w:lang w:eastAsia="zh-CN"/>
              </w:rPr>
              <w:t>有效开展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6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指标2：监督政府重点项目实施情况和金融稳定情况，促进全县经济社会长期稳定发展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指标1：督促搞好生态环境保护，促进人与自然长期和谐发展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加强自然资源监管，</w:t>
            </w:r>
            <w:r>
              <w:rPr>
                <w:rFonts w:hint="eastAsia" w:ascii="仿宋_GB2312" w:hAnsi="仿宋_GB2312" w:eastAsia="仿宋_GB2312" w:cs="仿宋_GB2312"/>
                <w:color w:val="000000"/>
                <w:sz w:val="24"/>
              </w:rPr>
              <w:t>减少资源消耗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代表</w:t>
            </w:r>
            <w:r>
              <w:rPr>
                <w:rFonts w:hint="eastAsia" w:ascii="仿宋_GB2312" w:hAnsi="仿宋_GB2312" w:eastAsia="仿宋_GB2312" w:cs="仿宋_GB2312"/>
                <w:color w:val="000000"/>
                <w:sz w:val="24"/>
              </w:rPr>
              <w:t>满意度高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指标2：群众满意度高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张昭林</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副主任、值班负责人</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5"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孙文麦</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办公室主任</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5"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郑丽菲</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会计</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县人大</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华容县人民代表大会常务委员会是县财政全额预算拨款单位。201</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年编制部门核实本单位人员编制</w:t>
            </w:r>
            <w:r>
              <w:rPr>
                <w:rFonts w:hint="eastAsia" w:ascii="仿宋_GB2312" w:hAnsi="仿宋_GB2312" w:eastAsia="仿宋_GB2312" w:cs="仿宋_GB2312"/>
                <w:bCs/>
                <w:sz w:val="28"/>
                <w:szCs w:val="28"/>
                <w:lang w:val="en-US" w:eastAsia="zh-CN"/>
              </w:rPr>
              <w:t>28</w:t>
            </w:r>
            <w:r>
              <w:rPr>
                <w:rFonts w:hint="eastAsia" w:ascii="仿宋_GB2312" w:hAnsi="仿宋_GB2312" w:eastAsia="仿宋_GB2312" w:cs="仿宋_GB2312"/>
                <w:bCs/>
                <w:sz w:val="28"/>
                <w:szCs w:val="28"/>
              </w:rPr>
              <w:t>人，实有人数为</w:t>
            </w:r>
            <w:r>
              <w:rPr>
                <w:rFonts w:hint="eastAsia" w:ascii="仿宋_GB2312" w:hAnsi="仿宋_GB2312" w:eastAsia="仿宋_GB2312" w:cs="仿宋_GB2312"/>
                <w:bCs/>
                <w:sz w:val="28"/>
                <w:szCs w:val="28"/>
                <w:lang w:val="en-US" w:eastAsia="zh-CN"/>
              </w:rPr>
              <w:t>43</w:t>
            </w:r>
            <w:r>
              <w:rPr>
                <w:rFonts w:hint="eastAsia" w:ascii="仿宋_GB2312" w:hAnsi="仿宋_GB2312" w:eastAsia="仿宋_GB2312" w:cs="仿宋_GB2312"/>
                <w:bCs/>
                <w:sz w:val="28"/>
                <w:szCs w:val="28"/>
              </w:rPr>
              <w:t>人，其中机关本级行政编制</w:t>
            </w:r>
            <w:r>
              <w:rPr>
                <w:rFonts w:hint="eastAsia" w:ascii="仿宋_GB2312" w:hAnsi="仿宋_GB2312" w:eastAsia="仿宋_GB2312" w:cs="仿宋_GB2312"/>
                <w:bCs/>
                <w:sz w:val="28"/>
                <w:szCs w:val="28"/>
                <w:lang w:val="en-US" w:eastAsia="zh-CN"/>
              </w:rPr>
              <w:t>40</w:t>
            </w:r>
            <w:r>
              <w:rPr>
                <w:rFonts w:hint="eastAsia" w:ascii="仿宋_GB2312" w:hAnsi="仿宋_GB2312" w:eastAsia="仿宋_GB2312" w:cs="仿宋_GB2312"/>
                <w:bCs/>
                <w:sz w:val="28"/>
                <w:szCs w:val="28"/>
              </w:rPr>
              <w:t>人，事业编制3人，离退休4</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人（离休2人，退休4</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人）。根据县委《关于华容县人大和政协机关设置的通知》（华发【2019】5号）精神，</w:t>
            </w:r>
            <w:r>
              <w:rPr>
                <w:rFonts w:hint="eastAsia" w:ascii="仿宋_GB2312" w:hAnsi="仿宋_GB2312" w:eastAsia="仿宋_GB2312" w:cs="仿宋_GB2312"/>
                <w:bCs/>
                <w:sz w:val="28"/>
                <w:szCs w:val="28"/>
                <w:lang w:eastAsia="zh-CN"/>
              </w:rPr>
              <w:t>现</w:t>
            </w:r>
            <w:r>
              <w:rPr>
                <w:rFonts w:hint="eastAsia" w:ascii="仿宋_GB2312" w:hAnsi="仿宋_GB2312" w:eastAsia="仿宋_GB2312" w:cs="仿宋_GB2312"/>
                <w:bCs/>
                <w:sz w:val="28"/>
                <w:szCs w:val="28"/>
              </w:rPr>
              <w:t>设立7个专门委员会：教育科学文化卫生委</w:t>
            </w:r>
            <w:r>
              <w:rPr>
                <w:rFonts w:hint="eastAsia" w:ascii="仿宋_GB2312" w:hAnsi="仿宋_GB2312" w:eastAsia="仿宋_GB2312" w:cs="仿宋_GB2312"/>
                <w:bCs/>
                <w:sz w:val="28"/>
                <w:szCs w:val="28"/>
                <w:lang w:eastAsia="zh-CN"/>
              </w:rPr>
              <w:t>、环境与资源保护委、农业与农村委、监察和司法委、财政经济委、民族华侨外事委、社会建设委</w:t>
            </w:r>
            <w:r>
              <w:rPr>
                <w:rFonts w:hint="eastAsia" w:ascii="仿宋_GB2312" w:hAnsi="仿宋_GB2312" w:eastAsia="仿宋_GB2312" w:cs="仿宋_GB2312"/>
                <w:bCs/>
                <w:sz w:val="28"/>
                <w:szCs w:val="28"/>
              </w:rPr>
              <w:t>；2个内设工作机构：办公室、选举任免联络</w:t>
            </w:r>
            <w:r>
              <w:rPr>
                <w:rFonts w:hint="eastAsia" w:ascii="仿宋_GB2312" w:hAnsi="仿宋_GB2312" w:eastAsia="仿宋_GB2312" w:cs="仿宋_GB2312"/>
                <w:bCs/>
                <w:sz w:val="28"/>
                <w:szCs w:val="28"/>
                <w:lang w:eastAsia="zh-CN"/>
              </w:rPr>
              <w:t>工委</w:t>
            </w:r>
            <w:r>
              <w:rPr>
                <w:rFonts w:hint="eastAsia" w:ascii="仿宋_GB2312" w:hAnsi="仿宋_GB2312" w:eastAsia="仿宋_GB2312" w:cs="仿宋_GB2312"/>
                <w:bCs/>
                <w:sz w:val="28"/>
                <w:szCs w:val="28"/>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其</w:t>
            </w:r>
            <w:r>
              <w:rPr>
                <w:rFonts w:hint="eastAsia" w:ascii="仿宋_GB2312" w:hAnsi="仿宋_GB2312" w:eastAsia="仿宋_GB2312" w:cs="仿宋_GB2312"/>
                <w:bCs/>
                <w:sz w:val="28"/>
                <w:szCs w:val="28"/>
              </w:rPr>
              <w:t>主要职能</w:t>
            </w:r>
            <w:r>
              <w:rPr>
                <w:rFonts w:hint="eastAsia" w:ascii="仿宋_GB2312" w:hAnsi="仿宋_GB2312" w:eastAsia="仿宋_GB2312" w:cs="仿宋_GB2312"/>
                <w:bCs/>
                <w:sz w:val="28"/>
                <w:szCs w:val="28"/>
                <w:lang w:eastAsia="zh-CN"/>
              </w:rPr>
              <w:t>是：</w:t>
            </w:r>
            <w:r>
              <w:rPr>
                <w:rFonts w:hint="eastAsia" w:ascii="仿宋_GB2312" w:hAnsi="仿宋_GB2312" w:eastAsia="仿宋_GB2312" w:cs="仿宋_GB2312"/>
                <w:bCs/>
                <w:sz w:val="28"/>
                <w:szCs w:val="28"/>
              </w:rPr>
              <w:t>①县人大常委会是县人民代表大会的常设机关，对县人民代表大会负责并报告工作；②在本行政区域内，保证宪法、法律、行政法规和上级人民代表大会及其常委会决议的遵守和执行；③领导、主持县人民代表大会的选举；④召集县人民代表大会会议；⑤讨论、决定本县的政治、经济、教育、科学、文化、卫生、环境和资源保护、民政、民族等工作的重大事项；⑥根据县人民政府的建议，决定对本县的国民经济和社会发展的计划、预算的部分变更；⑦监督县人民政府、人民法院和人民检察院的工作，联系县人民代表大会代表，受理人民群众对上述机关和国家工作人员的申诉和意见等。</w:t>
            </w:r>
          </w:p>
          <w:p>
            <w:pPr>
              <w:numPr>
                <w:ilvl w:val="0"/>
                <w:numId w:val="1"/>
              </w:numPr>
              <w:spacing w:line="560" w:lineRule="exact"/>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2019年我单位总支出889.49万元，其中：行政运行588.23万元，一般行政管理事务45.16万元，人大会议145.2万元，人大监督25.13万元，代表工作13.67万元，其他人大事务支出28.12万元，其他一般公共服务支出43.98万元。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（一）基本支出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2019年单位基本支出698.4万元，具体为：工资福利支出489.34万元，商品和服务支出198.54万元，对个人和家庭的补助3.03万元，其他资本性支出7.49万元。</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w:t>
            </w:r>
            <w:r>
              <w:rPr>
                <w:rFonts w:hint="eastAsia" w:ascii="仿宋_GB2312" w:hAnsi="仿宋_GB2312" w:eastAsia="仿宋_GB2312" w:cs="仿宋_GB2312"/>
                <w:b/>
                <w:bCs w:val="0"/>
                <w:sz w:val="28"/>
                <w:szCs w:val="28"/>
                <w:lang w:eastAsia="zh-CN"/>
              </w:rPr>
              <w:t>项目</w:t>
            </w:r>
            <w:r>
              <w:rPr>
                <w:rFonts w:hint="eastAsia" w:ascii="仿宋_GB2312" w:hAnsi="仿宋_GB2312" w:eastAsia="仿宋_GB2312" w:cs="仿宋_GB2312"/>
                <w:b/>
                <w:bCs w:val="0"/>
                <w:sz w:val="28"/>
                <w:szCs w:val="28"/>
              </w:rPr>
              <w:t>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2019年单位项目支出191.09万元，主要为商品和服务支出。全部安排落实到位，无自筹资金。</w:t>
            </w:r>
          </w:p>
          <w:p>
            <w:pPr>
              <w:spacing w:line="560" w:lineRule="exact"/>
              <w:ind w:firstLine="562" w:firstLineChars="200"/>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lang w:eastAsia="zh-CN"/>
              </w:rPr>
              <w:t>（三）单位整体支出使用情况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1.基本支出情况</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201</w:t>
            </w:r>
            <w:r>
              <w:rPr>
                <w:rFonts w:hint="eastAsia" w:ascii="仿宋_GB2312" w:hAnsi="仿宋_GB2312" w:eastAsia="仿宋_GB2312" w:cs="仿宋_GB2312"/>
                <w:bCs/>
                <w:sz w:val="28"/>
                <w:szCs w:val="28"/>
                <w:lang w:val="en-US" w:eastAsia="zh-CN"/>
              </w:rPr>
              <w:t>9</w:t>
            </w:r>
            <w:r>
              <w:rPr>
                <w:rFonts w:hint="default" w:ascii="仿宋_GB2312" w:hAnsi="仿宋_GB2312" w:eastAsia="仿宋_GB2312" w:cs="仿宋_GB2312"/>
                <w:bCs/>
                <w:sz w:val="28"/>
                <w:szCs w:val="28"/>
                <w:lang w:val="en-US" w:eastAsia="zh-CN"/>
              </w:rPr>
              <w:t>年</w:t>
            </w:r>
            <w:r>
              <w:rPr>
                <w:rFonts w:hint="eastAsia" w:ascii="仿宋_GB2312" w:hAnsi="仿宋_GB2312" w:eastAsia="仿宋_GB2312" w:cs="仿宋_GB2312"/>
                <w:bCs/>
                <w:sz w:val="28"/>
                <w:szCs w:val="28"/>
                <w:lang w:val="en-US" w:eastAsia="zh-CN"/>
              </w:rPr>
              <w:t>单位全年基本</w:t>
            </w:r>
            <w:r>
              <w:rPr>
                <w:rFonts w:hint="default" w:ascii="仿宋_GB2312" w:hAnsi="仿宋_GB2312" w:eastAsia="仿宋_GB2312" w:cs="仿宋_GB2312"/>
                <w:bCs/>
                <w:sz w:val="28"/>
                <w:szCs w:val="28"/>
                <w:lang w:val="en-US" w:eastAsia="zh-CN"/>
              </w:rPr>
              <w:t>支出为</w:t>
            </w:r>
            <w:r>
              <w:rPr>
                <w:rFonts w:hint="eastAsia" w:ascii="仿宋_GB2312" w:hAnsi="仿宋_GB2312" w:eastAsia="仿宋_GB2312" w:cs="仿宋_GB2312"/>
                <w:bCs/>
                <w:sz w:val="28"/>
                <w:szCs w:val="28"/>
                <w:lang w:val="en-US" w:eastAsia="zh-CN"/>
              </w:rPr>
              <w:t>698.4</w:t>
            </w:r>
            <w:r>
              <w:rPr>
                <w:rFonts w:hint="default" w:ascii="仿宋_GB2312" w:hAnsi="仿宋_GB2312" w:eastAsia="仿宋_GB2312" w:cs="仿宋_GB2312"/>
                <w:bCs/>
                <w:sz w:val="28"/>
                <w:szCs w:val="28"/>
                <w:lang w:val="en-US" w:eastAsia="zh-CN"/>
              </w:rPr>
              <w:t>万元，其中人员支出</w:t>
            </w:r>
            <w:r>
              <w:rPr>
                <w:rFonts w:hint="eastAsia" w:ascii="仿宋_GB2312" w:hAnsi="仿宋_GB2312" w:eastAsia="仿宋_GB2312" w:cs="仿宋_GB2312"/>
                <w:bCs/>
                <w:sz w:val="28"/>
                <w:szCs w:val="28"/>
                <w:lang w:val="en-US" w:eastAsia="zh-CN"/>
              </w:rPr>
              <w:t>492.37</w:t>
            </w:r>
            <w:r>
              <w:rPr>
                <w:rFonts w:hint="default" w:ascii="仿宋_GB2312" w:hAnsi="仿宋_GB2312" w:eastAsia="仿宋_GB2312" w:cs="仿宋_GB2312"/>
                <w:bCs/>
                <w:sz w:val="28"/>
                <w:szCs w:val="28"/>
                <w:lang w:val="en-US" w:eastAsia="zh-CN"/>
              </w:rPr>
              <w:t>万元，公用支出</w:t>
            </w:r>
            <w:r>
              <w:rPr>
                <w:rFonts w:hint="eastAsia" w:ascii="仿宋_GB2312" w:hAnsi="仿宋_GB2312" w:eastAsia="仿宋_GB2312" w:cs="仿宋_GB2312"/>
                <w:bCs/>
                <w:sz w:val="28"/>
                <w:szCs w:val="28"/>
                <w:lang w:val="en-US" w:eastAsia="zh-CN"/>
              </w:rPr>
              <w:t>206.03</w:t>
            </w:r>
            <w:r>
              <w:rPr>
                <w:rFonts w:hint="default" w:ascii="仿宋_GB2312" w:hAnsi="仿宋_GB2312" w:eastAsia="仿宋_GB2312" w:cs="仿宋_GB2312"/>
                <w:bCs/>
                <w:sz w:val="28"/>
                <w:szCs w:val="28"/>
                <w:lang w:val="en-US" w:eastAsia="zh-CN"/>
              </w:rPr>
              <w:t>万元</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2.三公经费支出情况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2019年单位预算安排“三公”经费” 10万元。实际支出2.2万元，其中公务接待费2.2万元。</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3.公务卡刷卡情况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2019年公务刷卡消费金额71.11万元，公务消费卡使用占授权支付额度的84.33%。</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4.固定资产管理情况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例行节约，物尽其用的原则，本单位资产管理采取统一建账，统一核算管理，对每件固定资产使用明确保管职责，闲置的资产，由办公室统一调整，合理流动，发挥其效益。资产的购置坚决执行政府采购制度，节约使用国家资金；固定资产报废、调拨、变卖，坚持按规定程序申报、审批。明确落实资产的管理责任，依法管理国有资产；至2018年12月末固定资产净值合计53.98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480" w:firstLineChars="200"/>
              <w:rPr>
                <w:rFonts w:ascii="微软雅黑" w:hAnsi="微软雅黑" w:eastAsia="微软雅黑" w:cs="微软雅黑"/>
                <w:i w:val="0"/>
                <w:caps w:val="0"/>
                <w:color w:val="666666"/>
                <w:spacing w:val="0"/>
                <w:sz w:val="24"/>
                <w:szCs w:val="24"/>
                <w:shd w:val="clear" w:fill="FFFFFF"/>
              </w:rPr>
            </w:pPr>
            <w:r>
              <w:rPr>
                <w:rFonts w:ascii="微软雅黑" w:hAnsi="微软雅黑" w:eastAsia="微软雅黑" w:cs="微软雅黑"/>
                <w:i w:val="0"/>
                <w:caps w:val="0"/>
                <w:color w:val="666666"/>
                <w:spacing w:val="0"/>
                <w:sz w:val="24"/>
                <w:szCs w:val="24"/>
                <w:shd w:val="clear" w:fill="FFFFFF"/>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2019年，县人大常委会机关认真履行职责职能，严格按财经法规及制度使用、管理资金,成效明显,主要体现在以下几个方面：</w:t>
            </w:r>
          </w:p>
          <w:p>
            <w:pPr>
              <w:numPr>
                <w:ilvl w:val="0"/>
                <w:numId w:val="0"/>
              </w:numPr>
              <w:spacing w:line="560" w:lineRule="exact"/>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（一）预算执行情况较好</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2019年度，单位通过加强预算管理，全年支出控制在预算总额以内，资金遵行按进度拨付资金，较好的完成了当年任务目标。预算管理制度执行有力，有效使用财政资金，提高行政效率，促进各项工作顺利开展。</w:t>
            </w:r>
          </w:p>
          <w:p>
            <w:pPr>
              <w:numPr>
                <w:ilvl w:val="0"/>
                <w:numId w:val="0"/>
              </w:numPr>
              <w:spacing w:line="560" w:lineRule="exact"/>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（二）狠抓资金使用效益，保障机关有效运转。</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1、严格按照厉行节约的要求，精打细算，规范机关事务管理工作，进一步在机关财务、公务用车、公务接待、资产管理、会务等方面加强集中管理，提高服务质量，降低运行成本，合理配置，提高保障能力。</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2、保障了职工工资、津补贴的及时足额发放，保障干部待遇按政策发放落实，没有出现拖欠职工工资、离退休费用等现象。</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3、本年预算安排控制较好，“三公经费”变动率为-0.45%，控制率为22%，“三公”经费预算总额未超预算未突破上年。</w:t>
            </w:r>
          </w:p>
          <w:p>
            <w:pPr>
              <w:numPr>
                <w:ilvl w:val="0"/>
                <w:numId w:val="0"/>
              </w:numPr>
              <w:spacing w:line="560" w:lineRule="exact"/>
              <w:ind w:firstLine="560"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Cs/>
                <w:sz w:val="28"/>
                <w:szCs w:val="28"/>
                <w:lang w:val="en-US" w:eastAsia="zh-CN"/>
              </w:rPr>
              <w:t>4、资金使用无虚列支出及随意使用现象,无大额现金支付现象。</w:t>
            </w:r>
          </w:p>
          <w:p>
            <w:pPr>
              <w:numPr>
                <w:ilvl w:val="0"/>
                <w:numId w:val="0"/>
              </w:numPr>
              <w:spacing w:line="560" w:lineRule="exact"/>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（三）严控资金支出及报销，部门整体支出管理得到了提升。</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1、公务消费支出基本通过公务卡支付。公务消费确实无法使用公务卡的，需提供相关证明，先由个人用现金垫付。如无证明则现金支付部分不予报销。</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2、坚持先批准后开支原则。一切支出实行“批准制”，即支出需经分管财务领导批准后，再进行物品采购。凡按规定应统一采购的，均由办公室办理。</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报销单据由经办人员、证明人签字后，交财务人员先行核对报销科目、报销金额及票据合法性进行审验，再报分管财务领导审批签字后到财务室予以报销入账。对于报销单据数字不准确、内容不合规的，财务人员有权不予报销。</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本单位2019年预算执行情况总体较好，但也存在不太合理的的地方，主要表现为：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1、预算编制项目与实际支出项目有差异。计划性基本支出及商品和服务支出的相关费用，在编制预算项目数时预算不够准确，造成实际支出与预算编制存在一定差异。</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2、预算执行情况还有待加强，此外，财务结算和报账还应更加及时和科学合理。</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3、人员控制率不合理，单位人员的增减变动单位决定权较小，无法有效控制人员变动。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细化预算编制工作，尽可能地做到决算与预算相衔接。进一步加强内部机构的预算管理意识，严格按照预算编制的相关制度和要求，本着“勤俭节约、保障运转”的原则进行预算的编制；根据人员情况、工作开展需要，尽可能的全面、不漏项，进一步提高预算编制的科学性、合理性、严谨性和可控性</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default" w:ascii="仿宋_GB2312" w:hAnsi="仿宋_GB2312" w:eastAsia="仿宋_GB2312" w:cs="仿宋_GB2312"/>
                <w:bCs/>
                <w:sz w:val="28"/>
                <w:szCs w:val="28"/>
                <w:lang w:val="en-US" w:eastAsia="zh-CN"/>
              </w:rPr>
              <w:t>加强预算管理，严格预算执行。预算执行中，对所有的收入和支出，必须按照编制好的预算项目进行，严格按支出项目和进度拨付资金，严禁随意调整和变更预算，确保预算的“刚性”；高度重视财政资金拨出后的管理，实行相应的跟踪问效方法，及时关注各项资金特别是专项资金使用的具体情况，注意资金使用的实际效果，对发现的财政资金使用中存在的分配不合理和效益不高甚至浪费的问题，要及时处理，充分发挥财政资金的使用效果。</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严格落实财经纪律，规范财务管理。坚决杜绝不必要的开支，一切公务接待严格按标准执行。让有限的资金充分发挥使用效益，即保证人大正常工作的高效运转，提高人大监督实效，促进"一府两院"依法行政、公正司法，推动经济社会健康快速发展。</w:t>
            </w:r>
          </w:p>
          <w:p>
            <w:pPr>
              <w:rPr>
                <w:rFonts w:hint="eastAsia" w:ascii="仿宋" w:hAnsi="仿宋" w:eastAsia="仿宋" w:cs="仿宋"/>
                <w:i w:val="0"/>
                <w:caps w:val="0"/>
                <w:color w:val="333333"/>
                <w:spacing w:val="0"/>
                <w:sz w:val="32"/>
                <w:szCs w:val="32"/>
              </w:rPr>
            </w:pPr>
          </w:p>
          <w:p>
            <w:pPr>
              <w:rPr>
                <w:rFonts w:eastAsia="楷体_GB2312"/>
                <w:bCs/>
                <w:sz w:val="28"/>
                <w:szCs w:val="28"/>
              </w:rPr>
            </w:pPr>
          </w:p>
        </w:tc>
      </w:tr>
    </w:tbl>
    <w:p>
      <w:pPr>
        <w:spacing w:line="348" w:lineRule="auto"/>
        <w:rPr>
          <w:rFonts w:eastAsia="楷体_GB2312"/>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408CB0"/>
    <w:multiLevelType w:val="singleLevel"/>
    <w:tmpl w:val="EE408C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41F3"/>
    <w:rsid w:val="1BDC448F"/>
    <w:rsid w:val="1CFB1EF3"/>
    <w:rsid w:val="29DD72E6"/>
    <w:rsid w:val="3CED2AE5"/>
    <w:rsid w:val="4E6A41F3"/>
    <w:rsid w:val="72D2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2020-10-14T09:03:00Z</dcterms:created>
  <dc:creator>Administrator</dc:creator>
  <cp:lastModifiedBy>淼淼</cp:lastModifiedBy>
  <cp:lastPrinted>2020-10-16T02:30:07Z</cp:lastPrinted>
  <dcterms:modified xsi:type="dcterms:W3CDTF">2020-10-16T02:31:45Z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