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00" w:beforeAutospacing="1" w:after="100" w:afterAutospacing="1"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468" w:afterLines="150"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156" w:afterLines="50" w:line="48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 [</w:t>
      </w:r>
      <w:r>
        <w:rPr>
          <w:rFonts w:hint="eastAsia" w:ascii="仿宋" w:hAnsi="仿宋" w:eastAsia="仿宋" w:cs="_4eff_5b8b_GB2312"/>
          <w:bCs/>
          <w:sz w:val="32"/>
          <w:szCs w:val="32"/>
          <w:lang w:val="en-US" w:eastAsia="zh-CN" w:bidi="ar-SA"/>
        </w:rPr>
        <w:t>2020</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20</w:t>
      </w:r>
      <w:r>
        <w:rPr>
          <w:rFonts w:ascii="仿宋" w:hAnsi="仿宋" w:eastAsia="仿宋" w:cs="_4eff_5b8b_GB2312"/>
          <w:bCs/>
          <w:sz w:val="32"/>
          <w:szCs w:val="32"/>
          <w:lang w:eastAsia="zh-CN" w:bidi="ar-SA"/>
        </w:rPr>
        <w:t>号</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eastAsia="zh-CN" w:bidi="ar-SA"/>
        </w:rPr>
        <w:t>湖南华容白鼎山加油站建设项目</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r>
        <w:rPr>
          <w:rFonts w:hint="eastAsia" w:ascii="_9ed1_4f53" w:hAnsi="_9ed1_4f53" w:cs="_9ed1_4f53"/>
          <w:b/>
          <w:bCs/>
          <w:sz w:val="36"/>
          <w:szCs w:val="36"/>
          <w:lang w:eastAsia="zh-CN" w:bidi="ar-SA"/>
        </w:rPr>
        <w:t>环境影响报告</w:t>
      </w:r>
      <w:bookmarkEnd w:id="1"/>
      <w:r>
        <w:rPr>
          <w:rFonts w:hint="eastAsia" w:ascii="_9ed1_4f53" w:hAnsi="_9ed1_4f53" w:cs="_9ed1_4f53"/>
          <w:b/>
          <w:bCs/>
          <w:sz w:val="36"/>
          <w:szCs w:val="36"/>
          <w:lang w:eastAsia="zh-CN" w:bidi="ar-SA"/>
        </w:rPr>
        <w:t>表</w:t>
      </w:r>
      <w:r>
        <w:rPr>
          <w:rFonts w:ascii="_9ed1_4f53" w:hAnsi="_9ed1_4f53" w:cs="_9ed1_4f53"/>
          <w:b/>
          <w:bCs/>
          <w:sz w:val="36"/>
          <w:szCs w:val="36"/>
          <w:lang w:eastAsia="zh-CN" w:bidi="ar-SA"/>
        </w:rPr>
        <w:t>的批复</w:t>
      </w:r>
      <w:bookmarkEnd w:id="0"/>
    </w:p>
    <w:p>
      <w:pPr>
        <w:pStyle w:val="2"/>
        <w:ind w:left="0" w:leftChars="0" w:firstLine="0" w:firstLineChars="0"/>
        <w:rPr>
          <w:lang w:eastAsia="zh-CN"/>
        </w:rPr>
      </w:pPr>
    </w:p>
    <w:p>
      <w:pPr>
        <w:spacing w:line="520" w:lineRule="exact"/>
        <w:ind w:firstLine="0"/>
        <w:jc w:val="both"/>
        <w:rPr>
          <w:rFonts w:ascii="仿宋" w:hAnsi="仿宋" w:eastAsia="仿宋"/>
          <w:sz w:val="32"/>
          <w:szCs w:val="32"/>
          <w:lang w:eastAsia="zh-CN"/>
        </w:rPr>
      </w:pPr>
      <w:r>
        <w:rPr>
          <w:rFonts w:hint="eastAsia" w:ascii="仿宋" w:hAnsi="仿宋" w:eastAsia="仿宋"/>
          <w:sz w:val="32"/>
          <w:szCs w:val="32"/>
          <w:lang w:eastAsia="zh-CN"/>
        </w:rPr>
        <w:t>中国石化销售股份有限公司湖南岳阳华容石油分公司：</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你单位《湖南华容白鼎山加油站建设项目申请办理环评审批手续的报告》</w:t>
      </w:r>
      <w:r>
        <w:rPr>
          <w:rFonts w:ascii="仿宋" w:hAnsi="仿宋" w:eastAsia="仿宋"/>
          <w:sz w:val="32"/>
          <w:szCs w:val="32"/>
          <w:lang w:eastAsia="zh-CN"/>
        </w:rPr>
        <w:t>及有关附件收悉。经研究，批复如下：</w:t>
      </w:r>
    </w:p>
    <w:p>
      <w:pPr>
        <w:widowControl w:val="0"/>
        <w:numPr>
          <w:ilvl w:val="0"/>
          <w:numId w:val="1"/>
        </w:num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val="en-US" w:eastAsia="zh-CN"/>
        </w:rPr>
        <w:t>中国石化销售股份有限公司湖南岳阳华容石油分公司投资1000万元在华容县田家湖生态新区华鲇路与田家湖大道东南角征地2849.78m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建设湖南华容白鼎山加油站项目，该加油站设计为二级加油站。主要经营汽油（92#、95#、98#）、柴油（0#）成品油，工程建设内容主要为加油机、埋地油罐、站房等。本项目不设餐饮、住宿等配套服务，无大型商业场所，只有小型超市。湖南华容白鼎山加油站采用潜油泵加油工艺，设置汽油卸油、加油油气回收系统、配套消防设施、供配电设施等，加油站所经营的成品油运输均采用委托汽车槽车方式运输。</w:t>
      </w:r>
      <w:r>
        <w:rPr>
          <w:rFonts w:hint="eastAsia" w:ascii="仿宋" w:hAnsi="仿宋" w:eastAsia="仿宋"/>
          <w:sz w:val="32"/>
          <w:szCs w:val="32"/>
          <w:lang w:eastAsia="zh-CN"/>
        </w:rPr>
        <w:t>根据《关于加强“未批先建”建设项目环境影响评价管理工作的通知》（环办环评〔2018〕18号）</w:t>
      </w:r>
      <w:r>
        <w:rPr>
          <w:rFonts w:hint="eastAsia" w:ascii="仿宋" w:hAnsi="仿宋" w:eastAsia="仿宋"/>
          <w:sz w:val="32"/>
          <w:szCs w:val="32"/>
          <w:lang w:val="en-US" w:eastAsia="zh-CN"/>
        </w:rPr>
        <w:t>以及《关于建设项目“未批先建”违法行为法律适用问题的意见》（环政法函〔2018〕31号）文件</w:t>
      </w:r>
      <w:r>
        <w:rPr>
          <w:rFonts w:hint="eastAsia" w:ascii="仿宋" w:hAnsi="仿宋" w:eastAsia="仿宋"/>
          <w:sz w:val="32"/>
          <w:szCs w:val="32"/>
          <w:lang w:eastAsia="zh-CN"/>
        </w:rPr>
        <w:t>，中国石化销售股份有限公司湖南岳阳华容石油分公司现申请补办环评手续；根据</w:t>
      </w:r>
      <w:bookmarkStart w:id="2" w:name="OLE_LINK16"/>
      <w:r>
        <w:rPr>
          <w:rFonts w:hint="eastAsia" w:ascii="仿宋" w:hAnsi="仿宋" w:eastAsia="仿宋"/>
          <w:sz w:val="32"/>
          <w:szCs w:val="32"/>
          <w:lang w:val="en-US" w:eastAsia="zh-CN"/>
        </w:rPr>
        <w:t>湖南环美达环保科技有限公司</w:t>
      </w:r>
      <w:r>
        <w:rPr>
          <w:rFonts w:hint="eastAsia" w:ascii="仿宋" w:hAnsi="仿宋" w:eastAsia="仿宋"/>
          <w:sz w:val="32"/>
          <w:szCs w:val="32"/>
          <w:lang w:eastAsia="zh-CN"/>
        </w:rPr>
        <w:t>编制的《湖南华容白鼎山加油站建设项目环境影响报告表（报批稿）》</w:t>
      </w:r>
      <w:bookmarkEnd w:id="2"/>
      <w:r>
        <w:rPr>
          <w:rFonts w:ascii="仿宋" w:hAnsi="仿宋" w:eastAsia="仿宋"/>
          <w:sz w:val="32"/>
          <w:szCs w:val="32"/>
          <w:lang w:eastAsia="zh-CN"/>
        </w:rPr>
        <w:t>基本内容、结论、专家评审意见，从环境保护角度考虑，</w:t>
      </w:r>
      <w:r>
        <w:rPr>
          <w:rFonts w:hint="eastAsia" w:ascii="仿宋" w:hAnsi="仿宋" w:eastAsia="仿宋"/>
          <w:sz w:val="32"/>
          <w:szCs w:val="32"/>
          <w:lang w:eastAsia="zh-CN"/>
        </w:rPr>
        <w:t>我局原则同意你公司环境影响报告表中所列建设项目的性质、规模、工艺、地点和环境保护对策措施</w:t>
      </w:r>
      <w:r>
        <w:rPr>
          <w:rFonts w:ascii="仿宋" w:hAnsi="仿宋" w:eastAsia="仿宋"/>
          <w:sz w:val="32"/>
          <w:szCs w:val="32"/>
          <w:lang w:eastAsia="zh-CN"/>
        </w:rPr>
        <w:t>。</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二、应认真落实专家及环境影响报告表中提出的各项污染防治措施，并着重注意以下问题：</w:t>
      </w:r>
    </w:p>
    <w:p>
      <w:pPr>
        <w:widowControl w:val="0"/>
        <w:spacing w:line="520" w:lineRule="exact"/>
        <w:ind w:left="0" w:leftChars="0" w:firstLine="640" w:firstLineChars="200"/>
        <w:jc w:val="both"/>
        <w:rPr>
          <w:rFonts w:hint="eastAsia" w:ascii="仿宋" w:hAnsi="仿宋" w:eastAsia="仿宋"/>
          <w:sz w:val="32"/>
          <w:szCs w:val="32"/>
          <w:lang w:val="en-US" w:eastAsia="zh-CN"/>
        </w:rPr>
      </w:pPr>
      <w:bookmarkStart w:id="3" w:name="OLE_LINK3"/>
      <w:bookmarkStart w:id="4" w:name="OLE_LINK18"/>
      <w:r>
        <w:rPr>
          <w:rFonts w:hint="eastAsia" w:ascii="仿宋" w:hAnsi="仿宋" w:eastAsia="仿宋"/>
          <w:sz w:val="32"/>
          <w:szCs w:val="32"/>
          <w:lang w:val="en-US" w:eastAsia="zh-CN"/>
        </w:rPr>
        <w:t>1、加强水污染防治措施。项目场区按照雨污分流体制建设，营运期场地内雨水经雨水收集管网收集后，外排至场界外沟渠内。加油站场区采用棚罩，不会被雨水淋而产生污水，其它场地雨水经场区雨水管网收集后进项目配套建设的隔油池隔油沉淀后进入雨水管网。场区内清洗废水（包括洗车废水、场地清洁废水）经隔油沉淀后与经化粪池处理后的生活废水一起排项目北侧华鲇路的市政污水管网，进入华容县麻浬泗污水处理厂处理达《城镇污水处理厂污染物排放标准》(GB18918-2002)中一级标准的A标准后排入华容河。</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2、加强大气污染治理。严格落实报告表提出的挥发性油气防治措施，加油站采用双层地埋式储油罐，配置卸没、加油油气回收系统，规范操作，确保加油站废气中非甲烷总烃类排放满足《加油站大气污染物排放标准》（GB20952-2007）中相关标准要求，厂界无组织废气满足《大气污染物综合排放标准》（GB16297-1996）表2中无组织排放监控浓度限值要求。厂区的备用发电机产生的废气经自带的烟气净化器处理后外排，满足《非道路移动机械用柴油机排气污染物排放限值及测量方法(中国第三、四阶段）》（GB 20891-2014）中第三阶段标准要求。</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3、噪声污染防治工作。选用低噪声设备，提高安装精度，对加油泵、发电机等产生高噪声的设备采取隔音减震措施，并通过加大场界绿化防护带起到吸音降尘的效果，确保加油站厂界噪声达到《工业企业厂界环境噪声排放标准》（GB12348-2008）2、4类标准要求。</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4、地下水污染防治工作。严格按设计要求规范落实各项防渗漏措施。地下储油罐周围设防渗漏检查孔或检查通道、监测井等防漏和检漏设施，储油罐周边设防油堤、油罐液位监测系统，运营期开展地下水环境影响跟踪监测，确保不对地下水环境造成影响。</w:t>
      </w:r>
    </w:p>
    <w:p>
      <w:pPr>
        <w:widowControl w:val="0"/>
        <w:spacing w:line="520" w:lineRule="exact"/>
        <w:ind w:left="0" w:leftChars="0"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5、固体废物防治工作。加油站油罐清洗交由具有专业资质单位进行，油罐残渣和隔油沉淀池含油泥沙等危险废物严格按照《危险废物贮存污染控制标准》（G18597-2001）及2013年修改单要求，规范建设暂存场所，油罐定期清理产生残渣和隔油池产生的含油泥沙交由有资质的单位处理；落实转移联单制度并规范建立台帐。废弃的含油抹布、劳保用品等按要求规范处理。生活垃圾集中收集后委托环卫部门定期清运。</w:t>
      </w:r>
      <w:bookmarkStart w:id="5" w:name="_GoBack"/>
      <w:bookmarkEnd w:id="5"/>
    </w:p>
    <w:p>
      <w:pPr>
        <w:widowControl w:val="0"/>
        <w:spacing w:line="520" w:lineRule="exact"/>
        <w:ind w:left="0" w:leftChars="0"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6、加强营运期风险防范。加强营运期风险防范。加强对输油管道和加油、储油设备的维护管理，减少跑、冒、滴、漏，制定严格的操作规程，常备安全消防用具。落实各项风险防范措施，制定科学有效的应急事故处理预案，建立健全应急组织实施体系，增强事故防范意识。</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7、加强环境管理，建立健全污染防治设施运行管理台帐，设置专门的环保机构及环保人员，确保各项污染防治设施的正常运行，各类污染物稳定达标排放。</w:t>
      </w:r>
    </w:p>
    <w:p>
      <w:pPr>
        <w:widowControl w:val="0"/>
        <w:spacing w:line="520" w:lineRule="exact"/>
        <w:ind w:left="0" w:leftChars="0" w:firstLine="640" w:firstLineChars="200"/>
        <w:jc w:val="both"/>
        <w:rPr>
          <w:rFonts w:hint="default" w:ascii="仿宋" w:hAnsi="仿宋" w:eastAsia="仿宋"/>
          <w:sz w:val="32"/>
          <w:szCs w:val="32"/>
          <w:lang w:val="en-US" w:eastAsia="zh-CN"/>
        </w:rPr>
      </w:pPr>
      <w:r>
        <w:rPr>
          <w:rFonts w:hint="eastAsia" w:ascii="仿宋" w:hAnsi="仿宋" w:eastAsia="仿宋"/>
          <w:sz w:val="32"/>
          <w:szCs w:val="32"/>
          <w:lang w:val="en-US" w:eastAsia="zh-CN"/>
        </w:rPr>
        <w:t>8、本项目总量控制指标：VOCs≤0.622t/a。</w:t>
      </w:r>
    </w:p>
    <w:bookmarkEnd w:id="3"/>
    <w:bookmarkEnd w:id="4"/>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三、按照《建设项目环境保护管理条例》的规定，建设单位应当按照国务院环境保护行政主管部门规定的标准和程序，对配套建设的环境保护设施进行验收，编制验收报告，并依法向社会公开验收报告。</w:t>
      </w:r>
    </w:p>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四、建设项目的日常环境监管工作由岳阳市华容生态环境保护综合行政执法大队负责。你公司应在收到本批复后7个工作日内，将批复及批准的环评报告文本送至岳阳市华容生态环境保护综合行政执法大队备案。</w:t>
      </w:r>
    </w:p>
    <w:p>
      <w:pPr>
        <w:widowControl w:val="0"/>
        <w:spacing w:line="520" w:lineRule="exact"/>
        <w:ind w:firstLine="640" w:firstLineChars="200"/>
        <w:jc w:val="both"/>
        <w:rPr>
          <w:rFonts w:hint="eastAsia" w:ascii="仿宋" w:hAnsi="仿宋" w:eastAsia="仿宋"/>
          <w:sz w:val="32"/>
          <w:szCs w:val="32"/>
          <w:lang w:eastAsia="zh-CN"/>
        </w:rPr>
      </w:pPr>
    </w:p>
    <w:p>
      <w:pPr>
        <w:spacing w:line="520" w:lineRule="exact"/>
        <w:ind w:firstLine="640" w:firstLineChars="200"/>
        <w:jc w:val="both"/>
        <w:rPr>
          <w:rFonts w:ascii="仿宋" w:hAnsi="仿宋" w:eastAsia="仿宋"/>
          <w:sz w:val="32"/>
          <w:szCs w:val="32"/>
          <w:lang w:eastAsia="zh-CN"/>
        </w:rPr>
      </w:pPr>
    </w:p>
    <w:p>
      <w:pPr>
        <w:pStyle w:val="2"/>
        <w:rPr>
          <w:lang w:eastAsia="zh-CN"/>
        </w:rPr>
      </w:pPr>
    </w:p>
    <w:p>
      <w:pPr>
        <w:spacing w:line="520" w:lineRule="exact"/>
        <w:ind w:firstLine="5280" w:firstLineChars="1650"/>
        <w:jc w:val="both"/>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20</w:t>
      </w:r>
      <w:r>
        <w:rPr>
          <w:rFonts w:hint="eastAsia" w:ascii="仿宋" w:hAnsi="仿宋" w:eastAsia="仿宋"/>
          <w:sz w:val="32"/>
          <w:szCs w:val="32"/>
          <w:lang w:eastAsia="zh-CN"/>
        </w:rPr>
        <w:t>年</w:t>
      </w:r>
      <w:r>
        <w:rPr>
          <w:rFonts w:hint="eastAsia" w:ascii="仿宋" w:hAnsi="仿宋" w:eastAsia="仿宋"/>
          <w:sz w:val="32"/>
          <w:szCs w:val="32"/>
          <w:lang w:val="en-US" w:eastAsia="zh-CN"/>
        </w:rPr>
        <w:t>9</w:t>
      </w:r>
      <w:r>
        <w:rPr>
          <w:rFonts w:ascii="仿宋" w:hAnsi="仿宋" w:eastAsia="仿宋"/>
          <w:sz w:val="32"/>
          <w:szCs w:val="32"/>
          <w:lang w:eastAsia="zh-CN"/>
        </w:rPr>
        <w:t>月</w:t>
      </w:r>
      <w:r>
        <w:rPr>
          <w:rFonts w:hint="eastAsia" w:ascii="仿宋" w:hAnsi="仿宋" w:eastAsia="仿宋"/>
          <w:sz w:val="32"/>
          <w:szCs w:val="32"/>
          <w:lang w:val="en-US" w:eastAsia="zh-CN"/>
        </w:rPr>
        <w:t>28</w:t>
      </w:r>
      <w:r>
        <w:rPr>
          <w:rFonts w:ascii="仿宋" w:hAnsi="仿宋" w:eastAsia="仿宋"/>
          <w:sz w:val="32"/>
          <w:szCs w:val="32"/>
          <w:lang w:eastAsia="zh-CN"/>
        </w:rPr>
        <w:t>日</w:t>
      </w:r>
    </w:p>
    <w:p>
      <w:pPr>
        <w:pStyle w:val="14"/>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tbl>
      <w:tblPr>
        <w:tblStyle w:val="20"/>
        <w:tblpPr w:leftFromText="180" w:rightFromText="180" w:vertAnchor="text" w:horzAnchor="page" w:tblpX="1900" w:tblpY="1930"/>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op w:val="single" w:color="auto" w:sz="4" w:space="0"/>
              <w:left w:val="nil"/>
              <w:bottom w:val="single" w:color="auto" w:sz="4" w:space="0"/>
              <w:right w:val="nil"/>
            </w:tcBorders>
          </w:tcPr>
          <w:p>
            <w:pPr>
              <w:spacing w:line="520" w:lineRule="exact"/>
              <w:ind w:left="829" w:hanging="828" w:hangingChars="259"/>
              <w:jc w:val="both"/>
              <w:rPr>
                <w:rFonts w:ascii="仿宋" w:hAnsi="仿宋" w:eastAsia="仿宋"/>
                <w:sz w:val="32"/>
                <w:szCs w:val="32"/>
                <w:lang w:eastAsia="zh-CN"/>
              </w:rPr>
            </w:pPr>
            <w:r>
              <w:rPr>
                <w:rFonts w:ascii="仿宋" w:hAnsi="仿宋" w:eastAsia="仿宋"/>
                <w:sz w:val="32"/>
                <w:szCs w:val="32"/>
                <w:lang w:eastAsia="zh-CN"/>
              </w:rPr>
              <w:t>抄送:</w:t>
            </w:r>
            <w:r>
              <w:rPr>
                <w:rFonts w:hint="eastAsia" w:ascii="仿宋" w:hAnsi="仿宋" w:eastAsia="仿宋"/>
                <w:sz w:val="32"/>
                <w:szCs w:val="32"/>
                <w:lang w:val="en-US" w:eastAsia="zh-CN"/>
              </w:rPr>
              <w:t>湖南环美达环保科技有限公司</w:t>
            </w:r>
          </w:p>
        </w:tc>
      </w:tr>
    </w:tbl>
    <w:p>
      <w:pPr>
        <w:ind w:left="0" w:leftChars="0" w:firstLine="0" w:firstLineChars="0"/>
        <w:rPr>
          <w:lang w:eastAsia="zh-CN"/>
        </w:rPr>
      </w:pPr>
    </w:p>
    <w:sectPr>
      <w:headerReference r:id="rId4" w:type="first"/>
      <w:headerReference r:id="rId3" w:type="default"/>
      <w:footerReference r:id="rId5" w:type="default"/>
      <w:pgSz w:w="11906" w:h="16838"/>
      <w:pgMar w:top="1440" w:right="1588" w:bottom="1361"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_4eff_5b8b_GB2312">
    <w:altName w:val="Segoe Print"/>
    <w:panose1 w:val="00000000000000000000"/>
    <w:charset w:val="00"/>
    <w:family w:val="roman"/>
    <w:pitch w:val="default"/>
    <w:sig w:usb0="00000000" w:usb1="00000000" w:usb2="00000000" w:usb3="00000000" w:csb0="00000000" w:csb1="00000000"/>
  </w:font>
  <w:font w:name="_9ed1_4f53">
    <w:altName w:val="Times New Roman"/>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rPr>
        <w:lang w:val="zh-CN"/>
      </w:rPr>
      <w:t>3</w:t>
    </w:r>
    <w:r>
      <w:rPr>
        <w:lang w:val="zh-CN"/>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4E0C28"/>
    <w:multiLevelType w:val="singleLevel"/>
    <w:tmpl w:val="BB4E0C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4C0"/>
    <w:rsid w:val="00303B7E"/>
    <w:rsid w:val="004F0446"/>
    <w:rsid w:val="00680217"/>
    <w:rsid w:val="00A751E9"/>
    <w:rsid w:val="00DF34C0"/>
    <w:rsid w:val="00E305B0"/>
    <w:rsid w:val="015E2352"/>
    <w:rsid w:val="01F21DF7"/>
    <w:rsid w:val="030F5D48"/>
    <w:rsid w:val="0310708E"/>
    <w:rsid w:val="03AD0C42"/>
    <w:rsid w:val="04CF5F31"/>
    <w:rsid w:val="04F96B29"/>
    <w:rsid w:val="04FC7225"/>
    <w:rsid w:val="05492309"/>
    <w:rsid w:val="055927EB"/>
    <w:rsid w:val="0577127F"/>
    <w:rsid w:val="05D32D7D"/>
    <w:rsid w:val="06485613"/>
    <w:rsid w:val="0667504B"/>
    <w:rsid w:val="06D454B6"/>
    <w:rsid w:val="07627BE0"/>
    <w:rsid w:val="07D00092"/>
    <w:rsid w:val="07E83251"/>
    <w:rsid w:val="08BE5DE5"/>
    <w:rsid w:val="095273E5"/>
    <w:rsid w:val="0AAC7209"/>
    <w:rsid w:val="0C7B4F4A"/>
    <w:rsid w:val="0E911D51"/>
    <w:rsid w:val="125F458B"/>
    <w:rsid w:val="126B75A1"/>
    <w:rsid w:val="12AD6D1E"/>
    <w:rsid w:val="13151EDD"/>
    <w:rsid w:val="13C80755"/>
    <w:rsid w:val="152B1936"/>
    <w:rsid w:val="17580286"/>
    <w:rsid w:val="176E618B"/>
    <w:rsid w:val="1791017D"/>
    <w:rsid w:val="179D4F43"/>
    <w:rsid w:val="18467D23"/>
    <w:rsid w:val="1934374F"/>
    <w:rsid w:val="1A3E03B3"/>
    <w:rsid w:val="1B69490D"/>
    <w:rsid w:val="1BB043A6"/>
    <w:rsid w:val="1BF87646"/>
    <w:rsid w:val="1CF31FFA"/>
    <w:rsid w:val="1D3F233A"/>
    <w:rsid w:val="1DB82B67"/>
    <w:rsid w:val="1DE16A2D"/>
    <w:rsid w:val="1DFA439D"/>
    <w:rsid w:val="1E015F20"/>
    <w:rsid w:val="1E5142F1"/>
    <w:rsid w:val="1E742D0F"/>
    <w:rsid w:val="1EC2302D"/>
    <w:rsid w:val="1EF04FA7"/>
    <w:rsid w:val="20CD0914"/>
    <w:rsid w:val="210C743C"/>
    <w:rsid w:val="21443D99"/>
    <w:rsid w:val="2223050D"/>
    <w:rsid w:val="23961356"/>
    <w:rsid w:val="251003ED"/>
    <w:rsid w:val="2546427C"/>
    <w:rsid w:val="25661477"/>
    <w:rsid w:val="25D97276"/>
    <w:rsid w:val="26206248"/>
    <w:rsid w:val="26D35860"/>
    <w:rsid w:val="275F5B53"/>
    <w:rsid w:val="27BB4D0A"/>
    <w:rsid w:val="27C67DD2"/>
    <w:rsid w:val="27EC3DA6"/>
    <w:rsid w:val="285B0824"/>
    <w:rsid w:val="29A33FE3"/>
    <w:rsid w:val="29EF27C5"/>
    <w:rsid w:val="2A2E7D7C"/>
    <w:rsid w:val="2C484A8B"/>
    <w:rsid w:val="2CD73F2F"/>
    <w:rsid w:val="2D820019"/>
    <w:rsid w:val="2E091795"/>
    <w:rsid w:val="2E1D701B"/>
    <w:rsid w:val="2E853DFF"/>
    <w:rsid w:val="2EDD4448"/>
    <w:rsid w:val="2F8300EE"/>
    <w:rsid w:val="300D6709"/>
    <w:rsid w:val="303554BB"/>
    <w:rsid w:val="30A242C0"/>
    <w:rsid w:val="31691448"/>
    <w:rsid w:val="326D5414"/>
    <w:rsid w:val="33120DFC"/>
    <w:rsid w:val="33487338"/>
    <w:rsid w:val="3358441A"/>
    <w:rsid w:val="33C8571E"/>
    <w:rsid w:val="33D81101"/>
    <w:rsid w:val="3434152B"/>
    <w:rsid w:val="35E86C98"/>
    <w:rsid w:val="3645474C"/>
    <w:rsid w:val="369D6A7A"/>
    <w:rsid w:val="36EF248B"/>
    <w:rsid w:val="376F6FFD"/>
    <w:rsid w:val="379124D5"/>
    <w:rsid w:val="37C2540C"/>
    <w:rsid w:val="37C95479"/>
    <w:rsid w:val="388D3512"/>
    <w:rsid w:val="39C86077"/>
    <w:rsid w:val="3B1A7659"/>
    <w:rsid w:val="3B342E13"/>
    <w:rsid w:val="3BEB36EC"/>
    <w:rsid w:val="3D394CE7"/>
    <w:rsid w:val="3E467BF9"/>
    <w:rsid w:val="3EAC48C9"/>
    <w:rsid w:val="401035FD"/>
    <w:rsid w:val="4078021F"/>
    <w:rsid w:val="40922810"/>
    <w:rsid w:val="414A09E3"/>
    <w:rsid w:val="424C5161"/>
    <w:rsid w:val="4320273A"/>
    <w:rsid w:val="433E7E95"/>
    <w:rsid w:val="440515CF"/>
    <w:rsid w:val="449854CC"/>
    <w:rsid w:val="45B56B44"/>
    <w:rsid w:val="461C402D"/>
    <w:rsid w:val="46A50D87"/>
    <w:rsid w:val="46CF0191"/>
    <w:rsid w:val="47C11BD0"/>
    <w:rsid w:val="48263FE6"/>
    <w:rsid w:val="499045AD"/>
    <w:rsid w:val="49BA360D"/>
    <w:rsid w:val="49DC7192"/>
    <w:rsid w:val="4A1359DE"/>
    <w:rsid w:val="4AED164A"/>
    <w:rsid w:val="4B276986"/>
    <w:rsid w:val="4B2F5BF6"/>
    <w:rsid w:val="4B3623B0"/>
    <w:rsid w:val="4BAC0E59"/>
    <w:rsid w:val="4BCD58B3"/>
    <w:rsid w:val="4C376E29"/>
    <w:rsid w:val="4D8F4DA3"/>
    <w:rsid w:val="4DC22511"/>
    <w:rsid w:val="4E417180"/>
    <w:rsid w:val="50F640E4"/>
    <w:rsid w:val="51851AD6"/>
    <w:rsid w:val="53320D8A"/>
    <w:rsid w:val="54872994"/>
    <w:rsid w:val="54F34CA9"/>
    <w:rsid w:val="54F379A1"/>
    <w:rsid w:val="557F3EA4"/>
    <w:rsid w:val="56A00A1C"/>
    <w:rsid w:val="57D01406"/>
    <w:rsid w:val="58A32094"/>
    <w:rsid w:val="58F973FA"/>
    <w:rsid w:val="5BA567CD"/>
    <w:rsid w:val="5BE77D58"/>
    <w:rsid w:val="5C971F21"/>
    <w:rsid w:val="5F3A41A5"/>
    <w:rsid w:val="60FE44EB"/>
    <w:rsid w:val="626966A4"/>
    <w:rsid w:val="627B514C"/>
    <w:rsid w:val="62E74A7F"/>
    <w:rsid w:val="63044559"/>
    <w:rsid w:val="637264E3"/>
    <w:rsid w:val="63784354"/>
    <w:rsid w:val="64452AE4"/>
    <w:rsid w:val="649C7890"/>
    <w:rsid w:val="649E41DB"/>
    <w:rsid w:val="6520197B"/>
    <w:rsid w:val="658173C8"/>
    <w:rsid w:val="672F3DCF"/>
    <w:rsid w:val="67FF4957"/>
    <w:rsid w:val="6AC5479A"/>
    <w:rsid w:val="6AE01D49"/>
    <w:rsid w:val="6B813319"/>
    <w:rsid w:val="6CD12683"/>
    <w:rsid w:val="6E5D732F"/>
    <w:rsid w:val="6F7F15DF"/>
    <w:rsid w:val="70F33585"/>
    <w:rsid w:val="710F180E"/>
    <w:rsid w:val="71B31285"/>
    <w:rsid w:val="71E31AE7"/>
    <w:rsid w:val="72BC7FED"/>
    <w:rsid w:val="73B17DA8"/>
    <w:rsid w:val="76CA2B1C"/>
    <w:rsid w:val="77D70E43"/>
    <w:rsid w:val="77DE1E11"/>
    <w:rsid w:val="793C27CE"/>
    <w:rsid w:val="798551AB"/>
    <w:rsid w:val="79D37596"/>
    <w:rsid w:val="7A034826"/>
    <w:rsid w:val="7A1B5C2F"/>
    <w:rsid w:val="7B261EA3"/>
    <w:rsid w:val="7CB41712"/>
    <w:rsid w:val="7CD01E3F"/>
    <w:rsid w:val="7DAF74C2"/>
    <w:rsid w:val="7E905819"/>
    <w:rsid w:val="7F3A08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3">
    <w:name w:val="heading 1"/>
    <w:basedOn w:val="1"/>
    <w:next w:val="1"/>
    <w:link w:val="25"/>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4">
    <w:name w:val="heading 2"/>
    <w:basedOn w:val="1"/>
    <w:next w:val="1"/>
    <w:link w:val="26"/>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5">
    <w:name w:val="heading 3"/>
    <w:basedOn w:val="1"/>
    <w:next w:val="1"/>
    <w:link w:val="27"/>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6">
    <w:name w:val="heading 4"/>
    <w:basedOn w:val="1"/>
    <w:next w:val="1"/>
    <w:link w:val="28"/>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7">
    <w:name w:val="heading 5"/>
    <w:basedOn w:val="1"/>
    <w:next w:val="1"/>
    <w:link w:val="29"/>
    <w:qFormat/>
    <w:uiPriority w:val="9"/>
    <w:pPr>
      <w:spacing w:before="200" w:after="80"/>
      <w:ind w:firstLine="0"/>
      <w:outlineLvl w:val="4"/>
    </w:pPr>
    <w:rPr>
      <w:rFonts w:ascii="Cambria" w:hAnsi="Cambria"/>
      <w:color w:val="4F81BD"/>
    </w:rPr>
  </w:style>
  <w:style w:type="paragraph" w:styleId="8">
    <w:name w:val="heading 6"/>
    <w:basedOn w:val="1"/>
    <w:next w:val="1"/>
    <w:link w:val="30"/>
    <w:qFormat/>
    <w:uiPriority w:val="9"/>
    <w:pPr>
      <w:spacing w:before="280" w:after="100"/>
      <w:ind w:firstLine="0"/>
      <w:outlineLvl w:val="5"/>
    </w:pPr>
    <w:rPr>
      <w:rFonts w:ascii="Cambria" w:hAnsi="Cambria"/>
      <w:i/>
      <w:iCs/>
      <w:color w:val="4F81BD"/>
    </w:rPr>
  </w:style>
  <w:style w:type="paragraph" w:styleId="9">
    <w:name w:val="heading 7"/>
    <w:basedOn w:val="1"/>
    <w:next w:val="1"/>
    <w:link w:val="31"/>
    <w:qFormat/>
    <w:uiPriority w:val="9"/>
    <w:pPr>
      <w:spacing w:before="320" w:after="100"/>
      <w:ind w:firstLine="0"/>
      <w:outlineLvl w:val="6"/>
    </w:pPr>
    <w:rPr>
      <w:rFonts w:ascii="Cambria" w:hAnsi="Cambria"/>
      <w:b/>
      <w:bCs/>
      <w:color w:val="9BBB59"/>
      <w:sz w:val="20"/>
      <w:szCs w:val="20"/>
    </w:rPr>
  </w:style>
  <w:style w:type="paragraph" w:styleId="10">
    <w:name w:val="heading 8"/>
    <w:basedOn w:val="1"/>
    <w:next w:val="1"/>
    <w:link w:val="32"/>
    <w:qFormat/>
    <w:uiPriority w:val="9"/>
    <w:pPr>
      <w:spacing w:before="320" w:after="100"/>
      <w:ind w:firstLine="0"/>
      <w:outlineLvl w:val="7"/>
    </w:pPr>
    <w:rPr>
      <w:rFonts w:ascii="Cambria" w:hAnsi="Cambria"/>
      <w:b/>
      <w:bCs/>
      <w:i/>
      <w:iCs/>
      <w:color w:val="9BBB59"/>
      <w:sz w:val="20"/>
      <w:szCs w:val="20"/>
    </w:rPr>
  </w:style>
  <w:style w:type="paragraph" w:styleId="11">
    <w:name w:val="heading 9"/>
    <w:basedOn w:val="1"/>
    <w:next w:val="1"/>
    <w:link w:val="33"/>
    <w:qFormat/>
    <w:uiPriority w:val="9"/>
    <w:pPr>
      <w:spacing w:before="320" w:after="100"/>
      <w:ind w:firstLine="0"/>
      <w:outlineLvl w:val="8"/>
    </w:pPr>
    <w:rPr>
      <w:rFonts w:ascii="Cambria" w:hAnsi="Cambria"/>
      <w:i/>
      <w:iCs/>
      <w:color w:val="9BBB59"/>
      <w:sz w:val="20"/>
      <w:szCs w:val="20"/>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line="400" w:lineRule="atLeast"/>
    </w:pPr>
    <w:rPr>
      <w:sz w:val="30"/>
    </w:rPr>
  </w:style>
  <w:style w:type="paragraph" w:styleId="12">
    <w:name w:val="caption"/>
    <w:basedOn w:val="1"/>
    <w:next w:val="1"/>
    <w:qFormat/>
    <w:uiPriority w:val="35"/>
    <w:rPr>
      <w:b/>
      <w:bCs/>
      <w:sz w:val="18"/>
      <w:szCs w:val="18"/>
    </w:rPr>
  </w:style>
  <w:style w:type="paragraph" w:styleId="13">
    <w:name w:val="Body Text Indent"/>
    <w:basedOn w:val="1"/>
    <w:next w:val="14"/>
    <w:qFormat/>
    <w:uiPriority w:val="99"/>
    <w:pPr>
      <w:ind w:left="420" w:leftChars="200"/>
    </w:pPr>
  </w:style>
  <w:style w:type="paragraph" w:styleId="14">
    <w:name w:val="Body Text First Indent 2"/>
    <w:basedOn w:val="13"/>
    <w:next w:val="1"/>
    <w:qFormat/>
    <w:uiPriority w:val="99"/>
    <w:pPr>
      <w:ind w:firstLine="420"/>
    </w:pPr>
  </w:style>
  <w:style w:type="paragraph" w:styleId="15">
    <w:name w:val="Balloon Text"/>
    <w:basedOn w:val="1"/>
    <w:link w:val="53"/>
    <w:qFormat/>
    <w:uiPriority w:val="99"/>
    <w:rPr>
      <w:sz w:val="18"/>
      <w:szCs w:val="18"/>
    </w:rPr>
  </w:style>
  <w:style w:type="paragraph" w:styleId="16">
    <w:name w:val="footer"/>
    <w:basedOn w:val="1"/>
    <w:link w:val="52"/>
    <w:qFormat/>
    <w:uiPriority w:val="99"/>
    <w:pPr>
      <w:tabs>
        <w:tab w:val="center" w:pos="4153"/>
        <w:tab w:val="right" w:pos="8306"/>
      </w:tabs>
      <w:snapToGrid w:val="0"/>
    </w:pPr>
    <w:rPr>
      <w:sz w:val="18"/>
      <w:szCs w:val="18"/>
    </w:rPr>
  </w:style>
  <w:style w:type="paragraph" w:styleId="17">
    <w:name w:val="header"/>
    <w:basedOn w:val="1"/>
    <w:link w:val="51"/>
    <w:qFormat/>
    <w:uiPriority w:val="99"/>
    <w:pPr>
      <w:pBdr>
        <w:bottom w:val="single" w:color="auto" w:sz="6" w:space="1"/>
      </w:pBdr>
      <w:tabs>
        <w:tab w:val="center" w:pos="4153"/>
        <w:tab w:val="right" w:pos="8306"/>
      </w:tabs>
      <w:snapToGrid w:val="0"/>
      <w:jc w:val="center"/>
    </w:pPr>
    <w:rPr>
      <w:sz w:val="18"/>
      <w:szCs w:val="18"/>
    </w:rPr>
  </w:style>
  <w:style w:type="paragraph" w:styleId="18">
    <w:name w:val="Subtitle"/>
    <w:basedOn w:val="1"/>
    <w:next w:val="1"/>
    <w:link w:val="35"/>
    <w:qFormat/>
    <w:uiPriority w:val="11"/>
    <w:pPr>
      <w:spacing w:before="200" w:after="900"/>
      <w:ind w:firstLine="0"/>
      <w:jc w:val="right"/>
    </w:pPr>
    <w:rPr>
      <w:i/>
      <w:iCs/>
      <w:sz w:val="24"/>
      <w:szCs w:val="24"/>
    </w:rPr>
  </w:style>
  <w:style w:type="paragraph" w:styleId="19">
    <w:name w:val="Title"/>
    <w:basedOn w:val="1"/>
    <w:next w:val="1"/>
    <w:link w:val="34"/>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2">
    <w:name w:val="Strong"/>
    <w:basedOn w:val="21"/>
    <w:qFormat/>
    <w:uiPriority w:val="22"/>
    <w:rPr>
      <w:b/>
      <w:bCs/>
      <w:spacing w:val="0"/>
    </w:rPr>
  </w:style>
  <w:style w:type="character" w:styleId="23">
    <w:name w:val="Emphasis"/>
    <w:qFormat/>
    <w:uiPriority w:val="20"/>
    <w:rPr>
      <w:b/>
      <w:bCs/>
      <w:i/>
      <w:iCs/>
      <w:color w:val="595959"/>
    </w:rPr>
  </w:style>
  <w:style w:type="paragraph" w:customStyle="1" w:styleId="24">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character" w:customStyle="1" w:styleId="25">
    <w:name w:val="标题 1 Char"/>
    <w:basedOn w:val="21"/>
    <w:link w:val="3"/>
    <w:qFormat/>
    <w:uiPriority w:val="9"/>
    <w:rPr>
      <w:rFonts w:ascii="Cambria" w:hAnsi="Cambria" w:eastAsia="宋体" w:cs="宋体"/>
      <w:b/>
      <w:bCs/>
      <w:color w:val="376092"/>
      <w:sz w:val="24"/>
      <w:szCs w:val="24"/>
    </w:rPr>
  </w:style>
  <w:style w:type="character" w:customStyle="1" w:styleId="26">
    <w:name w:val="标题 2 Char"/>
    <w:basedOn w:val="21"/>
    <w:link w:val="4"/>
    <w:qFormat/>
    <w:uiPriority w:val="9"/>
    <w:rPr>
      <w:rFonts w:ascii="Cambria" w:hAnsi="Cambria" w:eastAsia="宋体" w:cs="宋体"/>
      <w:color w:val="376092"/>
      <w:sz w:val="24"/>
      <w:szCs w:val="24"/>
    </w:rPr>
  </w:style>
  <w:style w:type="character" w:customStyle="1" w:styleId="27">
    <w:name w:val="标题 3 Char"/>
    <w:basedOn w:val="21"/>
    <w:link w:val="5"/>
    <w:qFormat/>
    <w:uiPriority w:val="9"/>
    <w:rPr>
      <w:rFonts w:ascii="Cambria" w:hAnsi="Cambria" w:eastAsia="宋体" w:cs="宋体"/>
      <w:color w:val="4F81BD"/>
      <w:sz w:val="24"/>
      <w:szCs w:val="24"/>
    </w:rPr>
  </w:style>
  <w:style w:type="character" w:customStyle="1" w:styleId="28">
    <w:name w:val="标题 4 Char"/>
    <w:basedOn w:val="21"/>
    <w:link w:val="6"/>
    <w:qFormat/>
    <w:uiPriority w:val="9"/>
    <w:rPr>
      <w:rFonts w:ascii="Cambria" w:hAnsi="Cambria" w:eastAsia="宋体" w:cs="宋体"/>
      <w:i/>
      <w:iCs/>
      <w:color w:val="4F81BD"/>
      <w:sz w:val="24"/>
      <w:szCs w:val="24"/>
    </w:rPr>
  </w:style>
  <w:style w:type="character" w:customStyle="1" w:styleId="29">
    <w:name w:val="标题 5 Char"/>
    <w:basedOn w:val="21"/>
    <w:link w:val="7"/>
    <w:qFormat/>
    <w:uiPriority w:val="9"/>
    <w:rPr>
      <w:rFonts w:ascii="Cambria" w:hAnsi="Cambria" w:eastAsia="宋体" w:cs="宋体"/>
      <w:color w:val="4F81BD"/>
    </w:rPr>
  </w:style>
  <w:style w:type="character" w:customStyle="1" w:styleId="30">
    <w:name w:val="标题 6 Char"/>
    <w:basedOn w:val="21"/>
    <w:link w:val="8"/>
    <w:qFormat/>
    <w:uiPriority w:val="9"/>
    <w:rPr>
      <w:rFonts w:ascii="Cambria" w:hAnsi="Cambria" w:eastAsia="宋体" w:cs="宋体"/>
      <w:i/>
      <w:iCs/>
      <w:color w:val="4F81BD"/>
    </w:rPr>
  </w:style>
  <w:style w:type="character" w:customStyle="1" w:styleId="31">
    <w:name w:val="标题 7 Char"/>
    <w:basedOn w:val="21"/>
    <w:link w:val="9"/>
    <w:qFormat/>
    <w:uiPriority w:val="9"/>
    <w:rPr>
      <w:rFonts w:ascii="Cambria" w:hAnsi="Cambria" w:eastAsia="宋体" w:cs="宋体"/>
      <w:b/>
      <w:bCs/>
      <w:color w:val="9BBB59"/>
      <w:sz w:val="20"/>
      <w:szCs w:val="20"/>
    </w:rPr>
  </w:style>
  <w:style w:type="character" w:customStyle="1" w:styleId="32">
    <w:name w:val="标题 8 Char"/>
    <w:basedOn w:val="21"/>
    <w:link w:val="10"/>
    <w:qFormat/>
    <w:uiPriority w:val="9"/>
    <w:rPr>
      <w:rFonts w:ascii="Cambria" w:hAnsi="Cambria" w:eastAsia="宋体" w:cs="宋体"/>
      <w:b/>
      <w:bCs/>
      <w:i/>
      <w:iCs/>
      <w:color w:val="9BBB59"/>
      <w:sz w:val="20"/>
      <w:szCs w:val="20"/>
    </w:rPr>
  </w:style>
  <w:style w:type="character" w:customStyle="1" w:styleId="33">
    <w:name w:val="标题 9 Char"/>
    <w:basedOn w:val="21"/>
    <w:link w:val="11"/>
    <w:qFormat/>
    <w:uiPriority w:val="9"/>
    <w:rPr>
      <w:rFonts w:ascii="Cambria" w:hAnsi="Cambria" w:eastAsia="宋体" w:cs="宋体"/>
      <w:i/>
      <w:iCs/>
      <w:color w:val="9BBB59"/>
      <w:sz w:val="20"/>
      <w:szCs w:val="20"/>
    </w:rPr>
  </w:style>
  <w:style w:type="character" w:customStyle="1" w:styleId="34">
    <w:name w:val="标题 Char"/>
    <w:basedOn w:val="21"/>
    <w:link w:val="19"/>
    <w:qFormat/>
    <w:uiPriority w:val="10"/>
    <w:rPr>
      <w:rFonts w:ascii="Cambria" w:hAnsi="Cambria" w:eastAsia="宋体" w:cs="宋体"/>
      <w:i/>
      <w:iCs/>
      <w:color w:val="254061"/>
      <w:sz w:val="60"/>
      <w:szCs w:val="60"/>
    </w:rPr>
  </w:style>
  <w:style w:type="character" w:customStyle="1" w:styleId="35">
    <w:name w:val="副标题 Char"/>
    <w:basedOn w:val="21"/>
    <w:link w:val="18"/>
    <w:qFormat/>
    <w:uiPriority w:val="11"/>
    <w:rPr>
      <w:rFonts w:ascii="Calibri"/>
      <w:i/>
      <w:iCs/>
      <w:sz w:val="24"/>
      <w:szCs w:val="24"/>
    </w:rPr>
  </w:style>
  <w:style w:type="paragraph" w:styleId="36">
    <w:name w:val="No Spacing"/>
    <w:basedOn w:val="1"/>
    <w:link w:val="37"/>
    <w:qFormat/>
    <w:uiPriority w:val="1"/>
    <w:pPr>
      <w:ind w:firstLine="0"/>
    </w:pPr>
  </w:style>
  <w:style w:type="character" w:customStyle="1" w:styleId="37">
    <w:name w:val="无间隔 Char"/>
    <w:basedOn w:val="21"/>
    <w:link w:val="36"/>
    <w:qFormat/>
    <w:uiPriority w:val="1"/>
  </w:style>
  <w:style w:type="paragraph" w:styleId="38">
    <w:name w:val="List Paragraph"/>
    <w:basedOn w:val="1"/>
    <w:qFormat/>
    <w:uiPriority w:val="34"/>
    <w:pPr>
      <w:ind w:left="720"/>
      <w:contextualSpacing/>
    </w:pPr>
  </w:style>
  <w:style w:type="paragraph" w:styleId="39">
    <w:name w:val="Quote"/>
    <w:basedOn w:val="1"/>
    <w:next w:val="1"/>
    <w:link w:val="40"/>
    <w:qFormat/>
    <w:uiPriority w:val="29"/>
    <w:rPr>
      <w:rFonts w:ascii="Cambria" w:hAnsi="Cambria"/>
      <w:i/>
      <w:iCs/>
      <w:color w:val="595959"/>
    </w:rPr>
  </w:style>
  <w:style w:type="character" w:customStyle="1" w:styleId="40">
    <w:name w:val="引用 Char"/>
    <w:basedOn w:val="21"/>
    <w:link w:val="39"/>
    <w:qFormat/>
    <w:uiPriority w:val="29"/>
    <w:rPr>
      <w:rFonts w:ascii="Cambria" w:hAnsi="Cambria" w:eastAsia="宋体" w:cs="宋体"/>
      <w:i/>
      <w:iCs/>
      <w:color w:val="595959"/>
    </w:rPr>
  </w:style>
  <w:style w:type="paragraph" w:styleId="41">
    <w:name w:val="Intense Quote"/>
    <w:basedOn w:val="1"/>
    <w:next w:val="1"/>
    <w:link w:val="42"/>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42">
    <w:name w:val="明显引用 Char"/>
    <w:basedOn w:val="21"/>
    <w:link w:val="41"/>
    <w:qFormat/>
    <w:uiPriority w:val="30"/>
    <w:rPr>
      <w:rFonts w:ascii="Cambria" w:hAnsi="Cambria" w:eastAsia="宋体" w:cs="宋体"/>
      <w:i/>
      <w:iCs/>
      <w:color w:val="FFFFFF"/>
      <w:sz w:val="24"/>
      <w:szCs w:val="24"/>
      <w:shd w:val="clear" w:color="auto" w:fill="4F81BD"/>
    </w:rPr>
  </w:style>
  <w:style w:type="character" w:customStyle="1" w:styleId="43">
    <w:name w:val="不明显强调1"/>
    <w:qFormat/>
    <w:uiPriority w:val="19"/>
    <w:rPr>
      <w:i/>
      <w:iCs/>
      <w:color w:val="595959"/>
    </w:rPr>
  </w:style>
  <w:style w:type="character" w:customStyle="1" w:styleId="44">
    <w:name w:val="明显强调1"/>
    <w:qFormat/>
    <w:uiPriority w:val="21"/>
    <w:rPr>
      <w:b/>
      <w:bCs/>
      <w:i/>
      <w:iCs/>
      <w:color w:val="4F81BD"/>
      <w:sz w:val="22"/>
      <w:szCs w:val="22"/>
    </w:rPr>
  </w:style>
  <w:style w:type="character" w:customStyle="1" w:styleId="45">
    <w:name w:val="不明显参考1"/>
    <w:qFormat/>
    <w:uiPriority w:val="31"/>
    <w:rPr>
      <w:color w:val="auto"/>
      <w:u w:val="single" w:color="9BBB59"/>
    </w:rPr>
  </w:style>
  <w:style w:type="character" w:customStyle="1" w:styleId="46">
    <w:name w:val="明显参考1"/>
    <w:basedOn w:val="21"/>
    <w:qFormat/>
    <w:uiPriority w:val="32"/>
    <w:rPr>
      <w:b/>
      <w:bCs/>
      <w:color w:val="77933C"/>
      <w:u w:val="single" w:color="9BBB59"/>
    </w:rPr>
  </w:style>
  <w:style w:type="character" w:customStyle="1" w:styleId="47">
    <w:name w:val="书籍标题1"/>
    <w:basedOn w:val="21"/>
    <w:qFormat/>
    <w:uiPriority w:val="33"/>
    <w:rPr>
      <w:rFonts w:ascii="Cambria" w:hAnsi="Cambria" w:eastAsia="宋体" w:cs="宋体"/>
      <w:b/>
      <w:bCs/>
      <w:i/>
      <w:iCs/>
      <w:color w:val="auto"/>
    </w:rPr>
  </w:style>
  <w:style w:type="paragraph" w:customStyle="1" w:styleId="48">
    <w:name w:val="TOC 标题1"/>
    <w:basedOn w:val="3"/>
    <w:next w:val="1"/>
    <w:qFormat/>
    <w:uiPriority w:val="39"/>
    <w:pPr>
      <w:outlineLvl w:val="9"/>
    </w:pPr>
  </w:style>
  <w:style w:type="paragraph" w:customStyle="1" w:styleId="49">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50">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51">
    <w:name w:val="页眉 Char"/>
    <w:basedOn w:val="21"/>
    <w:link w:val="17"/>
    <w:qFormat/>
    <w:uiPriority w:val="99"/>
    <w:rPr>
      <w:sz w:val="18"/>
      <w:szCs w:val="18"/>
    </w:rPr>
  </w:style>
  <w:style w:type="character" w:customStyle="1" w:styleId="52">
    <w:name w:val="页脚 Char"/>
    <w:basedOn w:val="21"/>
    <w:link w:val="16"/>
    <w:qFormat/>
    <w:uiPriority w:val="99"/>
    <w:rPr>
      <w:sz w:val="18"/>
      <w:szCs w:val="18"/>
    </w:rPr>
  </w:style>
  <w:style w:type="character" w:customStyle="1" w:styleId="53">
    <w:name w:val="批注框文本 Char"/>
    <w:basedOn w:val="21"/>
    <w:link w:val="15"/>
    <w:qFormat/>
    <w:uiPriority w:val="99"/>
    <w:rPr>
      <w:sz w:val="18"/>
      <w:szCs w:val="18"/>
      <w:lang w:eastAsia="en-US" w:bidi="en-US"/>
    </w:rPr>
  </w:style>
  <w:style w:type="paragraph" w:customStyle="1" w:styleId="54">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Pages>
  <Words>325</Words>
  <Characters>1855</Characters>
  <Lines>15</Lines>
  <Paragraphs>4</Paragraphs>
  <TotalTime>0</TotalTime>
  <ScaleCrop>false</ScaleCrop>
  <LinksUpToDate>false</LinksUpToDate>
  <CharactersWithSpaces>2176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梦里芙蓉</cp:lastModifiedBy>
  <cp:lastPrinted>2020-04-27T01:27:00Z</cp:lastPrinted>
  <dcterms:modified xsi:type="dcterms:W3CDTF">2020-09-27T01:52:27Z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