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17</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年产20000根环型</w:t>
      </w:r>
      <w:r>
        <w:rPr>
          <w:rFonts w:hint="eastAsia" w:ascii="_9ed1_4f53" w:hAnsi="_9ed1_4f53" w:cs="_9ed1_4f53"/>
          <w:b/>
          <w:bCs/>
          <w:sz w:val="36"/>
          <w:szCs w:val="36"/>
          <w:lang w:eastAsia="zh-CN" w:bidi="ar-SA"/>
        </w:rPr>
        <w:fldChar w:fldCharType="begin"/>
      </w:r>
      <w:r>
        <w:rPr>
          <w:rFonts w:hint="eastAsia" w:ascii="_9ed1_4f53" w:hAnsi="_9ed1_4f53" w:cs="_9ed1_4f53"/>
          <w:b/>
          <w:bCs/>
          <w:sz w:val="36"/>
          <w:szCs w:val="36"/>
          <w:lang w:eastAsia="zh-CN" w:bidi="ar-SA"/>
        </w:rPr>
        <w:instrText xml:space="preserve"> HYPERLINK "https://baike.baidu.com/item/%E6%B7%B7%E5%87%9D%E5%9C%9F" \t "https://baike.baidu.com/item/%E7%94%B5%E7%BA%BF%E6%9D%86/_blank" </w:instrText>
      </w:r>
      <w:r>
        <w:rPr>
          <w:rFonts w:hint="eastAsia" w:ascii="_9ed1_4f53" w:hAnsi="_9ed1_4f53" w:cs="_9ed1_4f53"/>
          <w:b/>
          <w:bCs/>
          <w:sz w:val="36"/>
          <w:szCs w:val="36"/>
          <w:lang w:eastAsia="zh-CN" w:bidi="ar-SA"/>
        </w:rPr>
        <w:fldChar w:fldCharType="separate"/>
      </w:r>
      <w:r>
        <w:rPr>
          <w:rFonts w:hint="eastAsia" w:ascii="_9ed1_4f53" w:hAnsi="_9ed1_4f53" w:cs="_9ed1_4f53"/>
          <w:b/>
          <w:bCs/>
          <w:sz w:val="36"/>
          <w:szCs w:val="36"/>
          <w:lang w:eastAsia="zh-CN" w:bidi="ar-SA"/>
        </w:rPr>
        <w:t>混凝土</w:t>
      </w:r>
      <w:r>
        <w:rPr>
          <w:rFonts w:hint="eastAsia" w:ascii="_9ed1_4f53" w:hAnsi="_9ed1_4f53" w:cs="_9ed1_4f53"/>
          <w:b/>
          <w:bCs/>
          <w:sz w:val="36"/>
          <w:szCs w:val="36"/>
          <w:lang w:eastAsia="zh-CN" w:bidi="ar-SA"/>
        </w:rPr>
        <w:fldChar w:fldCharType="end"/>
      </w:r>
      <w:r>
        <w:rPr>
          <w:rFonts w:hint="eastAsia" w:ascii="_9ed1_4f53" w:hAnsi="_9ed1_4f53" w:cs="_9ed1_4f53"/>
          <w:b/>
          <w:bCs/>
          <w:sz w:val="36"/>
          <w:szCs w:val="36"/>
          <w:lang w:eastAsia="zh-CN" w:bidi="ar-SA"/>
        </w:rPr>
        <w:t>电杆改扩建项目</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华容恒兴电力器材修造有限公司：</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你单位《华容恒兴电力器材修造有限公司年产20000根环型</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"https://baike.baidu.com/item/%E6%B7%B7%E5%87%9D%E5%9C%9F" \t "https://baike.baidu.com/item/%E7%94%B5%E7%BA%BF%E6%9D%86/_blank"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混凝土</w:t>
      </w:r>
      <w:r>
        <w:rPr>
          <w:rFonts w:hint="eastAsia" w:ascii="仿宋" w:hAnsi="仿宋" w:eastAsia="仿宋"/>
          <w:sz w:val="32"/>
          <w:szCs w:val="32"/>
          <w:lang w:eastAsia="zh-CN"/>
        </w:rPr>
        <w:fldChar w:fldCharType="end"/>
      </w:r>
      <w:r>
        <w:rPr>
          <w:rFonts w:hint="eastAsia" w:ascii="仿宋" w:hAnsi="仿宋" w:eastAsia="仿宋"/>
          <w:sz w:val="32"/>
          <w:szCs w:val="32"/>
          <w:lang w:eastAsia="zh-CN"/>
        </w:rPr>
        <w:t>电杆改扩建项目申请办理环评审批手续的报告》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华容恒兴电力器材修造有限公司年产20000根环型</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"https://baike.baidu.com/item/%E6%B7%B7%E5%87%9D%E5%9C%9F" \t "https://baike.baidu.com/item/%E7%94%B5%E7%BA%BF%E6%9D%86/_blank"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混凝土</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电杆改扩建项目</w:t>
      </w:r>
      <w:r>
        <w:rPr>
          <w:rFonts w:hint="eastAsia" w:ascii="仿宋" w:hAnsi="仿宋" w:eastAsia="仿宋"/>
          <w:sz w:val="32"/>
          <w:szCs w:val="32"/>
          <w:lang w:eastAsia="zh-CN"/>
        </w:rPr>
        <w:t>位于湖南省岳阳市华容县三封寺镇群力村七组，本项目占地面积为5000m</w:t>
      </w:r>
      <w:r>
        <w:rPr>
          <w:rFonts w:hint="eastAsia" w:ascii="仿宋" w:hAnsi="仿宋" w:eastAsia="仿宋"/>
          <w:sz w:val="32"/>
          <w:szCs w:val="32"/>
          <w:vertAlign w:val="superscript"/>
          <w:lang w:eastAsia="zh-CN"/>
        </w:rPr>
        <w:t>2</w:t>
      </w:r>
      <w:r>
        <w:rPr>
          <w:rFonts w:hint="eastAsia" w:ascii="仿宋" w:hAnsi="仿宋" w:eastAsia="仿宋"/>
          <w:sz w:val="32"/>
          <w:szCs w:val="32"/>
          <w:lang w:eastAsia="zh-CN"/>
        </w:rPr>
        <w:t>，建筑面积为2440m</w:t>
      </w:r>
      <w:r>
        <w:rPr>
          <w:rFonts w:hint="eastAsia" w:ascii="仿宋" w:hAnsi="仿宋" w:eastAsia="仿宋"/>
          <w:sz w:val="32"/>
          <w:szCs w:val="32"/>
          <w:vertAlign w:val="superscript"/>
          <w:lang w:eastAsia="zh-CN"/>
        </w:rPr>
        <w:t>2</w:t>
      </w:r>
      <w:r>
        <w:rPr>
          <w:rFonts w:hint="eastAsia" w:ascii="仿宋" w:hAnsi="仿宋" w:eastAsia="仿宋"/>
          <w:sz w:val="32"/>
          <w:szCs w:val="32"/>
          <w:lang w:eastAsia="zh-CN"/>
        </w:rPr>
        <w:t>。本项目年产环型混凝土电杆20000根。项目总投资1000万元，新增环保投资58万元，占总投资的5.8%。根据《关于加强“未批先建”建设项目环境影响评价管理工作的通知》（环办环评〔2018〕18号）</w:t>
      </w:r>
      <w:r>
        <w:rPr>
          <w:rFonts w:hint="eastAsia" w:ascii="仿宋" w:hAnsi="仿宋" w:eastAsia="仿宋"/>
          <w:sz w:val="32"/>
          <w:szCs w:val="32"/>
          <w:lang w:val="en-US" w:eastAsia="zh-CN"/>
        </w:rPr>
        <w:t>以及《关于建设项目“未批先建”违法行为法律适用问题的意见》（环政法函〔2018〕31号）文件</w:t>
      </w:r>
      <w:r>
        <w:rPr>
          <w:rFonts w:hint="eastAsia" w:ascii="仿宋" w:hAnsi="仿宋" w:eastAsia="仿宋"/>
          <w:sz w:val="32"/>
          <w:szCs w:val="32"/>
          <w:lang w:eastAsia="zh-CN"/>
        </w:rPr>
        <w:t>，华容恒兴电力器材修造有限公司现申请补办环评手续；根据</w:t>
      </w:r>
      <w:bookmarkStart w:id="2" w:name="OLE_LINK16"/>
      <w:r>
        <w:rPr>
          <w:rFonts w:hint="eastAsia" w:ascii="仿宋" w:hAnsi="仿宋" w:eastAsia="仿宋"/>
          <w:sz w:val="32"/>
          <w:szCs w:val="32"/>
          <w:lang w:val="en-US" w:eastAsia="zh-CN"/>
        </w:rPr>
        <w:t>湖北周得福科技有限公司</w:t>
      </w:r>
      <w:r>
        <w:rPr>
          <w:rFonts w:hint="eastAsia" w:ascii="仿宋" w:hAnsi="仿宋" w:eastAsia="仿宋"/>
          <w:sz w:val="32"/>
          <w:szCs w:val="32"/>
          <w:lang w:eastAsia="zh-CN"/>
        </w:rPr>
        <w:t>编制的《华容恒兴电力器材修造有限公司年产20000根环型</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"https://baike.baidu.com/item/%E6%B7%B7%E5%87%9D%E5%9C%9F" \t "https://baike.baidu.com/item/%E7%94%B5%E7%BA%BF%E6%9D%86/_blank"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混凝土</w:t>
      </w:r>
      <w:r>
        <w:rPr>
          <w:rFonts w:hint="eastAsia" w:ascii="仿宋" w:hAnsi="仿宋" w:eastAsia="仿宋"/>
          <w:sz w:val="32"/>
          <w:szCs w:val="32"/>
          <w:lang w:eastAsia="zh-CN"/>
        </w:rPr>
        <w:fldChar w:fldCharType="end"/>
      </w:r>
      <w:r>
        <w:rPr>
          <w:rFonts w:hint="eastAsia" w:ascii="仿宋" w:hAnsi="仿宋" w:eastAsia="仿宋"/>
          <w:sz w:val="32"/>
          <w:szCs w:val="32"/>
          <w:lang w:eastAsia="zh-CN"/>
        </w:rPr>
        <w:t>电杆改扩建项目环境影响报告表（报批稿）》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1、落实“以新带老”的要求，解决现有环境问题。现有项目设施设备拆除前应妥善处理，不得随意丢弃。后期建设若生产工艺、生产规模等发生重大变化，需向生态环境主管部门另行环评手续。</w:t>
      </w:r>
    </w:p>
    <w:p>
      <w:pPr>
        <w:spacing w:line="52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w:t>
      </w:r>
      <w:bookmarkStart w:id="3" w:name="OLE_LINK3"/>
      <w:bookmarkStart w:id="4" w:name="OLE_LINK18"/>
      <w:r>
        <w:rPr>
          <w:rFonts w:hint="eastAsia" w:ascii="仿宋" w:hAnsi="仿宋" w:eastAsia="仿宋"/>
          <w:color w:val="000000"/>
          <w:sz w:val="32"/>
          <w:szCs w:val="32"/>
          <w:lang w:val="en-US" w:eastAsia="zh-CN"/>
        </w:rPr>
        <w:t>加强水污染防治措施。项目实行雨污分流制，雨水通过厂区四周布置排水沟，进入市政雨水管网。项目生产废水不外排，养护废水回用于混凝土搅拌，</w:t>
      </w:r>
      <w:r>
        <w:rPr>
          <w:rFonts w:hint="eastAsia" w:ascii="仿宋" w:hAnsi="仿宋" w:eastAsia="仿宋"/>
          <w:color w:val="000000"/>
          <w:sz w:val="32"/>
          <w:szCs w:val="32"/>
          <w:lang w:eastAsia="zh-CN"/>
        </w:rPr>
        <w:t>冲洗废水排入车间后方西北角沉底池（沉淀池容积为300m</w:t>
      </w:r>
      <w:r>
        <w:rPr>
          <w:rFonts w:hint="eastAsia" w:ascii="仿宋" w:hAnsi="仿宋" w:eastAsia="仿宋"/>
          <w:color w:val="000000"/>
          <w:sz w:val="32"/>
          <w:szCs w:val="32"/>
          <w:vertAlign w:val="superscript"/>
          <w:lang w:eastAsia="zh-CN"/>
        </w:rPr>
        <w:t>3</w:t>
      </w:r>
      <w:r>
        <w:rPr>
          <w:rFonts w:hint="eastAsia" w:ascii="仿宋" w:hAnsi="仿宋" w:eastAsia="仿宋"/>
          <w:color w:val="000000"/>
          <w:sz w:val="32"/>
          <w:szCs w:val="32"/>
          <w:lang w:eastAsia="zh-CN"/>
        </w:rPr>
        <w:t>），经沉淀池沉淀之后回用于生产。</w:t>
      </w:r>
      <w:r>
        <w:rPr>
          <w:rFonts w:hint="eastAsia" w:ascii="仿宋" w:hAnsi="仿宋" w:eastAsia="仿宋"/>
          <w:color w:val="000000"/>
          <w:sz w:val="32"/>
          <w:szCs w:val="32"/>
          <w:lang w:val="en-US" w:eastAsia="zh-CN"/>
        </w:rPr>
        <w:t>生活污水通过隔油池与化粪池处理后用于周边农林施肥，不外排。</w:t>
      </w:r>
    </w:p>
    <w:p>
      <w:pPr>
        <w:spacing w:line="52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3、加强大气污染治理。</w:t>
      </w:r>
      <w:r>
        <w:rPr>
          <w:rFonts w:hint="eastAsia" w:ascii="仿宋" w:hAnsi="仿宋" w:eastAsia="仿宋"/>
          <w:color w:val="000000"/>
          <w:sz w:val="32"/>
          <w:szCs w:val="32"/>
          <w:lang w:eastAsia="zh-CN"/>
        </w:rPr>
        <w:t>原料</w:t>
      </w:r>
      <w:r>
        <w:rPr>
          <w:rFonts w:hint="eastAsia" w:ascii="仿宋" w:hAnsi="仿宋" w:eastAsia="仿宋"/>
          <w:color w:val="000000"/>
          <w:sz w:val="32"/>
          <w:szCs w:val="32"/>
          <w:lang w:val="en-US" w:eastAsia="zh-CN"/>
        </w:rPr>
        <w:t>堆场增加防风防雨措施，围挡高度不低于1.8m。项目各生产工序原料的输送均为封闭式，</w:t>
      </w:r>
      <w:r>
        <w:rPr>
          <w:rFonts w:hint="eastAsia" w:ascii="仿宋" w:hAnsi="仿宋" w:eastAsia="仿宋"/>
          <w:color w:val="000000"/>
          <w:sz w:val="32"/>
          <w:szCs w:val="32"/>
          <w:lang w:eastAsia="zh-CN"/>
        </w:rPr>
        <w:t>厂区及厂外道路定期、定时</w:t>
      </w:r>
      <w:r>
        <w:rPr>
          <w:rFonts w:hint="eastAsia" w:ascii="仿宋" w:hAnsi="仿宋" w:eastAsia="仿宋"/>
          <w:color w:val="000000"/>
          <w:sz w:val="32"/>
          <w:szCs w:val="32"/>
          <w:lang w:val="en-US" w:eastAsia="zh-CN"/>
        </w:rPr>
        <w:t>洒水抑尘；筒仓粉尘经布袋除尘器处理</w:t>
      </w:r>
      <w:r>
        <w:rPr>
          <w:rFonts w:hint="eastAsia" w:ascii="仿宋" w:hAnsi="仿宋" w:eastAsia="仿宋"/>
          <w:color w:val="000000"/>
          <w:sz w:val="32"/>
          <w:szCs w:val="32"/>
          <w:lang w:eastAsia="zh-CN"/>
        </w:rPr>
        <w:t>满足《水泥工业大气污染物排放标准》（GB4915-2013）中相关标准要求</w:t>
      </w:r>
      <w:r>
        <w:rPr>
          <w:rFonts w:hint="eastAsia" w:ascii="仿宋" w:hAnsi="仿宋" w:eastAsia="仿宋"/>
          <w:color w:val="000000"/>
          <w:sz w:val="32"/>
          <w:szCs w:val="32"/>
          <w:lang w:val="en-US" w:eastAsia="zh-CN"/>
        </w:rPr>
        <w:t>后经筒仓顶部排气筒排放；食堂油烟废气经油烟净化器处理后排放；锅炉废气采用布袋式除尘器+水幕除尘+15m 高排气筒、通风及采用选择性非催化烟气脱硝工艺（SNCR）处理，满足《锅炉大气污染物排放标准》（GB13271-2014）表3中燃煤锅炉排放限值的要求。</w:t>
      </w:r>
    </w:p>
    <w:p>
      <w:pPr>
        <w:spacing w:line="52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噪声污染防治工作。合理安排作业时间，严禁夜间生产（夜间22:00时至次日6:00时）。项目设备均安装在室内，并对设备安装减震基础。生产车间合理布局，加强厂区绿化，利用树木的屏蔽的作用降噪，厂界噪声达到《工业企业厂界环境噪声排放标准（GB12348-2008）》中2类标准要求。</w:t>
      </w:r>
    </w:p>
    <w:p>
      <w:pPr>
        <w:pStyle w:val="2"/>
        <w:ind w:left="0" w:leftChars="0" w:firstLine="0" w:firstLineChars="0"/>
        <w:rPr>
          <w:rFonts w:hint="default"/>
          <w:lang w:val="en-US" w:eastAsia="zh-CN"/>
        </w:rPr>
      </w:pPr>
      <w:r>
        <w:rPr>
          <w:rFonts w:hint="eastAsia" w:ascii="仿宋" w:hAnsi="仿宋" w:eastAsia="仿宋"/>
          <w:color w:val="000000"/>
          <w:sz w:val="32"/>
          <w:szCs w:val="32"/>
          <w:lang w:val="en-US" w:eastAsia="zh-CN"/>
        </w:rPr>
        <w:t xml:space="preserve">    5、固体废物防治工作。按“减量化、资源化、无害化”的</w:t>
      </w:r>
    </w:p>
    <w:p>
      <w:pPr>
        <w:pStyle w:val="2"/>
        <w:ind w:left="0" w:leftChars="0" w:firstLine="0" w:firstLineChars="0"/>
        <w:rPr>
          <w:rFonts w:hint="eastAsia" w:ascii="仿宋" w:hAnsi="仿宋" w:eastAsia="仿宋"/>
          <w:color w:val="000000"/>
          <w:sz w:val="32"/>
          <w:szCs w:val="32"/>
          <w:lang w:val="en-US" w:eastAsia="zh-CN"/>
        </w:rPr>
      </w:pPr>
      <w:r>
        <w:rPr>
          <w:rFonts w:hint="eastAsia" w:ascii="仿宋" w:hAnsi="仿宋" w:eastAsia="仿宋" w:cs="宋体"/>
          <w:color w:val="000000"/>
          <w:sz w:val="32"/>
          <w:szCs w:val="32"/>
          <w:lang w:val="en-US" w:eastAsia="zh-CN" w:bidi="en-US"/>
        </w:rPr>
        <w:t>原</w:t>
      </w:r>
      <w:r>
        <w:rPr>
          <w:rFonts w:hint="eastAsia" w:ascii="仿宋" w:hAnsi="仿宋" w:eastAsia="仿宋"/>
          <w:color w:val="000000"/>
          <w:sz w:val="32"/>
          <w:szCs w:val="32"/>
          <w:lang w:val="en-US" w:eastAsia="zh-CN"/>
        </w:rPr>
        <w:t>则，落实好各类固体废物的收集、处置措施。生活垃圾经垃圾收集桶收集后委托环卫部门送生活垃圾填埋场做无害化处理；废焊渣和锅炉炉渣定期外售；混凝土废渣降级使用或用于铺路；除尘器粉尘回用于生产；废钢筋外售物资回收部门；离心余浆和沉淀池残渣用于制作水泥制品赠于周边居民或则外售。</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6</w:t>
      </w:r>
      <w:r>
        <w:rPr>
          <w:rFonts w:ascii="仿宋" w:hAnsi="仿宋" w:eastAsia="仿宋"/>
          <w:sz w:val="32"/>
          <w:szCs w:val="32"/>
          <w:lang w:eastAsia="zh-CN"/>
        </w:rPr>
        <w:t>、</w:t>
      </w:r>
      <w:r>
        <w:rPr>
          <w:rFonts w:hint="eastAsia" w:ascii="仿宋" w:hAnsi="仿宋" w:eastAsia="仿宋"/>
          <w:sz w:val="32"/>
          <w:szCs w:val="32"/>
          <w:lang w:val="en-US" w:eastAsia="zh-CN"/>
        </w:rPr>
        <w:t>加强营运期风险防范。落实各项风险防范措施，制定科学有效的应急预案事故处理预案，建立健全</w:t>
      </w:r>
      <w:bookmarkStart w:id="5" w:name="_GoBack"/>
      <w:bookmarkEnd w:id="5"/>
      <w:r>
        <w:rPr>
          <w:rFonts w:hint="eastAsia" w:ascii="仿宋" w:hAnsi="仿宋" w:eastAsia="仿宋"/>
          <w:sz w:val="32"/>
          <w:szCs w:val="32"/>
          <w:lang w:val="en-US" w:eastAsia="zh-CN"/>
        </w:rPr>
        <w:t>应急组织实施体系，增强事故防范意识。</w:t>
      </w:r>
    </w:p>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ascii="仿宋" w:hAnsi="仿宋" w:eastAsia="仿宋"/>
          <w:sz w:val="32"/>
          <w:szCs w:val="32"/>
          <w:lang w:eastAsia="zh-CN"/>
        </w:rPr>
        <w:t>、</w:t>
      </w:r>
      <w:r>
        <w:rPr>
          <w:rFonts w:hint="eastAsia" w:ascii="仿宋" w:hAnsi="仿宋" w:eastAsia="仿宋"/>
          <w:sz w:val="32"/>
          <w:szCs w:val="32"/>
          <w:lang w:eastAsia="zh-CN"/>
        </w:rPr>
        <w:t>加强环境管理，建立健全污染防治设施运行管理台帐，设专门的环保机构及环保人员，确保各项污染防治设施的正常运行，各类污染物稳定达标排放。</w:t>
      </w:r>
    </w:p>
    <w:p>
      <w:pPr>
        <w:pStyle w:val="2"/>
        <w:ind w:left="0" w:leftChars="0" w:firstLine="0" w:firstLineChars="0"/>
        <w:rPr>
          <w:rFonts w:hint="default"/>
          <w:lang w:val="en-US" w:eastAsia="zh-CN"/>
        </w:rPr>
      </w:pPr>
      <w:r>
        <w:rPr>
          <w:rFonts w:hint="eastAsia"/>
          <w:lang w:val="en-US" w:eastAsia="zh-CN"/>
        </w:rPr>
        <w:t xml:space="preserve">  </w:t>
      </w:r>
      <w:r>
        <w:rPr>
          <w:rFonts w:hint="eastAsia" w:ascii="仿宋" w:hAnsi="仿宋" w:eastAsia="仿宋" w:cs="宋体"/>
          <w:sz w:val="32"/>
          <w:szCs w:val="32"/>
          <w:lang w:val="en-US" w:eastAsia="zh-CN" w:bidi="en-US"/>
        </w:rPr>
        <w:t xml:space="preserve">  8、本项目总量控制指标：SO</w:t>
      </w:r>
      <w:r>
        <w:rPr>
          <w:rFonts w:hint="eastAsia" w:ascii="仿宋" w:hAnsi="仿宋" w:eastAsia="仿宋" w:cs="宋体"/>
          <w:sz w:val="32"/>
          <w:szCs w:val="32"/>
          <w:vertAlign w:val="subscript"/>
          <w:lang w:val="en-US" w:eastAsia="zh-CN" w:bidi="en-US"/>
        </w:rPr>
        <w:t>2</w:t>
      </w:r>
      <w:r>
        <w:rPr>
          <w:rFonts w:hint="eastAsia" w:ascii="仿宋" w:hAnsi="仿宋" w:eastAsia="仿宋" w:cs="宋体"/>
          <w:sz w:val="32"/>
          <w:szCs w:val="32"/>
          <w:lang w:val="en-US" w:eastAsia="zh-CN" w:bidi="en-US"/>
        </w:rPr>
        <w:t>≤0.055t/a，NO</w:t>
      </w:r>
      <w:r>
        <w:rPr>
          <w:rFonts w:hint="eastAsia" w:ascii="仿宋" w:hAnsi="仿宋" w:eastAsia="仿宋" w:cs="宋体"/>
          <w:sz w:val="32"/>
          <w:szCs w:val="32"/>
          <w:vertAlign w:val="subscript"/>
          <w:lang w:val="en-US" w:eastAsia="zh-CN" w:bidi="en-US"/>
        </w:rPr>
        <w:t>X</w:t>
      </w:r>
      <w:r>
        <w:rPr>
          <w:rFonts w:hint="eastAsia" w:ascii="仿宋" w:hAnsi="仿宋" w:eastAsia="仿宋" w:cs="宋体"/>
          <w:sz w:val="32"/>
          <w:szCs w:val="32"/>
          <w:lang w:val="en-US" w:eastAsia="zh-CN" w:bidi="en-US"/>
        </w:rPr>
        <w:t>≤1.012t/a。</w:t>
      </w:r>
    </w:p>
    <w:bookmarkEnd w:id="3"/>
    <w:bookmarkEnd w:id="4"/>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8</w:t>
      </w:r>
      <w:r>
        <w:rPr>
          <w:rFonts w:ascii="仿宋" w:hAnsi="仿宋" w:eastAsia="仿宋"/>
          <w:sz w:val="32"/>
          <w:szCs w:val="32"/>
          <w:lang w:eastAsia="zh-CN"/>
        </w:rPr>
        <w:t>月</w:t>
      </w:r>
      <w:r>
        <w:rPr>
          <w:rFonts w:hint="eastAsia" w:ascii="仿宋" w:hAnsi="仿宋" w:eastAsia="仿宋"/>
          <w:sz w:val="32"/>
          <w:szCs w:val="32"/>
          <w:lang w:val="en-US" w:eastAsia="zh-CN"/>
        </w:rPr>
        <w:t>14</w:t>
      </w:r>
      <w:r>
        <w:rPr>
          <w:rFonts w:ascii="仿宋" w:hAnsi="仿宋" w:eastAsia="仿宋"/>
          <w:sz w:val="32"/>
          <w:szCs w:val="32"/>
          <w:lang w:eastAsia="zh-CN"/>
        </w:rPr>
        <w:t>日</w:t>
      </w:r>
    </w:p>
    <w:tbl>
      <w:tblPr>
        <w:tblStyle w:val="21"/>
        <w:tblpPr w:leftFromText="180" w:rightFromText="180" w:vertAnchor="text" w:horzAnchor="page" w:tblpX="1877" w:tblpY="87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湖北周得福科技有限公司</w:t>
            </w:r>
          </w:p>
        </w:tc>
      </w:tr>
    </w:tbl>
    <w:p>
      <w:pPr>
        <w:pStyle w:val="15"/>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3</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A751E9"/>
    <w:rsid w:val="00DF34C0"/>
    <w:rsid w:val="00E305B0"/>
    <w:rsid w:val="015E2352"/>
    <w:rsid w:val="01F21DF7"/>
    <w:rsid w:val="030F5D48"/>
    <w:rsid w:val="0310708E"/>
    <w:rsid w:val="03AD0C42"/>
    <w:rsid w:val="04CF5F31"/>
    <w:rsid w:val="04F96B29"/>
    <w:rsid w:val="04FC7225"/>
    <w:rsid w:val="05492309"/>
    <w:rsid w:val="055927EB"/>
    <w:rsid w:val="0577127F"/>
    <w:rsid w:val="05D32D7D"/>
    <w:rsid w:val="06485613"/>
    <w:rsid w:val="07D00092"/>
    <w:rsid w:val="08BE5DE5"/>
    <w:rsid w:val="095273E5"/>
    <w:rsid w:val="0AAC7209"/>
    <w:rsid w:val="0C7B4F4A"/>
    <w:rsid w:val="0E911D51"/>
    <w:rsid w:val="125F458B"/>
    <w:rsid w:val="126B75A1"/>
    <w:rsid w:val="12AD6D1E"/>
    <w:rsid w:val="13151EDD"/>
    <w:rsid w:val="152B1936"/>
    <w:rsid w:val="1791017D"/>
    <w:rsid w:val="18467D23"/>
    <w:rsid w:val="1934374F"/>
    <w:rsid w:val="1A3E03B3"/>
    <w:rsid w:val="1B69490D"/>
    <w:rsid w:val="1CF31FFA"/>
    <w:rsid w:val="1D3F233A"/>
    <w:rsid w:val="1DB82B67"/>
    <w:rsid w:val="1DE16A2D"/>
    <w:rsid w:val="1E5142F1"/>
    <w:rsid w:val="1E742D0F"/>
    <w:rsid w:val="1EC2302D"/>
    <w:rsid w:val="20CD0914"/>
    <w:rsid w:val="21443D99"/>
    <w:rsid w:val="23961356"/>
    <w:rsid w:val="251003ED"/>
    <w:rsid w:val="2546427C"/>
    <w:rsid w:val="25661477"/>
    <w:rsid w:val="25D97276"/>
    <w:rsid w:val="26206248"/>
    <w:rsid w:val="275F5B53"/>
    <w:rsid w:val="27BB4D0A"/>
    <w:rsid w:val="27EC3DA6"/>
    <w:rsid w:val="285B0824"/>
    <w:rsid w:val="29EF27C5"/>
    <w:rsid w:val="2A2E7D7C"/>
    <w:rsid w:val="2CD73F2F"/>
    <w:rsid w:val="2E091795"/>
    <w:rsid w:val="2E853DFF"/>
    <w:rsid w:val="2EDD4448"/>
    <w:rsid w:val="30A242C0"/>
    <w:rsid w:val="31691448"/>
    <w:rsid w:val="33120DFC"/>
    <w:rsid w:val="3358441A"/>
    <w:rsid w:val="33C8571E"/>
    <w:rsid w:val="33D81101"/>
    <w:rsid w:val="3645474C"/>
    <w:rsid w:val="369D6A7A"/>
    <w:rsid w:val="36EF248B"/>
    <w:rsid w:val="376F6FFD"/>
    <w:rsid w:val="379124D5"/>
    <w:rsid w:val="37C95479"/>
    <w:rsid w:val="388D3512"/>
    <w:rsid w:val="39C86077"/>
    <w:rsid w:val="3B1A7659"/>
    <w:rsid w:val="3B342E13"/>
    <w:rsid w:val="3D394CE7"/>
    <w:rsid w:val="401035FD"/>
    <w:rsid w:val="4078021F"/>
    <w:rsid w:val="414A09E3"/>
    <w:rsid w:val="424C5161"/>
    <w:rsid w:val="433E7E95"/>
    <w:rsid w:val="440515CF"/>
    <w:rsid w:val="449854CC"/>
    <w:rsid w:val="45B56B44"/>
    <w:rsid w:val="461C402D"/>
    <w:rsid w:val="46A50D87"/>
    <w:rsid w:val="46CF0191"/>
    <w:rsid w:val="47C11BD0"/>
    <w:rsid w:val="48263FE6"/>
    <w:rsid w:val="499045AD"/>
    <w:rsid w:val="49DC7192"/>
    <w:rsid w:val="4A1359DE"/>
    <w:rsid w:val="4AED164A"/>
    <w:rsid w:val="4B3623B0"/>
    <w:rsid w:val="4BAC0E59"/>
    <w:rsid w:val="4C376E29"/>
    <w:rsid w:val="4D8F4DA3"/>
    <w:rsid w:val="4DC22511"/>
    <w:rsid w:val="4E417180"/>
    <w:rsid w:val="50F640E4"/>
    <w:rsid w:val="53320D8A"/>
    <w:rsid w:val="557F3EA4"/>
    <w:rsid w:val="56A00A1C"/>
    <w:rsid w:val="57D01406"/>
    <w:rsid w:val="58A32094"/>
    <w:rsid w:val="58F973FA"/>
    <w:rsid w:val="5BA567CD"/>
    <w:rsid w:val="5BE77D58"/>
    <w:rsid w:val="5C971F21"/>
    <w:rsid w:val="60FE44EB"/>
    <w:rsid w:val="626966A4"/>
    <w:rsid w:val="62E74A7F"/>
    <w:rsid w:val="63044559"/>
    <w:rsid w:val="637264E3"/>
    <w:rsid w:val="63784354"/>
    <w:rsid w:val="64452AE4"/>
    <w:rsid w:val="649C7890"/>
    <w:rsid w:val="658173C8"/>
    <w:rsid w:val="672F3DCF"/>
    <w:rsid w:val="67FF4957"/>
    <w:rsid w:val="6AC5479A"/>
    <w:rsid w:val="6AE01D49"/>
    <w:rsid w:val="6B813319"/>
    <w:rsid w:val="6CD12683"/>
    <w:rsid w:val="6E5D732F"/>
    <w:rsid w:val="6F7F15DF"/>
    <w:rsid w:val="71E31AE7"/>
    <w:rsid w:val="73B17DA8"/>
    <w:rsid w:val="77D70E43"/>
    <w:rsid w:val="77DE1E11"/>
    <w:rsid w:val="793C27CE"/>
    <w:rsid w:val="798551AB"/>
    <w:rsid w:val="79D37596"/>
    <w:rsid w:val="7A034826"/>
    <w:rsid w:val="7CD01E3F"/>
    <w:rsid w:val="7DAF74C2"/>
    <w:rsid w:val="7F3A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5"/>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6"/>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7"/>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8"/>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9"/>
    <w:qFormat/>
    <w:uiPriority w:val="9"/>
    <w:pPr>
      <w:spacing w:before="200" w:after="80"/>
      <w:ind w:firstLine="0"/>
      <w:outlineLvl w:val="4"/>
    </w:pPr>
    <w:rPr>
      <w:rFonts w:ascii="Cambria" w:hAnsi="Cambria"/>
      <w:color w:val="4F81BD"/>
    </w:rPr>
  </w:style>
  <w:style w:type="paragraph" w:styleId="9">
    <w:name w:val="heading 6"/>
    <w:basedOn w:val="1"/>
    <w:next w:val="1"/>
    <w:link w:val="30"/>
    <w:qFormat/>
    <w:uiPriority w:val="9"/>
    <w:pPr>
      <w:spacing w:before="280" w:after="100"/>
      <w:ind w:firstLine="0"/>
      <w:outlineLvl w:val="5"/>
    </w:pPr>
    <w:rPr>
      <w:rFonts w:ascii="Cambria" w:hAnsi="Cambria"/>
      <w:i/>
      <w:iCs/>
      <w:color w:val="4F81BD"/>
    </w:rPr>
  </w:style>
  <w:style w:type="paragraph" w:styleId="10">
    <w:name w:val="heading 7"/>
    <w:basedOn w:val="1"/>
    <w:next w:val="1"/>
    <w:link w:val="31"/>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2"/>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3"/>
    <w:qFormat/>
    <w:uiPriority w:val="9"/>
    <w:pPr>
      <w:spacing w:before="320" w:after="100"/>
      <w:ind w:firstLine="0"/>
      <w:outlineLvl w:val="8"/>
    </w:pPr>
    <w:rPr>
      <w:rFonts w:ascii="Cambria" w:hAnsi="Cambria"/>
      <w:i/>
      <w:iCs/>
      <w:color w:val="9BBB59"/>
      <w:sz w:val="20"/>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caption"/>
    <w:basedOn w:val="1"/>
    <w:next w:val="1"/>
    <w:qFormat/>
    <w:uiPriority w:val="35"/>
    <w:rPr>
      <w:b/>
      <w:bCs/>
      <w:sz w:val="18"/>
      <w:szCs w:val="18"/>
    </w:rPr>
  </w:style>
  <w:style w:type="paragraph" w:styleId="14">
    <w:name w:val="Body Text Indent"/>
    <w:basedOn w:val="1"/>
    <w:next w:val="15"/>
    <w:qFormat/>
    <w:uiPriority w:val="99"/>
    <w:pPr>
      <w:ind w:left="420" w:leftChars="200"/>
    </w:pPr>
  </w:style>
  <w:style w:type="paragraph" w:styleId="15">
    <w:name w:val="Body Text First Indent 2"/>
    <w:basedOn w:val="14"/>
    <w:next w:val="1"/>
    <w:qFormat/>
    <w:uiPriority w:val="99"/>
    <w:pPr>
      <w:ind w:firstLine="420"/>
    </w:pPr>
  </w:style>
  <w:style w:type="paragraph" w:styleId="16">
    <w:name w:val="Balloon Text"/>
    <w:basedOn w:val="1"/>
    <w:link w:val="53"/>
    <w:qFormat/>
    <w:uiPriority w:val="99"/>
    <w:rPr>
      <w:sz w:val="18"/>
      <w:szCs w:val="18"/>
    </w:rPr>
  </w:style>
  <w:style w:type="paragraph" w:styleId="17">
    <w:name w:val="footer"/>
    <w:basedOn w:val="1"/>
    <w:link w:val="52"/>
    <w:qFormat/>
    <w:uiPriority w:val="99"/>
    <w:pPr>
      <w:tabs>
        <w:tab w:val="center" w:pos="4153"/>
        <w:tab w:val="right" w:pos="8306"/>
      </w:tabs>
      <w:snapToGrid w:val="0"/>
    </w:pPr>
    <w:rPr>
      <w:sz w:val="18"/>
      <w:szCs w:val="18"/>
    </w:rPr>
  </w:style>
  <w:style w:type="paragraph" w:styleId="18">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35"/>
    <w:qFormat/>
    <w:uiPriority w:val="11"/>
    <w:pPr>
      <w:spacing w:before="200" w:after="900"/>
      <w:ind w:firstLine="0"/>
      <w:jc w:val="right"/>
    </w:pPr>
    <w:rPr>
      <w:i/>
      <w:iCs/>
      <w:sz w:val="24"/>
      <w:szCs w:val="24"/>
    </w:rPr>
  </w:style>
  <w:style w:type="paragraph" w:styleId="20">
    <w:name w:val="Title"/>
    <w:basedOn w:val="1"/>
    <w:next w:val="1"/>
    <w:link w:val="34"/>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3">
    <w:name w:val="Strong"/>
    <w:basedOn w:val="22"/>
    <w:qFormat/>
    <w:uiPriority w:val="22"/>
    <w:rPr>
      <w:b/>
      <w:bCs/>
      <w:spacing w:val="0"/>
    </w:rPr>
  </w:style>
  <w:style w:type="character" w:styleId="24">
    <w:name w:val="Emphasis"/>
    <w:qFormat/>
    <w:uiPriority w:val="20"/>
    <w:rPr>
      <w:b/>
      <w:bCs/>
      <w:i/>
      <w:iCs/>
      <w:color w:val="595959"/>
    </w:rPr>
  </w:style>
  <w:style w:type="character" w:customStyle="1" w:styleId="25">
    <w:name w:val="标题 1 Char"/>
    <w:basedOn w:val="22"/>
    <w:link w:val="4"/>
    <w:qFormat/>
    <w:uiPriority w:val="9"/>
    <w:rPr>
      <w:rFonts w:ascii="Cambria" w:hAnsi="Cambria" w:eastAsia="宋体" w:cs="宋体"/>
      <w:b/>
      <w:bCs/>
      <w:color w:val="376092"/>
      <w:sz w:val="24"/>
      <w:szCs w:val="24"/>
    </w:rPr>
  </w:style>
  <w:style w:type="character" w:customStyle="1" w:styleId="26">
    <w:name w:val="标题 2 Char"/>
    <w:basedOn w:val="22"/>
    <w:link w:val="5"/>
    <w:qFormat/>
    <w:uiPriority w:val="9"/>
    <w:rPr>
      <w:rFonts w:ascii="Cambria" w:hAnsi="Cambria" w:eastAsia="宋体" w:cs="宋体"/>
      <w:color w:val="376092"/>
      <w:sz w:val="24"/>
      <w:szCs w:val="24"/>
    </w:rPr>
  </w:style>
  <w:style w:type="character" w:customStyle="1" w:styleId="27">
    <w:name w:val="标题 3 Char"/>
    <w:basedOn w:val="22"/>
    <w:link w:val="6"/>
    <w:qFormat/>
    <w:uiPriority w:val="9"/>
    <w:rPr>
      <w:rFonts w:ascii="Cambria" w:hAnsi="Cambria" w:eastAsia="宋体" w:cs="宋体"/>
      <w:color w:val="4F81BD"/>
      <w:sz w:val="24"/>
      <w:szCs w:val="24"/>
    </w:rPr>
  </w:style>
  <w:style w:type="character" w:customStyle="1" w:styleId="28">
    <w:name w:val="标题 4 Char"/>
    <w:basedOn w:val="22"/>
    <w:link w:val="7"/>
    <w:qFormat/>
    <w:uiPriority w:val="9"/>
    <w:rPr>
      <w:rFonts w:ascii="Cambria" w:hAnsi="Cambria" w:eastAsia="宋体" w:cs="宋体"/>
      <w:i/>
      <w:iCs/>
      <w:color w:val="4F81BD"/>
      <w:sz w:val="24"/>
      <w:szCs w:val="24"/>
    </w:rPr>
  </w:style>
  <w:style w:type="character" w:customStyle="1" w:styleId="29">
    <w:name w:val="标题 5 Char"/>
    <w:basedOn w:val="22"/>
    <w:link w:val="8"/>
    <w:qFormat/>
    <w:uiPriority w:val="9"/>
    <w:rPr>
      <w:rFonts w:ascii="Cambria" w:hAnsi="Cambria" w:eastAsia="宋体" w:cs="宋体"/>
      <w:color w:val="4F81BD"/>
    </w:rPr>
  </w:style>
  <w:style w:type="character" w:customStyle="1" w:styleId="30">
    <w:name w:val="标题 6 Char"/>
    <w:basedOn w:val="22"/>
    <w:link w:val="9"/>
    <w:qFormat/>
    <w:uiPriority w:val="9"/>
    <w:rPr>
      <w:rFonts w:ascii="Cambria" w:hAnsi="Cambria" w:eastAsia="宋体" w:cs="宋体"/>
      <w:i/>
      <w:iCs/>
      <w:color w:val="4F81BD"/>
    </w:rPr>
  </w:style>
  <w:style w:type="character" w:customStyle="1" w:styleId="31">
    <w:name w:val="标题 7 Char"/>
    <w:basedOn w:val="22"/>
    <w:link w:val="10"/>
    <w:qFormat/>
    <w:uiPriority w:val="9"/>
    <w:rPr>
      <w:rFonts w:ascii="Cambria" w:hAnsi="Cambria" w:eastAsia="宋体" w:cs="宋体"/>
      <w:b/>
      <w:bCs/>
      <w:color w:val="9BBB59"/>
      <w:sz w:val="20"/>
      <w:szCs w:val="20"/>
    </w:rPr>
  </w:style>
  <w:style w:type="character" w:customStyle="1" w:styleId="32">
    <w:name w:val="标题 8 Char"/>
    <w:basedOn w:val="22"/>
    <w:link w:val="11"/>
    <w:qFormat/>
    <w:uiPriority w:val="9"/>
    <w:rPr>
      <w:rFonts w:ascii="Cambria" w:hAnsi="Cambria" w:eastAsia="宋体" w:cs="宋体"/>
      <w:b/>
      <w:bCs/>
      <w:i/>
      <w:iCs/>
      <w:color w:val="9BBB59"/>
      <w:sz w:val="20"/>
      <w:szCs w:val="20"/>
    </w:rPr>
  </w:style>
  <w:style w:type="character" w:customStyle="1" w:styleId="33">
    <w:name w:val="标题 9 Char"/>
    <w:basedOn w:val="22"/>
    <w:link w:val="12"/>
    <w:qFormat/>
    <w:uiPriority w:val="9"/>
    <w:rPr>
      <w:rFonts w:ascii="Cambria" w:hAnsi="Cambria" w:eastAsia="宋体" w:cs="宋体"/>
      <w:i/>
      <w:iCs/>
      <w:color w:val="9BBB59"/>
      <w:sz w:val="20"/>
      <w:szCs w:val="20"/>
    </w:rPr>
  </w:style>
  <w:style w:type="character" w:customStyle="1" w:styleId="34">
    <w:name w:val="标题 Char"/>
    <w:basedOn w:val="22"/>
    <w:link w:val="20"/>
    <w:qFormat/>
    <w:uiPriority w:val="10"/>
    <w:rPr>
      <w:rFonts w:ascii="Cambria" w:hAnsi="Cambria" w:eastAsia="宋体" w:cs="宋体"/>
      <w:i/>
      <w:iCs/>
      <w:color w:val="254061"/>
      <w:sz w:val="60"/>
      <w:szCs w:val="60"/>
    </w:rPr>
  </w:style>
  <w:style w:type="character" w:customStyle="1" w:styleId="35">
    <w:name w:val="副标题 Char"/>
    <w:basedOn w:val="22"/>
    <w:link w:val="19"/>
    <w:qFormat/>
    <w:uiPriority w:val="11"/>
    <w:rPr>
      <w:rFonts w:ascii="Calibri"/>
      <w:i/>
      <w:iCs/>
      <w:sz w:val="24"/>
      <w:szCs w:val="24"/>
    </w:rPr>
  </w:style>
  <w:style w:type="paragraph" w:styleId="36">
    <w:name w:val="No Spacing"/>
    <w:basedOn w:val="1"/>
    <w:link w:val="37"/>
    <w:qFormat/>
    <w:uiPriority w:val="1"/>
    <w:pPr>
      <w:ind w:firstLine="0"/>
    </w:pPr>
  </w:style>
  <w:style w:type="character" w:customStyle="1" w:styleId="37">
    <w:name w:val="无间隔 Char"/>
    <w:basedOn w:val="22"/>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rFonts w:ascii="Cambria" w:hAnsi="Cambria"/>
      <w:i/>
      <w:iCs/>
      <w:color w:val="595959"/>
    </w:rPr>
  </w:style>
  <w:style w:type="character" w:customStyle="1" w:styleId="40">
    <w:name w:val="引用 Char"/>
    <w:basedOn w:val="22"/>
    <w:link w:val="39"/>
    <w:qFormat/>
    <w:uiPriority w:val="29"/>
    <w:rPr>
      <w:rFonts w:ascii="Cambria" w:hAnsi="Cambria" w:eastAsia="宋体" w:cs="宋体"/>
      <w:i/>
      <w:iCs/>
      <w:color w:val="595959"/>
    </w:rPr>
  </w:style>
  <w:style w:type="paragraph" w:styleId="41">
    <w:name w:val="Intense Quote"/>
    <w:basedOn w:val="1"/>
    <w:next w:val="1"/>
    <w:link w:val="42"/>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2">
    <w:name w:val="明显引用 Char"/>
    <w:basedOn w:val="22"/>
    <w:link w:val="41"/>
    <w:qFormat/>
    <w:uiPriority w:val="30"/>
    <w:rPr>
      <w:rFonts w:ascii="Cambria" w:hAnsi="Cambria" w:eastAsia="宋体" w:cs="宋体"/>
      <w:i/>
      <w:iCs/>
      <w:color w:val="FFFFFF"/>
      <w:sz w:val="24"/>
      <w:szCs w:val="24"/>
      <w:shd w:val="clear" w:color="auto" w:fill="4F81BD"/>
    </w:rPr>
  </w:style>
  <w:style w:type="character" w:customStyle="1" w:styleId="43">
    <w:name w:val="不明显强调1"/>
    <w:qFormat/>
    <w:uiPriority w:val="19"/>
    <w:rPr>
      <w:i/>
      <w:iCs/>
      <w:color w:val="595959"/>
    </w:rPr>
  </w:style>
  <w:style w:type="character" w:customStyle="1" w:styleId="44">
    <w:name w:val="明显强调1"/>
    <w:qFormat/>
    <w:uiPriority w:val="21"/>
    <w:rPr>
      <w:b/>
      <w:bCs/>
      <w:i/>
      <w:iCs/>
      <w:color w:val="4F81BD"/>
      <w:sz w:val="22"/>
      <w:szCs w:val="22"/>
    </w:rPr>
  </w:style>
  <w:style w:type="character" w:customStyle="1" w:styleId="45">
    <w:name w:val="不明显参考1"/>
    <w:qFormat/>
    <w:uiPriority w:val="31"/>
    <w:rPr>
      <w:color w:val="auto"/>
      <w:u w:val="single" w:color="9BBB59"/>
    </w:rPr>
  </w:style>
  <w:style w:type="character" w:customStyle="1" w:styleId="46">
    <w:name w:val="明显参考1"/>
    <w:basedOn w:val="22"/>
    <w:qFormat/>
    <w:uiPriority w:val="32"/>
    <w:rPr>
      <w:b/>
      <w:bCs/>
      <w:color w:val="77933C"/>
      <w:u w:val="single" w:color="9BBB59"/>
    </w:rPr>
  </w:style>
  <w:style w:type="character" w:customStyle="1" w:styleId="47">
    <w:name w:val="书籍标题1"/>
    <w:basedOn w:val="22"/>
    <w:qFormat/>
    <w:uiPriority w:val="33"/>
    <w:rPr>
      <w:rFonts w:ascii="Cambria" w:hAnsi="Cambria" w:eastAsia="宋体" w:cs="宋体"/>
      <w:b/>
      <w:bCs/>
      <w:i/>
      <w:iCs/>
      <w:color w:val="auto"/>
    </w:rPr>
  </w:style>
  <w:style w:type="paragraph" w:customStyle="1" w:styleId="48">
    <w:name w:val="TOC 标题1"/>
    <w:basedOn w:val="4"/>
    <w:next w:val="1"/>
    <w:qFormat/>
    <w:uiPriority w:val="39"/>
    <w:pPr>
      <w:outlineLvl w:val="9"/>
    </w:pPr>
  </w:style>
  <w:style w:type="paragraph" w:customStyle="1" w:styleId="49">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0">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1">
    <w:name w:val="页眉 Char"/>
    <w:basedOn w:val="22"/>
    <w:link w:val="18"/>
    <w:qFormat/>
    <w:uiPriority w:val="99"/>
    <w:rPr>
      <w:sz w:val="18"/>
      <w:szCs w:val="18"/>
    </w:rPr>
  </w:style>
  <w:style w:type="character" w:customStyle="1" w:styleId="52">
    <w:name w:val="页脚 Char"/>
    <w:basedOn w:val="22"/>
    <w:link w:val="17"/>
    <w:qFormat/>
    <w:uiPriority w:val="99"/>
    <w:rPr>
      <w:sz w:val="18"/>
      <w:szCs w:val="18"/>
    </w:rPr>
  </w:style>
  <w:style w:type="character" w:customStyle="1" w:styleId="53">
    <w:name w:val="批注框文本 Char"/>
    <w:basedOn w:val="22"/>
    <w:link w:val="16"/>
    <w:qFormat/>
    <w:uiPriority w:val="99"/>
    <w:rPr>
      <w:sz w:val="18"/>
      <w:szCs w:val="18"/>
      <w:lang w:eastAsia="en-US" w:bidi="en-US"/>
    </w:rPr>
  </w:style>
  <w:style w:type="paragraph" w:customStyle="1" w:styleId="54">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2020-08-13T06:43:39Z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