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2"/>
      <w:bookmarkStart w:id="1" w:name="OLE_LINK3"/>
      <w:bookmarkStart w:id="2" w:name="OLE_LINK4"/>
      <w:bookmarkStart w:id="3" w:name="OLE_LINK1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12" w:lineRule="auto"/>
        <w:jc w:val="center"/>
        <w:rPr>
          <w:rFonts w:ascii="宋体"/>
          <w:b/>
          <w:sz w:val="44"/>
          <w:szCs w:val="44"/>
        </w:rPr>
      </w:pPr>
      <w:bookmarkStart w:id="4" w:name="_GoBack"/>
      <w:bookmarkEnd w:id="4"/>
      <w:r>
        <w:rPr>
          <w:rFonts w:hint="eastAsia" w:ascii="宋体" w:hAnsi="宋体"/>
          <w:b/>
          <w:sz w:val="44"/>
          <w:szCs w:val="44"/>
        </w:rPr>
        <w:t>华容县教育体育局</w:t>
      </w:r>
    </w:p>
    <w:p>
      <w:pPr>
        <w:snapToGrid w:val="0"/>
        <w:spacing w:line="312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关于开展“全面复学复课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关爱学生眼健康”视力监测活动的通知</w:t>
      </w:r>
    </w:p>
    <w:p>
      <w:pPr>
        <w:snapToGrid w:val="0"/>
        <w:spacing w:line="336" w:lineRule="auto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习近平总书记关于近视问题的重要指示和教育部《综合防控儿童青少年近视实施方案》的要求，根据省、市、县综合防控儿童青少年近视的工作安排，结合新冠肺炎疫情防控形势，决定在全县中小学生中开展“全面复学复课、关爱学生眼健康”视力监测活动。现将有关事项通知如下：</w:t>
      </w:r>
    </w:p>
    <w:p>
      <w:pPr>
        <w:pStyle w:val="16"/>
        <w:snapToGrid w:val="0"/>
        <w:spacing w:line="336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一、工作目标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本次“全面复学复课、关爱学生眼健康”视力监测活动，积极推广近视防控工作，建立健全近视防控体系。通过视力监测程序，依托爱尔眼科专业近视防控技术及手段，力争早日实现全县中小学生近视水平达到国家控制标准。</w:t>
      </w:r>
    </w:p>
    <w:p>
      <w:pPr>
        <w:pStyle w:val="16"/>
        <w:snapToGrid w:val="0"/>
        <w:spacing w:line="336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二、监测安排</w:t>
      </w:r>
    </w:p>
    <w:p>
      <w:pPr>
        <w:pStyle w:val="16"/>
        <w:snapToGrid w:val="0"/>
        <w:spacing w:line="336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监测时间：义教学段（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年级）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日；高中学段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监测办法：鉴于当前新冠疫情的形势，监测活动暂不入校进行，通过“爱尔测视力</w:t>
      </w:r>
      <w:r>
        <w:rPr>
          <w:rFonts w:ascii="仿宋" w:hAnsi="仿宋" w:eastAsia="仿宋"/>
          <w:sz w:val="32"/>
          <w:szCs w:val="32"/>
        </w:rPr>
        <w:t>APP</w:t>
      </w:r>
      <w:r>
        <w:rPr>
          <w:rFonts w:hint="eastAsia" w:ascii="仿宋" w:hAnsi="仿宋" w:eastAsia="仿宋"/>
          <w:sz w:val="32"/>
          <w:szCs w:val="32"/>
        </w:rPr>
        <w:t>”程序来完成。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监测流程：</w:t>
      </w:r>
    </w:p>
    <w:p>
      <w:pPr>
        <w:snapToGrid w:val="0"/>
        <w:spacing w:line="336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i1025" o:spt="75" type="#_x0000_t75" style="height:157.5pt;width:175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①通过微信扫“爱尔测视力</w:t>
      </w:r>
      <w:r>
        <w:rPr>
          <w:rFonts w:ascii="仿宋" w:hAnsi="仿宋" w:eastAsia="仿宋"/>
          <w:sz w:val="32"/>
          <w:szCs w:val="32"/>
        </w:rPr>
        <w:t>APP</w:t>
      </w:r>
      <w:r>
        <w:rPr>
          <w:rFonts w:hint="eastAsia" w:ascii="仿宋" w:hAnsi="仿宋" w:eastAsia="仿宋"/>
          <w:sz w:val="32"/>
          <w:szCs w:val="32"/>
        </w:rPr>
        <w:t>”程序开始测视力；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②进入程序填写准确资料后完成注册，将手机亮度调节为</w:t>
      </w:r>
      <w:r>
        <w:rPr>
          <w:rFonts w:ascii="仿宋" w:hAnsi="仿宋" w:eastAsia="仿宋"/>
          <w:sz w:val="32"/>
          <w:szCs w:val="32"/>
        </w:rPr>
        <w:t>50%--80%</w:t>
      </w:r>
      <w:r>
        <w:rPr>
          <w:rFonts w:hint="eastAsia" w:ascii="仿宋" w:hAnsi="仿宋" w:eastAsia="仿宋"/>
          <w:sz w:val="32"/>
          <w:szCs w:val="32"/>
        </w:rPr>
        <w:t>；测试时手机高度与孩子视线距离保持一米平行；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③根据实际情况选择正误，先检查右眼再检查左眼（有戴镜小朋友需测量戴镜视力）。</w:t>
      </w:r>
    </w:p>
    <w:p>
      <w:pPr>
        <w:pStyle w:val="16"/>
        <w:snapToGrid w:val="0"/>
        <w:spacing w:line="336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>
      <w:pPr>
        <w:tabs>
          <w:tab w:val="left" w:pos="312"/>
        </w:tabs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高度重视，明确责任。各学校要高度重视本次视力监测活动，安排专人负责，确保学生参测率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跟踪服务，及时反馈。爱尔测视力程序由班主任推广至家长群进行扫码注册。各学校对在活动中出现的新情况、新问题要及时进行反馈。对视力不良学生要建议进一步复查。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严格督查，强化考核。体卫股将对学生视力监测情况开展督查，并将各学校视力监测情况将纳入本年度的年终考核。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年全县中小学生视力监测情况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华容县教育体育局</w:t>
      </w: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16"/>
        <w:snapToGrid w:val="0"/>
        <w:spacing w:line="336" w:lineRule="auto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pStyle w:val="16"/>
        <w:snapToGrid w:val="0"/>
        <w:spacing w:line="336" w:lineRule="auto"/>
        <w:ind w:firstLine="0" w:firstLineChars="0"/>
        <w:jc w:val="center"/>
        <w:rPr>
          <w:rFonts w:ascii="宋体"/>
          <w:b/>
          <w:sz w:val="44"/>
          <w:szCs w:val="32"/>
        </w:rPr>
      </w:pPr>
      <w:r>
        <w:rPr>
          <w:rFonts w:ascii="宋体" w:hAnsi="宋体"/>
          <w:b/>
          <w:sz w:val="44"/>
          <w:szCs w:val="32"/>
        </w:rPr>
        <w:t>2019</w:t>
      </w:r>
      <w:r>
        <w:rPr>
          <w:rFonts w:hint="eastAsia" w:ascii="宋体" w:hAnsi="宋体"/>
          <w:b/>
          <w:sz w:val="44"/>
          <w:szCs w:val="32"/>
        </w:rPr>
        <w:t>年全县中小学生视力监测情况</w:t>
      </w:r>
    </w:p>
    <w:p>
      <w:pPr>
        <w:pStyle w:val="16"/>
        <w:snapToGrid w:val="0"/>
        <w:spacing w:line="336" w:lineRule="auto"/>
        <w:ind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监测数据。根据教体局合作协议单位华容爱尔眼科医院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3-12</w:t>
      </w:r>
      <w:r>
        <w:rPr>
          <w:rFonts w:hint="eastAsia" w:ascii="仿宋" w:hAnsi="仿宋" w:eastAsia="仿宋"/>
          <w:sz w:val="32"/>
          <w:szCs w:val="32"/>
        </w:rPr>
        <w:t>月提供的数据，全县共抽检</w:t>
      </w:r>
      <w:r>
        <w:rPr>
          <w:rFonts w:ascii="仿宋" w:hAnsi="仿宋" w:eastAsia="仿宋"/>
          <w:sz w:val="32"/>
          <w:szCs w:val="32"/>
        </w:rPr>
        <w:t>56</w:t>
      </w:r>
      <w:r>
        <w:rPr>
          <w:rFonts w:hint="eastAsia" w:ascii="仿宋" w:hAnsi="仿宋" w:eastAsia="仿宋"/>
          <w:sz w:val="32"/>
          <w:szCs w:val="32"/>
        </w:rPr>
        <w:t>所中小学校，抽检学生</w:t>
      </w:r>
      <w:r>
        <w:rPr>
          <w:rFonts w:ascii="仿宋" w:hAnsi="仿宋" w:eastAsia="仿宋"/>
          <w:sz w:val="32"/>
          <w:szCs w:val="32"/>
        </w:rPr>
        <w:t>31391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。视力不良人数</w:t>
      </w:r>
      <w:r>
        <w:rPr>
          <w:rFonts w:ascii="仿宋" w:hAnsi="仿宋" w:eastAsia="仿宋"/>
          <w:sz w:val="32"/>
          <w:szCs w:val="32"/>
        </w:rPr>
        <w:t>11233</w:t>
      </w:r>
      <w:r>
        <w:rPr>
          <w:rFonts w:hint="eastAsia" w:ascii="仿宋" w:hAnsi="仿宋" w:eastAsia="仿宋"/>
          <w:sz w:val="32"/>
          <w:szCs w:val="32"/>
        </w:rPr>
        <w:t>人，视力不良率为</w:t>
      </w:r>
      <w:r>
        <w:rPr>
          <w:rFonts w:ascii="仿宋" w:hAnsi="仿宋" w:eastAsia="仿宋"/>
          <w:sz w:val="32"/>
          <w:szCs w:val="32"/>
        </w:rPr>
        <w:t>36 %</w:t>
      </w:r>
      <w:r>
        <w:rPr>
          <w:rFonts w:hint="eastAsia" w:ascii="仿宋" w:hAnsi="仿宋" w:eastAsia="仿宋"/>
          <w:sz w:val="32"/>
          <w:szCs w:val="32"/>
        </w:rPr>
        <w:t>。视力正常为</w:t>
      </w:r>
      <w:r>
        <w:rPr>
          <w:rFonts w:ascii="仿宋" w:hAnsi="仿宋" w:eastAsia="仿宋"/>
          <w:sz w:val="32"/>
          <w:szCs w:val="32"/>
        </w:rPr>
        <w:t>20158</w:t>
      </w:r>
      <w:r>
        <w:rPr>
          <w:rFonts w:hint="eastAsia" w:ascii="仿宋" w:hAnsi="仿宋" w:eastAsia="仿宋"/>
          <w:sz w:val="32"/>
          <w:szCs w:val="32"/>
        </w:rPr>
        <w:t>人，视力良好率为</w:t>
      </w:r>
      <w:r>
        <w:rPr>
          <w:rFonts w:ascii="仿宋" w:hAnsi="仿宋" w:eastAsia="仿宋"/>
          <w:sz w:val="32"/>
          <w:szCs w:val="32"/>
        </w:rPr>
        <w:t>64%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其中初中生为</w:t>
      </w:r>
      <w:r>
        <w:rPr>
          <w:rFonts w:ascii="仿宋" w:hAnsi="仿宋" w:eastAsia="仿宋"/>
          <w:sz w:val="32"/>
          <w:szCs w:val="32"/>
        </w:rPr>
        <w:t>9265</w:t>
      </w:r>
      <w:r>
        <w:rPr>
          <w:rFonts w:hint="eastAsia" w:ascii="仿宋" w:hAnsi="仿宋" w:eastAsia="仿宋"/>
          <w:sz w:val="32"/>
          <w:szCs w:val="32"/>
        </w:rPr>
        <w:t>，视力不良学生</w:t>
      </w:r>
      <w:r>
        <w:rPr>
          <w:rFonts w:ascii="仿宋" w:hAnsi="仿宋" w:eastAsia="仿宋"/>
          <w:sz w:val="32"/>
          <w:szCs w:val="32"/>
        </w:rPr>
        <w:t>6051</w:t>
      </w:r>
      <w:r>
        <w:rPr>
          <w:rFonts w:hint="eastAsia" w:ascii="仿宋" w:hAnsi="仿宋" w:eastAsia="仿宋"/>
          <w:sz w:val="32"/>
          <w:szCs w:val="32"/>
        </w:rPr>
        <w:t>人，初中视力不良率为</w:t>
      </w:r>
      <w:r>
        <w:rPr>
          <w:rFonts w:ascii="仿宋" w:hAnsi="仿宋" w:eastAsia="仿宋"/>
          <w:sz w:val="32"/>
          <w:szCs w:val="32"/>
        </w:rPr>
        <w:t>65%</w:t>
      </w:r>
      <w:r>
        <w:rPr>
          <w:rFonts w:hint="eastAsia" w:ascii="仿宋" w:hAnsi="仿宋" w:eastAsia="仿宋"/>
          <w:sz w:val="32"/>
          <w:szCs w:val="32"/>
        </w:rPr>
        <w:t>。视力良好学生为</w:t>
      </w:r>
      <w:r>
        <w:rPr>
          <w:rFonts w:ascii="仿宋" w:hAnsi="仿宋" w:eastAsia="仿宋"/>
          <w:sz w:val="32"/>
          <w:szCs w:val="32"/>
        </w:rPr>
        <w:t>3214</w:t>
      </w:r>
      <w:r>
        <w:rPr>
          <w:rFonts w:hint="eastAsia" w:ascii="仿宋" w:hAnsi="仿宋" w:eastAsia="仿宋"/>
          <w:sz w:val="32"/>
          <w:szCs w:val="32"/>
        </w:rPr>
        <w:t>人，初中视力良好率为</w:t>
      </w:r>
      <w:r>
        <w:rPr>
          <w:rFonts w:ascii="仿宋" w:hAnsi="仿宋" w:eastAsia="仿宋"/>
          <w:sz w:val="32"/>
          <w:szCs w:val="32"/>
        </w:rPr>
        <w:t>35%</w:t>
      </w:r>
      <w:r>
        <w:rPr>
          <w:rFonts w:hint="eastAsia" w:ascii="仿宋" w:hAnsi="仿宋" w:eastAsia="仿宋"/>
          <w:sz w:val="32"/>
          <w:szCs w:val="32"/>
        </w:rPr>
        <w:t>。小学生为</w:t>
      </w:r>
      <w:r>
        <w:rPr>
          <w:rFonts w:ascii="仿宋" w:hAnsi="仿宋" w:eastAsia="仿宋"/>
          <w:sz w:val="32"/>
          <w:szCs w:val="32"/>
        </w:rPr>
        <w:t>22126</w:t>
      </w:r>
      <w:r>
        <w:rPr>
          <w:rFonts w:hint="eastAsia" w:ascii="仿宋" w:hAnsi="仿宋" w:eastAsia="仿宋"/>
          <w:sz w:val="32"/>
          <w:szCs w:val="32"/>
        </w:rPr>
        <w:t>人，视力不良学生为</w:t>
      </w:r>
      <w:r>
        <w:rPr>
          <w:rFonts w:ascii="仿宋" w:hAnsi="仿宋" w:eastAsia="仿宋"/>
          <w:sz w:val="32"/>
          <w:szCs w:val="32"/>
        </w:rPr>
        <w:t>5182</w:t>
      </w:r>
      <w:r>
        <w:rPr>
          <w:rFonts w:hint="eastAsia" w:ascii="仿宋" w:hAnsi="仿宋" w:eastAsia="仿宋"/>
          <w:sz w:val="32"/>
          <w:szCs w:val="32"/>
        </w:rPr>
        <w:t>人，小学视力不良率</w:t>
      </w:r>
      <w:r>
        <w:rPr>
          <w:rFonts w:ascii="仿宋" w:hAnsi="仿宋" w:eastAsia="仿宋"/>
          <w:sz w:val="32"/>
          <w:szCs w:val="32"/>
        </w:rPr>
        <w:t>23%</w:t>
      </w:r>
      <w:r>
        <w:rPr>
          <w:rFonts w:hint="eastAsia" w:ascii="仿宋" w:hAnsi="仿宋" w:eastAsia="仿宋"/>
          <w:sz w:val="32"/>
          <w:szCs w:val="32"/>
        </w:rPr>
        <w:t>。视力良好学生为</w:t>
      </w:r>
      <w:r>
        <w:rPr>
          <w:rFonts w:ascii="仿宋" w:hAnsi="仿宋" w:eastAsia="仿宋"/>
          <w:sz w:val="32"/>
          <w:szCs w:val="32"/>
        </w:rPr>
        <w:t>16944</w:t>
      </w:r>
      <w:r>
        <w:rPr>
          <w:rFonts w:hint="eastAsia" w:ascii="仿宋" w:hAnsi="仿宋" w:eastAsia="仿宋"/>
          <w:sz w:val="32"/>
          <w:szCs w:val="32"/>
        </w:rPr>
        <w:t>人，小学视力良好率为</w:t>
      </w:r>
      <w:r>
        <w:rPr>
          <w:rFonts w:ascii="仿宋" w:hAnsi="仿宋" w:eastAsia="仿宋"/>
          <w:sz w:val="32"/>
          <w:szCs w:val="32"/>
        </w:rPr>
        <w:t>77%</w:t>
      </w:r>
      <w:r>
        <w:rPr>
          <w:rFonts w:hint="eastAsia" w:ascii="仿宋" w:hAnsi="仿宋" w:eastAsia="仿宋"/>
          <w:sz w:val="32"/>
          <w:szCs w:val="32"/>
        </w:rPr>
        <w:t>。其中高度远视引起弱视</w:t>
      </w:r>
      <w:r>
        <w:rPr>
          <w:rFonts w:ascii="仿宋" w:hAnsi="仿宋" w:eastAsia="仿宋"/>
          <w:sz w:val="32"/>
          <w:szCs w:val="32"/>
        </w:rPr>
        <w:t>71</w:t>
      </w:r>
      <w:r>
        <w:rPr>
          <w:rFonts w:hint="eastAsia" w:ascii="仿宋" w:hAnsi="仿宋" w:eastAsia="仿宋"/>
          <w:sz w:val="32"/>
          <w:szCs w:val="32"/>
        </w:rPr>
        <w:t>人、高度散光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人、散光</w:t>
      </w:r>
      <w:r>
        <w:rPr>
          <w:rFonts w:ascii="仿宋" w:hAnsi="仿宋" w:eastAsia="仿宋"/>
          <w:sz w:val="32"/>
          <w:szCs w:val="32"/>
        </w:rPr>
        <w:t>113</w:t>
      </w:r>
      <w:r>
        <w:rPr>
          <w:rFonts w:hint="eastAsia" w:ascii="仿宋" w:hAnsi="仿宋" w:eastAsia="仿宋"/>
          <w:sz w:val="32"/>
          <w:szCs w:val="32"/>
        </w:rPr>
        <w:t>人、远视</w:t>
      </w:r>
      <w:r>
        <w:rPr>
          <w:rFonts w:ascii="仿宋" w:hAnsi="仿宋" w:eastAsia="仿宋"/>
          <w:sz w:val="32"/>
          <w:szCs w:val="32"/>
        </w:rPr>
        <w:t>127</w:t>
      </w:r>
      <w:r>
        <w:rPr>
          <w:rFonts w:hint="eastAsia" w:ascii="仿宋" w:hAnsi="仿宋" w:eastAsia="仿宋"/>
          <w:sz w:val="32"/>
          <w:szCs w:val="32"/>
        </w:rPr>
        <w:t>人、斜视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人。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防控建议。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①注意用眼卫生。要勤洗手、不用手揉眼睛，避免手部细菌感染引发眼部炎症及用力导致角膜擦伤。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②注意用眼时间。要少看电子产品，看书时要控制时长，阅读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分钟，看远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分钟。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法则；每用眼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分钟，看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英尺（约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米）外的物体让眼睛休息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秒。循环用眼才不会让眼睛负担过重。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③注意书写姿势。近距离用眼需要动用调节，距离越近付出的调节越多。同样的阅读时间，如果用眼距离和光照不正确。甚至会多出一倍的用眼负担。做到三个一；一尺，一拳，一寸。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④注意营养均衡。少吃高脂肪高热量及油炸类食物，少吃甜食，这些对眼睛都有影响，多吃谷物和粗粮，适量补充胶原蛋白类食物。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⑤加强体育锻炼。认真落实“两操一课”，加强体育锻炼，确保中小学生在校每天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小时以上体育活动时间，多在自然光的环境下参加户外运动。</w:t>
      </w: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5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E09"/>
    <w:rsid w:val="0002069F"/>
    <w:rsid w:val="00034000"/>
    <w:rsid w:val="00036410"/>
    <w:rsid w:val="000526E0"/>
    <w:rsid w:val="00090CB2"/>
    <w:rsid w:val="0009108C"/>
    <w:rsid w:val="000A3923"/>
    <w:rsid w:val="000A6D80"/>
    <w:rsid w:val="000D6379"/>
    <w:rsid w:val="000F667A"/>
    <w:rsid w:val="00123A6B"/>
    <w:rsid w:val="00145722"/>
    <w:rsid w:val="00153B50"/>
    <w:rsid w:val="001561E8"/>
    <w:rsid w:val="0017396A"/>
    <w:rsid w:val="00183E58"/>
    <w:rsid w:val="001C0BA5"/>
    <w:rsid w:val="001D70E1"/>
    <w:rsid w:val="001F43C9"/>
    <w:rsid w:val="00207E9B"/>
    <w:rsid w:val="0022721F"/>
    <w:rsid w:val="002A7AD7"/>
    <w:rsid w:val="002D272D"/>
    <w:rsid w:val="002D3766"/>
    <w:rsid w:val="002D799F"/>
    <w:rsid w:val="002E7E46"/>
    <w:rsid w:val="003903B1"/>
    <w:rsid w:val="003A3AE2"/>
    <w:rsid w:val="003C107A"/>
    <w:rsid w:val="003F18DA"/>
    <w:rsid w:val="003F3D39"/>
    <w:rsid w:val="00412DB7"/>
    <w:rsid w:val="00442788"/>
    <w:rsid w:val="00444C3F"/>
    <w:rsid w:val="004911BD"/>
    <w:rsid w:val="004F64D6"/>
    <w:rsid w:val="00514CB4"/>
    <w:rsid w:val="005671D8"/>
    <w:rsid w:val="00584A7A"/>
    <w:rsid w:val="00597244"/>
    <w:rsid w:val="005A5D65"/>
    <w:rsid w:val="005B527D"/>
    <w:rsid w:val="005E1A43"/>
    <w:rsid w:val="00613B07"/>
    <w:rsid w:val="00621562"/>
    <w:rsid w:val="00645E09"/>
    <w:rsid w:val="00666335"/>
    <w:rsid w:val="00691060"/>
    <w:rsid w:val="006A27BF"/>
    <w:rsid w:val="006C272B"/>
    <w:rsid w:val="006E287E"/>
    <w:rsid w:val="006E3469"/>
    <w:rsid w:val="006F6DF4"/>
    <w:rsid w:val="00735A4B"/>
    <w:rsid w:val="007515BD"/>
    <w:rsid w:val="00762907"/>
    <w:rsid w:val="00765C98"/>
    <w:rsid w:val="007A0AD0"/>
    <w:rsid w:val="007D0D4F"/>
    <w:rsid w:val="007E0BA0"/>
    <w:rsid w:val="007E5B7A"/>
    <w:rsid w:val="007F1315"/>
    <w:rsid w:val="00815CCB"/>
    <w:rsid w:val="0082377C"/>
    <w:rsid w:val="008625E0"/>
    <w:rsid w:val="00871761"/>
    <w:rsid w:val="008A7996"/>
    <w:rsid w:val="008B22AA"/>
    <w:rsid w:val="008E78BC"/>
    <w:rsid w:val="008F111F"/>
    <w:rsid w:val="008F22D3"/>
    <w:rsid w:val="009178D7"/>
    <w:rsid w:val="00933CC5"/>
    <w:rsid w:val="0095198D"/>
    <w:rsid w:val="00964E34"/>
    <w:rsid w:val="009A6004"/>
    <w:rsid w:val="009B39B6"/>
    <w:rsid w:val="009C4D7B"/>
    <w:rsid w:val="009D2484"/>
    <w:rsid w:val="009D3984"/>
    <w:rsid w:val="009D6531"/>
    <w:rsid w:val="00A005F4"/>
    <w:rsid w:val="00A07892"/>
    <w:rsid w:val="00A4198C"/>
    <w:rsid w:val="00A45509"/>
    <w:rsid w:val="00A5457B"/>
    <w:rsid w:val="00A7316E"/>
    <w:rsid w:val="00A76ABE"/>
    <w:rsid w:val="00A87152"/>
    <w:rsid w:val="00AB4D26"/>
    <w:rsid w:val="00B107D0"/>
    <w:rsid w:val="00B10CC2"/>
    <w:rsid w:val="00B82676"/>
    <w:rsid w:val="00BE46DE"/>
    <w:rsid w:val="00C0318A"/>
    <w:rsid w:val="00C320BE"/>
    <w:rsid w:val="00C9192F"/>
    <w:rsid w:val="00C97EE3"/>
    <w:rsid w:val="00CA727A"/>
    <w:rsid w:val="00CB502D"/>
    <w:rsid w:val="00CB64A1"/>
    <w:rsid w:val="00CC1A38"/>
    <w:rsid w:val="00CF3965"/>
    <w:rsid w:val="00D20BC0"/>
    <w:rsid w:val="00D74966"/>
    <w:rsid w:val="00DC646B"/>
    <w:rsid w:val="00E25D6E"/>
    <w:rsid w:val="00E30BAC"/>
    <w:rsid w:val="00E6672F"/>
    <w:rsid w:val="00E92E33"/>
    <w:rsid w:val="00EA3B29"/>
    <w:rsid w:val="00EB1317"/>
    <w:rsid w:val="00EE5E3C"/>
    <w:rsid w:val="00EF0EF1"/>
    <w:rsid w:val="00F14818"/>
    <w:rsid w:val="00F6418E"/>
    <w:rsid w:val="00FC6B7D"/>
    <w:rsid w:val="00FE42EA"/>
    <w:rsid w:val="00FF7814"/>
    <w:rsid w:val="05AE7E78"/>
    <w:rsid w:val="11EA6923"/>
    <w:rsid w:val="22323930"/>
    <w:rsid w:val="25B636B5"/>
    <w:rsid w:val="505B4405"/>
    <w:rsid w:val="67861854"/>
    <w:rsid w:val="68A32ED8"/>
    <w:rsid w:val="6BDD541D"/>
    <w:rsid w:val="6F456567"/>
    <w:rsid w:val="753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5">
    <w:name w:val="Balloon Text"/>
    <w:basedOn w:val="1"/>
    <w:link w:val="13"/>
    <w:semiHidden/>
    <w:uiPriority w:val="99"/>
    <w:rPr>
      <w:sz w:val="18"/>
      <w:szCs w:val="18"/>
    </w:rPr>
  </w:style>
  <w:style w:type="paragraph" w:styleId="6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Heading 1 Char"/>
    <w:basedOn w:val="8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1">
    <w:name w:val="Heading 2 Char"/>
    <w:basedOn w:val="8"/>
    <w:link w:val="3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Date Char"/>
    <w:basedOn w:val="8"/>
    <w:link w:val="4"/>
    <w:semiHidden/>
    <w:locked/>
    <w:uiPriority w:val="99"/>
    <w:rPr>
      <w:rFonts w:cs="Times New Roman"/>
      <w:sz w:val="24"/>
      <w:szCs w:val="24"/>
    </w:rPr>
  </w:style>
  <w:style w:type="character" w:customStyle="1" w:styleId="13">
    <w:name w:val="Balloon Text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8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7"/>
    <w:semiHidden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222</Words>
  <Characters>1266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2020-06-19T01:32:00Z</dcterms:created>
  <dc:creator>Administrator</dc:creator>
  <cp:lastModifiedBy>C</cp:lastModifiedBy>
  <cp:lastPrinted>2020-07-14T00:58:00Z</cp:lastPrinted>
  <dcterms:modified xsi:type="dcterms:W3CDTF">2020-07-16T07:28:51Z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