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ascii="仿宋" w:hAnsi="仿宋" w:eastAsia="仿宋" w:cs="_4eff_5b8b_GB2312"/>
          <w:bCs/>
          <w:color w:val="000000" w:themeColor="text1"/>
          <w:sz w:val="32"/>
          <w:szCs w:val="32"/>
          <w:lang w:eastAsia="zh-CN" w:bidi="ar-SA"/>
        </w:rPr>
        <w:t>[</w:t>
      </w:r>
      <w:r>
        <w:rPr>
          <w:rFonts w:hint="eastAsia" w:ascii="仿宋" w:hAnsi="仿宋" w:eastAsia="仿宋" w:cs="_4eff_5b8b_GB2312"/>
          <w:bCs/>
          <w:color w:val="000000" w:themeColor="text1"/>
          <w:sz w:val="32"/>
          <w:szCs w:val="32"/>
          <w:lang w:eastAsia="zh-CN" w:bidi="ar-SA"/>
        </w:rPr>
        <w:t>2020</w:t>
      </w:r>
      <w:r>
        <w:rPr>
          <w:rFonts w:ascii="仿宋" w:hAnsi="仿宋" w:eastAsia="仿宋" w:cs="_4eff_5b8b_GB2312"/>
          <w:bCs/>
          <w:color w:val="000000" w:themeColor="text1"/>
          <w:sz w:val="32"/>
          <w:szCs w:val="32"/>
          <w:lang w:eastAsia="zh-CN" w:bidi="ar-SA"/>
        </w:rPr>
        <w:t>]</w:t>
      </w:r>
      <w:r>
        <w:rPr>
          <w:rFonts w:hint="eastAsia" w:ascii="仿宋" w:hAnsi="仿宋" w:eastAsia="仿宋" w:cs="_4eff_5b8b_GB2312"/>
          <w:bCs/>
          <w:color w:val="000000" w:themeColor="text1"/>
          <w:sz w:val="32"/>
          <w:szCs w:val="32"/>
          <w:lang w:val="en-US" w:eastAsia="zh-CN" w:bidi="ar-SA"/>
        </w:rPr>
        <w:t>11</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华容县田家湖加油站建设项目</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ind w:left="360" w:firstLine="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华容县住房和城乡建设局：</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你单位《关于</w:t>
      </w:r>
      <w:r>
        <w:rPr>
          <w:rFonts w:hint="eastAsia" w:ascii="仿宋" w:hAnsi="仿宋" w:eastAsia="仿宋"/>
          <w:sz w:val="32"/>
          <w:szCs w:val="32"/>
          <w:lang w:val="en-US" w:eastAsia="zh-CN"/>
        </w:rPr>
        <w:t>华容县田家湖加油站建设项目</w:t>
      </w:r>
      <w:r>
        <w:rPr>
          <w:rFonts w:hint="eastAsia" w:ascii="仿宋" w:hAnsi="仿宋" w:eastAsia="仿宋"/>
          <w:sz w:val="32"/>
          <w:szCs w:val="32"/>
          <w:lang w:eastAsia="zh-CN"/>
        </w:rPr>
        <w:t>申请办理环评审批手续的报告》</w:t>
      </w:r>
      <w:r>
        <w:rPr>
          <w:rFonts w:ascii="仿宋" w:hAnsi="仿宋" w:eastAsia="仿宋"/>
          <w:sz w:val="32"/>
          <w:szCs w:val="32"/>
          <w:lang w:eastAsia="zh-CN"/>
        </w:rPr>
        <w:t>及有关附件收悉。经研究，批复如下：</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一、</w:t>
      </w:r>
      <w:r>
        <w:rPr>
          <w:rFonts w:hint="eastAsia" w:ascii="仿宋" w:hAnsi="仿宋" w:eastAsia="仿宋"/>
          <w:sz w:val="32"/>
          <w:szCs w:val="32"/>
          <w:lang w:val="en-US" w:eastAsia="zh-CN"/>
        </w:rPr>
        <w:t>华容县华源石油化工有限公司投资3000万元在华容县田家湖生态新区田家湖大道北侧新建华容县田家湖加油站建设项目。该加油站总用地面积约7177.23m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，建（构）筑物占地面积为799.74m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，总建筑面积699.48m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，绿地面积3646.08m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，建筑密度11.14%，容积率0.097，绿地率50.8%。设有4个双层埋地油罐，其中3个汽油罐和1个柴油罐，油罐容积分别是：0#柴油30m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，92#汽油30m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，95#汽油30m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，98#汽油30m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。按柴油折半算，总容积为105m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，属于二级加油站，预计年销售量为2000t（其中柴油600吨、汽油1400吨）。项目建设符合国家产业政策。</w:t>
      </w:r>
      <w:r>
        <w:rPr>
          <w:rFonts w:hint="eastAsia" w:ascii="仿宋" w:hAnsi="仿宋" w:eastAsia="仿宋"/>
          <w:sz w:val="32"/>
          <w:szCs w:val="32"/>
          <w:lang w:eastAsia="zh-CN"/>
        </w:rPr>
        <w:t>根据</w:t>
      </w:r>
      <w:bookmarkStart w:id="2" w:name="OLE_LINK16"/>
      <w:r>
        <w:rPr>
          <w:rFonts w:hint="eastAsia" w:ascii="仿宋" w:hAnsi="仿宋" w:eastAsia="仿宋"/>
          <w:sz w:val="32"/>
          <w:szCs w:val="32"/>
          <w:lang w:val="en-US" w:eastAsia="zh-CN"/>
        </w:rPr>
        <w:t>河南金环环境影响评价有限公司</w:t>
      </w:r>
      <w:r>
        <w:rPr>
          <w:rFonts w:hint="eastAsia" w:ascii="仿宋" w:hAnsi="仿宋" w:eastAsia="仿宋"/>
          <w:sz w:val="32"/>
          <w:szCs w:val="32"/>
          <w:lang w:eastAsia="zh-CN"/>
        </w:rPr>
        <w:t>编制的《</w:t>
      </w:r>
      <w:r>
        <w:rPr>
          <w:rFonts w:hint="eastAsia" w:ascii="仿宋" w:hAnsi="仿宋" w:eastAsia="仿宋"/>
          <w:sz w:val="32"/>
          <w:szCs w:val="32"/>
          <w:lang w:val="en-US" w:eastAsia="zh-CN"/>
        </w:rPr>
        <w:t>华容县田家湖加油站建设项目</w:t>
      </w:r>
      <w:r>
        <w:rPr>
          <w:rFonts w:hint="eastAsia" w:ascii="仿宋" w:hAnsi="仿宋" w:eastAsia="仿宋"/>
          <w:sz w:val="32"/>
          <w:szCs w:val="32"/>
          <w:lang w:eastAsia="zh-CN"/>
        </w:rPr>
        <w:t>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我局原则同意你单位环境影响报告表中所列建设项目的性质、规模、工艺、地点和环境保护对策措施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二、你单位在后续建设、运行和管理中应认真落实专家及环境影响报告表中提出的各项污染防治措施，并着重做好如下工作：</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1、加强大气污染治理。严格落实报告表提出的挥发性油气防治措施，加油站采用双层地埋式储油罐，配置卸油、加油油气回收系统，规范操作，确保加油站废气中非甲烷总烃类排放满足《加油站大气污染物排放标准》（GB20952-2007）中相关标准要求，厂界无组织废气满足《大气污染物综合排放标准》（GB16297-1996）表2中无组织排放监控浓度限值要求。厂区的备用发电机尾气由内置专用烟道引至发电机房所在构筑物楼顶排放，满足《非道路移动机械用柴油机排气污染物排放限值及测量方法(中国第三、四阶段）》（GB 20891-2014）中第三阶段标准要求。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措施。本项目雨水、污水排水采用分流制。加油站在加油岛位置设有罩棚，并在罩棚内设有环形地沟，可防止雨水被油污染，站内地表雨水散流经地势排出站外进入南侧田家湖大道的市政雨水管由西往东进入护城港最终排入华容河内</w:t>
      </w:r>
      <w:bookmarkStart w:id="3" w:name="_GoBack"/>
      <w:bookmarkEnd w:id="3"/>
      <w:r>
        <w:rPr>
          <w:rFonts w:hint="eastAsia" w:ascii="仿宋" w:hAnsi="仿宋" w:eastAsia="仿宋"/>
          <w:sz w:val="32"/>
          <w:szCs w:val="32"/>
          <w:lang w:val="en-US" w:eastAsia="zh-CN"/>
        </w:rPr>
        <w:t>。生活污水经化粪池处理后浓度较低，可达华容县麻浬泗污水处理厂接管标准后进入华容县麻浬泗污水处理厂进一步处理达到《城镇污水处理厂污染物排放标准》（GB18918—2002）一级A 标准后排入华容河。冲洗地面和洗车的含油污水排入南侧中部设置的隔油池沉淀处理后进入华容县麻浬泗污水处理厂处理达标外排华容河；洗车污水进入洗车机前端设置的三级沉淀池处理后进入华容县麻浬泗污水处理厂处理达标外排华容河。</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地下水污染防治工作。严格按设计要求规范落实各项防渗漏措施。地下储油罐周围设防渗漏检查孔或检查通道、监测井等防漏和检漏设施，储油罐周边设防油堤、油罐液位监测系统，运营期开展地下水环境影响跟踪监测，确保不对地下水环境造成影响。</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4、噪声污染防治工作。对加油泵、柴油发电机等产生高噪声的设备采取隔音减震措施，确保加油站厂界噪声达到《工业企业厂界环境噪声排放标准》（GB12348-2008）2、4类标准要求。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加油站油罐清洗交由有资质单位进行，储油罐油渣和隔油池油渣等危险废物严格按照《危险废物贮存污染控制标准》（G18597-2001）及2013年修改单要求，规范建设暂存场所，油罐清理定期清理产生油渣和隔油池产生的油渣交由有资质的单位处理；落实转移联单制度并规范建立台帐。废弃的含油抹布、劳保用品等按要求规范处理。生活垃圾经统一收集后，最终由环卫部门定期清运。</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风险防范。加强对输油管道和加油、储油设备的维护管理，减少跑、冒、滴、漏，制定严格的操作规程，常备安全消防用具。落实各项风险防范措施，制定科学有效的应急事故处理预案，建立健全应急组织实施体系，增强事故防范意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7、加强环境管理，建立健全污染防治设施运行管理台帐，设专门的环保机构及环保人员，确保各项污染防治设施的正常运行，各类污染物稳定达标排放。</w:t>
      </w:r>
    </w:p>
    <w:p>
      <w:pPr>
        <w:widowControl w:val="0"/>
        <w:spacing w:line="520" w:lineRule="exact"/>
        <w:ind w:firstLine="640" w:firstLineChars="200"/>
        <w:jc w:val="both"/>
        <w:rPr>
          <w:rFonts w:hint="eastAsia" w:ascii="仿宋" w:hAnsi="仿宋" w:eastAsia="仿宋"/>
          <w:sz w:val="32"/>
          <w:szCs w:val="32"/>
          <w:lang w:val="zh-CN" w:eastAsia="zh-CN"/>
        </w:rPr>
      </w:pPr>
      <w:r>
        <w:rPr>
          <w:rFonts w:hint="eastAsia" w:ascii="仿宋" w:hAnsi="仿宋" w:eastAsia="仿宋"/>
          <w:sz w:val="32"/>
          <w:szCs w:val="32"/>
          <w:lang w:val="en-US" w:eastAsia="zh-CN"/>
        </w:rPr>
        <w:t>8、本项目</w:t>
      </w:r>
      <w:r>
        <w:rPr>
          <w:rFonts w:hint="eastAsia" w:ascii="仿宋" w:hAnsi="仿宋" w:eastAsia="仿宋"/>
          <w:sz w:val="32"/>
          <w:szCs w:val="32"/>
          <w:lang w:val="zh-CN" w:eastAsia="zh-CN"/>
        </w:rPr>
        <w:t>总量控制指标：VOCs≤0.95t/a。</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四、建设项目的日常环境监管工作由岳阳市华容生态环境保护综合行政执法大队负责。你单位应在收到本批复后7个工作日内，将批复及批准的环评报告文本送至岳阳市华容生态环境保护综合行政执法大队备案。</w:t>
      </w:r>
    </w:p>
    <w:p>
      <w:pPr>
        <w:widowControl w:val="0"/>
        <w:spacing w:line="520" w:lineRule="exact"/>
        <w:ind w:firstLine="640" w:firstLineChars="200"/>
        <w:jc w:val="both"/>
        <w:rPr>
          <w:rFonts w:hint="eastAsia" w:ascii="仿宋" w:hAnsi="仿宋" w:eastAsia="仿宋"/>
          <w:sz w:val="32"/>
          <w:szCs w:val="32"/>
          <w:lang w:val="en-US" w:eastAsia="zh-CN"/>
        </w:rPr>
      </w:pPr>
    </w:p>
    <w:p>
      <w:pPr>
        <w:pStyle w:val="2"/>
        <w:rPr>
          <w:rFonts w:hint="eastAsia"/>
          <w:lang w:val="en-US" w:eastAsia="zh-CN"/>
        </w:rPr>
      </w:pPr>
    </w:p>
    <w:p>
      <w:pPr>
        <w:spacing w:line="520" w:lineRule="exact"/>
        <w:ind w:left="0" w:leftChars="0" w:firstLine="0" w:firstLineChars="0"/>
        <w:jc w:val="both"/>
        <w:rPr>
          <w:rFonts w:ascii="仿宋" w:hAnsi="仿宋" w:eastAsia="仿宋"/>
          <w:sz w:val="32"/>
          <w:szCs w:val="32"/>
          <w:lang w:eastAsia="zh-CN"/>
        </w:rPr>
      </w:pPr>
    </w:p>
    <w:p>
      <w:pPr>
        <w:spacing w:line="520" w:lineRule="exact"/>
        <w:ind w:firstLine="5280" w:firstLineChars="1650"/>
        <w:jc w:val="both"/>
        <w:rPr>
          <w:rFonts w:ascii="仿宋" w:hAnsi="仿宋" w:eastAsia="仿宋"/>
          <w:color w:val="000000" w:themeColor="text1"/>
          <w:sz w:val="32"/>
          <w:szCs w:val="32"/>
          <w:lang w:eastAsia="zh-CN"/>
        </w:rPr>
      </w:pPr>
      <w:r>
        <w:rPr>
          <w:rFonts w:ascii="仿宋" w:hAnsi="仿宋" w:eastAsia="仿宋"/>
          <w:color w:val="000000" w:themeColor="text1"/>
          <w:sz w:val="32"/>
          <w:szCs w:val="32"/>
          <w:lang w:eastAsia="zh-CN"/>
        </w:rPr>
        <w:t>20</w:t>
      </w:r>
      <w:r>
        <w:rPr>
          <w:rFonts w:hint="eastAsia" w:ascii="仿宋" w:hAnsi="仿宋" w:eastAsia="仿宋"/>
          <w:color w:val="000000" w:themeColor="text1"/>
          <w:sz w:val="32"/>
          <w:szCs w:val="32"/>
          <w:lang w:eastAsia="zh-CN"/>
        </w:rPr>
        <w:t>20年</w:t>
      </w:r>
      <w:r>
        <w:rPr>
          <w:rFonts w:hint="eastAsia" w:ascii="仿宋" w:hAnsi="仿宋" w:eastAsia="仿宋"/>
          <w:color w:val="000000" w:themeColor="text1"/>
          <w:sz w:val="32"/>
          <w:szCs w:val="32"/>
          <w:lang w:val="en-US" w:eastAsia="zh-CN"/>
        </w:rPr>
        <w:t>7</w:t>
      </w:r>
      <w:r>
        <w:rPr>
          <w:rFonts w:ascii="仿宋" w:hAnsi="仿宋" w:eastAsia="仿宋"/>
          <w:color w:val="000000" w:themeColor="text1"/>
          <w:sz w:val="32"/>
          <w:szCs w:val="32"/>
          <w:lang w:eastAsia="zh-CN"/>
        </w:rPr>
        <w:t>月</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lang w:eastAsia="zh-CN"/>
        </w:rPr>
        <w:t>日</w:t>
      </w:r>
    </w:p>
    <w:p>
      <w:pPr>
        <w:ind w:firstLine="0"/>
        <w:rPr>
          <w:rFonts w:ascii="仿宋" w:hAnsi="仿宋" w:eastAsia="仿宋"/>
          <w:sz w:val="32"/>
          <w:szCs w:val="32"/>
          <w:lang w:eastAsia="zh-CN"/>
        </w:rPr>
      </w:pPr>
    </w:p>
    <w:tbl>
      <w:tblPr>
        <w:tblStyle w:val="21"/>
        <w:tblpPr w:leftFromText="180" w:rightFromText="180" w:vertAnchor="text" w:horzAnchor="page" w:tblpX="1877" w:tblpY="8494"/>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河南金环环境影响评价有限公司</w:t>
            </w:r>
          </w:p>
        </w:tc>
      </w:tr>
    </w:tbl>
    <w:p>
      <w:pPr>
        <w:pStyle w:val="15"/>
        <w:ind w:left="0" w:leftChars="0" w:firstLine="0"/>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3</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34C0"/>
    <w:rsid w:val="00240151"/>
    <w:rsid w:val="00303B7E"/>
    <w:rsid w:val="0036319F"/>
    <w:rsid w:val="004B758E"/>
    <w:rsid w:val="004F0446"/>
    <w:rsid w:val="00680217"/>
    <w:rsid w:val="007D351A"/>
    <w:rsid w:val="00883F65"/>
    <w:rsid w:val="00A751E9"/>
    <w:rsid w:val="00B61316"/>
    <w:rsid w:val="00DF34C0"/>
    <w:rsid w:val="00E305B0"/>
    <w:rsid w:val="00EA451E"/>
    <w:rsid w:val="00F25039"/>
    <w:rsid w:val="00F93391"/>
    <w:rsid w:val="04FC7225"/>
    <w:rsid w:val="055927EB"/>
    <w:rsid w:val="07AC1DCC"/>
    <w:rsid w:val="07D00092"/>
    <w:rsid w:val="0A2E39AB"/>
    <w:rsid w:val="0A6E050E"/>
    <w:rsid w:val="0BD44B2A"/>
    <w:rsid w:val="0D3269A4"/>
    <w:rsid w:val="0D426855"/>
    <w:rsid w:val="0E1439B8"/>
    <w:rsid w:val="0E3E7B9E"/>
    <w:rsid w:val="126B75A1"/>
    <w:rsid w:val="12F224FE"/>
    <w:rsid w:val="13151EDD"/>
    <w:rsid w:val="140C59D7"/>
    <w:rsid w:val="16C87A71"/>
    <w:rsid w:val="181F534F"/>
    <w:rsid w:val="18467D23"/>
    <w:rsid w:val="1CF31FFA"/>
    <w:rsid w:val="1D0C13C2"/>
    <w:rsid w:val="1EC2302D"/>
    <w:rsid w:val="20F37207"/>
    <w:rsid w:val="21525F3D"/>
    <w:rsid w:val="251003ED"/>
    <w:rsid w:val="25100F06"/>
    <w:rsid w:val="27EC3DA6"/>
    <w:rsid w:val="28281985"/>
    <w:rsid w:val="290D53D4"/>
    <w:rsid w:val="2A2E7D7C"/>
    <w:rsid w:val="2CD73F2F"/>
    <w:rsid w:val="2E091795"/>
    <w:rsid w:val="33120DFC"/>
    <w:rsid w:val="369D6A7A"/>
    <w:rsid w:val="36D97020"/>
    <w:rsid w:val="36EF248B"/>
    <w:rsid w:val="373713C3"/>
    <w:rsid w:val="374F0845"/>
    <w:rsid w:val="3762198D"/>
    <w:rsid w:val="376F6FFD"/>
    <w:rsid w:val="384D1F0D"/>
    <w:rsid w:val="38BD6E50"/>
    <w:rsid w:val="391E359B"/>
    <w:rsid w:val="3B1A7659"/>
    <w:rsid w:val="3B4D6B1E"/>
    <w:rsid w:val="3D714967"/>
    <w:rsid w:val="4078021F"/>
    <w:rsid w:val="419A5C0A"/>
    <w:rsid w:val="420C2463"/>
    <w:rsid w:val="42C8503D"/>
    <w:rsid w:val="449854CC"/>
    <w:rsid w:val="46A50D87"/>
    <w:rsid w:val="488E0B2B"/>
    <w:rsid w:val="48DE69BF"/>
    <w:rsid w:val="4A06068E"/>
    <w:rsid w:val="4A1359DE"/>
    <w:rsid w:val="4AED164A"/>
    <w:rsid w:val="4BAC0E59"/>
    <w:rsid w:val="4BC545AD"/>
    <w:rsid w:val="4C117FAB"/>
    <w:rsid w:val="4C5C7975"/>
    <w:rsid w:val="4D8F4DA3"/>
    <w:rsid w:val="4F9D4B12"/>
    <w:rsid w:val="523315E2"/>
    <w:rsid w:val="52495C13"/>
    <w:rsid w:val="53D81184"/>
    <w:rsid w:val="58F305F3"/>
    <w:rsid w:val="5932166A"/>
    <w:rsid w:val="5BE77D58"/>
    <w:rsid w:val="5E991CE3"/>
    <w:rsid w:val="5EBF2F56"/>
    <w:rsid w:val="623D4B72"/>
    <w:rsid w:val="63784354"/>
    <w:rsid w:val="64452AE4"/>
    <w:rsid w:val="649C7890"/>
    <w:rsid w:val="672D41FE"/>
    <w:rsid w:val="68472009"/>
    <w:rsid w:val="69F4471F"/>
    <w:rsid w:val="6AC5479A"/>
    <w:rsid w:val="6AE01D49"/>
    <w:rsid w:val="6B813319"/>
    <w:rsid w:val="6C2230E7"/>
    <w:rsid w:val="6C850FDC"/>
    <w:rsid w:val="6CD216BC"/>
    <w:rsid w:val="6EAE1ECA"/>
    <w:rsid w:val="6FA348DB"/>
    <w:rsid w:val="6FC557DF"/>
    <w:rsid w:val="70156513"/>
    <w:rsid w:val="70330290"/>
    <w:rsid w:val="70C64AE8"/>
    <w:rsid w:val="71F56F2D"/>
    <w:rsid w:val="72CD76DC"/>
    <w:rsid w:val="72D06DDE"/>
    <w:rsid w:val="74824662"/>
    <w:rsid w:val="765C25A8"/>
    <w:rsid w:val="77793206"/>
    <w:rsid w:val="79D37596"/>
    <w:rsid w:val="7A034826"/>
    <w:rsid w:val="7BA00A05"/>
    <w:rsid w:val="7C637115"/>
    <w:rsid w:val="7CA02FEF"/>
    <w:rsid w:val="7F1C3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5"/>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6"/>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7"/>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8"/>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29"/>
    <w:qFormat/>
    <w:uiPriority w:val="9"/>
    <w:pPr>
      <w:spacing w:before="200" w:after="80"/>
      <w:ind w:firstLine="0"/>
      <w:outlineLvl w:val="4"/>
    </w:pPr>
    <w:rPr>
      <w:rFonts w:ascii="Cambria" w:hAnsi="Cambria"/>
      <w:color w:val="4F81BD"/>
    </w:rPr>
  </w:style>
  <w:style w:type="paragraph" w:styleId="9">
    <w:name w:val="heading 6"/>
    <w:basedOn w:val="1"/>
    <w:next w:val="1"/>
    <w:link w:val="30"/>
    <w:qFormat/>
    <w:uiPriority w:val="9"/>
    <w:pPr>
      <w:spacing w:before="280" w:after="100"/>
      <w:ind w:firstLine="0"/>
      <w:outlineLvl w:val="5"/>
    </w:pPr>
    <w:rPr>
      <w:rFonts w:ascii="Cambria" w:hAnsi="Cambria"/>
      <w:i/>
      <w:iCs/>
      <w:color w:val="4F81BD"/>
    </w:rPr>
  </w:style>
  <w:style w:type="paragraph" w:styleId="10">
    <w:name w:val="heading 7"/>
    <w:basedOn w:val="1"/>
    <w:next w:val="1"/>
    <w:link w:val="31"/>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2"/>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3"/>
    <w:qFormat/>
    <w:uiPriority w:val="9"/>
    <w:pPr>
      <w:spacing w:before="320" w:after="100"/>
      <w:ind w:firstLine="0"/>
      <w:outlineLvl w:val="8"/>
    </w:pPr>
    <w:rPr>
      <w:rFonts w:ascii="Cambria" w:hAnsi="Cambria"/>
      <w:i/>
      <w:iCs/>
      <w:color w:val="9BBB59"/>
      <w:sz w:val="20"/>
      <w:szCs w:val="20"/>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caption"/>
    <w:basedOn w:val="1"/>
    <w:next w:val="1"/>
    <w:qFormat/>
    <w:uiPriority w:val="35"/>
    <w:rPr>
      <w:b/>
      <w:bCs/>
      <w:sz w:val="18"/>
      <w:szCs w:val="18"/>
    </w:rPr>
  </w:style>
  <w:style w:type="paragraph" w:styleId="14">
    <w:name w:val="Body Text Indent"/>
    <w:basedOn w:val="1"/>
    <w:next w:val="15"/>
    <w:qFormat/>
    <w:uiPriority w:val="99"/>
    <w:pPr>
      <w:ind w:left="420" w:leftChars="200"/>
    </w:pPr>
  </w:style>
  <w:style w:type="paragraph" w:styleId="15">
    <w:name w:val="Body Text First Indent 2"/>
    <w:basedOn w:val="14"/>
    <w:next w:val="1"/>
    <w:qFormat/>
    <w:uiPriority w:val="99"/>
    <w:pPr>
      <w:ind w:firstLine="420"/>
    </w:pPr>
  </w:style>
  <w:style w:type="paragraph" w:styleId="16">
    <w:name w:val="Balloon Text"/>
    <w:basedOn w:val="1"/>
    <w:link w:val="53"/>
    <w:qFormat/>
    <w:uiPriority w:val="99"/>
    <w:rPr>
      <w:sz w:val="18"/>
      <w:szCs w:val="18"/>
    </w:rPr>
  </w:style>
  <w:style w:type="paragraph" w:styleId="17">
    <w:name w:val="footer"/>
    <w:basedOn w:val="1"/>
    <w:link w:val="52"/>
    <w:qFormat/>
    <w:uiPriority w:val="99"/>
    <w:pPr>
      <w:tabs>
        <w:tab w:val="center" w:pos="4153"/>
        <w:tab w:val="right" w:pos="8306"/>
      </w:tabs>
      <w:snapToGrid w:val="0"/>
    </w:pPr>
    <w:rPr>
      <w:sz w:val="18"/>
      <w:szCs w:val="18"/>
    </w:rPr>
  </w:style>
  <w:style w:type="paragraph" w:styleId="18">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35"/>
    <w:qFormat/>
    <w:uiPriority w:val="11"/>
    <w:pPr>
      <w:spacing w:before="200" w:after="900"/>
      <w:ind w:firstLine="0"/>
      <w:jc w:val="right"/>
    </w:pPr>
    <w:rPr>
      <w:i/>
      <w:iCs/>
      <w:sz w:val="24"/>
      <w:szCs w:val="24"/>
    </w:rPr>
  </w:style>
  <w:style w:type="paragraph" w:styleId="20">
    <w:name w:val="Title"/>
    <w:basedOn w:val="1"/>
    <w:next w:val="1"/>
    <w:link w:val="34"/>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3">
    <w:name w:val="Strong"/>
    <w:basedOn w:val="22"/>
    <w:qFormat/>
    <w:uiPriority w:val="22"/>
    <w:rPr>
      <w:b/>
      <w:bCs/>
      <w:spacing w:val="0"/>
    </w:rPr>
  </w:style>
  <w:style w:type="character" w:styleId="24">
    <w:name w:val="Emphasis"/>
    <w:qFormat/>
    <w:uiPriority w:val="20"/>
    <w:rPr>
      <w:b/>
      <w:bCs/>
      <w:i/>
      <w:iCs/>
      <w:color w:val="595959"/>
    </w:rPr>
  </w:style>
  <w:style w:type="character" w:customStyle="1" w:styleId="25">
    <w:name w:val="标题 1 Char"/>
    <w:basedOn w:val="22"/>
    <w:link w:val="4"/>
    <w:qFormat/>
    <w:uiPriority w:val="9"/>
    <w:rPr>
      <w:rFonts w:ascii="Cambria" w:hAnsi="Cambria" w:eastAsia="宋体" w:cs="宋体"/>
      <w:b/>
      <w:bCs/>
      <w:color w:val="376092"/>
      <w:sz w:val="24"/>
      <w:szCs w:val="24"/>
    </w:rPr>
  </w:style>
  <w:style w:type="character" w:customStyle="1" w:styleId="26">
    <w:name w:val="标题 2 Char"/>
    <w:basedOn w:val="22"/>
    <w:link w:val="5"/>
    <w:qFormat/>
    <w:uiPriority w:val="9"/>
    <w:rPr>
      <w:rFonts w:ascii="Cambria" w:hAnsi="Cambria" w:eastAsia="宋体" w:cs="宋体"/>
      <w:color w:val="376092"/>
      <w:sz w:val="24"/>
      <w:szCs w:val="24"/>
    </w:rPr>
  </w:style>
  <w:style w:type="character" w:customStyle="1" w:styleId="27">
    <w:name w:val="标题 3 Char"/>
    <w:basedOn w:val="22"/>
    <w:link w:val="6"/>
    <w:qFormat/>
    <w:uiPriority w:val="9"/>
    <w:rPr>
      <w:rFonts w:ascii="Cambria" w:hAnsi="Cambria" w:eastAsia="宋体" w:cs="宋体"/>
      <w:color w:val="4F81BD"/>
      <w:sz w:val="24"/>
      <w:szCs w:val="24"/>
    </w:rPr>
  </w:style>
  <w:style w:type="character" w:customStyle="1" w:styleId="28">
    <w:name w:val="标题 4 Char"/>
    <w:basedOn w:val="22"/>
    <w:link w:val="7"/>
    <w:qFormat/>
    <w:uiPriority w:val="9"/>
    <w:rPr>
      <w:rFonts w:ascii="Cambria" w:hAnsi="Cambria" w:eastAsia="宋体" w:cs="宋体"/>
      <w:i/>
      <w:iCs/>
      <w:color w:val="4F81BD"/>
      <w:sz w:val="24"/>
      <w:szCs w:val="24"/>
    </w:rPr>
  </w:style>
  <w:style w:type="character" w:customStyle="1" w:styleId="29">
    <w:name w:val="标题 5 Char"/>
    <w:basedOn w:val="22"/>
    <w:link w:val="8"/>
    <w:qFormat/>
    <w:uiPriority w:val="9"/>
    <w:rPr>
      <w:rFonts w:ascii="Cambria" w:hAnsi="Cambria" w:eastAsia="宋体" w:cs="宋体"/>
      <w:color w:val="4F81BD"/>
    </w:rPr>
  </w:style>
  <w:style w:type="character" w:customStyle="1" w:styleId="30">
    <w:name w:val="标题 6 Char"/>
    <w:basedOn w:val="22"/>
    <w:link w:val="9"/>
    <w:qFormat/>
    <w:uiPriority w:val="9"/>
    <w:rPr>
      <w:rFonts w:ascii="Cambria" w:hAnsi="Cambria" w:eastAsia="宋体" w:cs="宋体"/>
      <w:i/>
      <w:iCs/>
      <w:color w:val="4F81BD"/>
    </w:rPr>
  </w:style>
  <w:style w:type="character" w:customStyle="1" w:styleId="31">
    <w:name w:val="标题 7 Char"/>
    <w:basedOn w:val="22"/>
    <w:link w:val="10"/>
    <w:qFormat/>
    <w:uiPriority w:val="9"/>
    <w:rPr>
      <w:rFonts w:ascii="Cambria" w:hAnsi="Cambria" w:eastAsia="宋体" w:cs="宋体"/>
      <w:b/>
      <w:bCs/>
      <w:color w:val="9BBB59"/>
      <w:sz w:val="20"/>
      <w:szCs w:val="20"/>
    </w:rPr>
  </w:style>
  <w:style w:type="character" w:customStyle="1" w:styleId="32">
    <w:name w:val="标题 8 Char"/>
    <w:basedOn w:val="22"/>
    <w:link w:val="11"/>
    <w:qFormat/>
    <w:uiPriority w:val="9"/>
    <w:rPr>
      <w:rFonts w:ascii="Cambria" w:hAnsi="Cambria" w:eastAsia="宋体" w:cs="宋体"/>
      <w:b/>
      <w:bCs/>
      <w:i/>
      <w:iCs/>
      <w:color w:val="9BBB59"/>
      <w:sz w:val="20"/>
      <w:szCs w:val="20"/>
    </w:rPr>
  </w:style>
  <w:style w:type="character" w:customStyle="1" w:styleId="33">
    <w:name w:val="标题 9 Char"/>
    <w:basedOn w:val="22"/>
    <w:link w:val="12"/>
    <w:qFormat/>
    <w:uiPriority w:val="9"/>
    <w:rPr>
      <w:rFonts w:ascii="Cambria" w:hAnsi="Cambria" w:eastAsia="宋体" w:cs="宋体"/>
      <w:i/>
      <w:iCs/>
      <w:color w:val="9BBB59"/>
      <w:sz w:val="20"/>
      <w:szCs w:val="20"/>
    </w:rPr>
  </w:style>
  <w:style w:type="character" w:customStyle="1" w:styleId="34">
    <w:name w:val="标题 Char"/>
    <w:basedOn w:val="22"/>
    <w:link w:val="20"/>
    <w:qFormat/>
    <w:uiPriority w:val="10"/>
    <w:rPr>
      <w:rFonts w:ascii="Cambria" w:hAnsi="Cambria" w:eastAsia="宋体" w:cs="宋体"/>
      <w:i/>
      <w:iCs/>
      <w:color w:val="254061"/>
      <w:sz w:val="60"/>
      <w:szCs w:val="60"/>
    </w:rPr>
  </w:style>
  <w:style w:type="character" w:customStyle="1" w:styleId="35">
    <w:name w:val="副标题 Char"/>
    <w:basedOn w:val="22"/>
    <w:link w:val="19"/>
    <w:qFormat/>
    <w:uiPriority w:val="11"/>
    <w:rPr>
      <w:rFonts w:ascii="Calibri"/>
      <w:i/>
      <w:iCs/>
      <w:sz w:val="24"/>
      <w:szCs w:val="24"/>
    </w:rPr>
  </w:style>
  <w:style w:type="paragraph" w:styleId="36">
    <w:name w:val="No Spacing"/>
    <w:basedOn w:val="1"/>
    <w:link w:val="37"/>
    <w:qFormat/>
    <w:uiPriority w:val="1"/>
    <w:pPr>
      <w:ind w:firstLine="0"/>
    </w:pPr>
  </w:style>
  <w:style w:type="character" w:customStyle="1" w:styleId="37">
    <w:name w:val="无间隔 Char"/>
    <w:basedOn w:val="22"/>
    <w:link w:val="36"/>
    <w:qFormat/>
    <w:uiPriority w:val="1"/>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rFonts w:ascii="Cambria" w:hAnsi="Cambria"/>
      <w:i/>
      <w:iCs/>
      <w:color w:val="595959"/>
    </w:rPr>
  </w:style>
  <w:style w:type="character" w:customStyle="1" w:styleId="40">
    <w:name w:val="引用 Char"/>
    <w:basedOn w:val="22"/>
    <w:link w:val="39"/>
    <w:qFormat/>
    <w:uiPriority w:val="29"/>
    <w:rPr>
      <w:rFonts w:ascii="Cambria" w:hAnsi="Cambria" w:eastAsia="宋体" w:cs="宋体"/>
      <w:i/>
      <w:iCs/>
      <w:color w:val="595959"/>
    </w:rPr>
  </w:style>
  <w:style w:type="paragraph" w:styleId="41">
    <w:name w:val="Intense Quote"/>
    <w:basedOn w:val="1"/>
    <w:next w:val="1"/>
    <w:link w:val="42"/>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2">
    <w:name w:val="明显引用 Char"/>
    <w:basedOn w:val="22"/>
    <w:link w:val="41"/>
    <w:qFormat/>
    <w:uiPriority w:val="30"/>
    <w:rPr>
      <w:rFonts w:ascii="Cambria" w:hAnsi="Cambria" w:eastAsia="宋体" w:cs="宋体"/>
      <w:i/>
      <w:iCs/>
      <w:color w:val="FFFFFF"/>
      <w:sz w:val="24"/>
      <w:szCs w:val="24"/>
      <w:shd w:val="clear" w:color="auto" w:fill="4F81BD"/>
    </w:rPr>
  </w:style>
  <w:style w:type="character" w:customStyle="1" w:styleId="43">
    <w:name w:val="不明显强调1"/>
    <w:qFormat/>
    <w:uiPriority w:val="19"/>
    <w:rPr>
      <w:i/>
      <w:iCs/>
      <w:color w:val="595959"/>
    </w:rPr>
  </w:style>
  <w:style w:type="character" w:customStyle="1" w:styleId="44">
    <w:name w:val="明显强调1"/>
    <w:qFormat/>
    <w:uiPriority w:val="21"/>
    <w:rPr>
      <w:b/>
      <w:bCs/>
      <w:i/>
      <w:iCs/>
      <w:color w:val="4F81BD"/>
      <w:sz w:val="22"/>
      <w:szCs w:val="22"/>
    </w:rPr>
  </w:style>
  <w:style w:type="character" w:customStyle="1" w:styleId="45">
    <w:name w:val="不明显参考1"/>
    <w:qFormat/>
    <w:uiPriority w:val="31"/>
    <w:rPr>
      <w:color w:val="auto"/>
      <w:u w:val="single" w:color="9BBB59"/>
    </w:rPr>
  </w:style>
  <w:style w:type="character" w:customStyle="1" w:styleId="46">
    <w:name w:val="明显参考1"/>
    <w:basedOn w:val="22"/>
    <w:qFormat/>
    <w:uiPriority w:val="32"/>
    <w:rPr>
      <w:b/>
      <w:bCs/>
      <w:color w:val="77933C"/>
      <w:u w:val="single" w:color="9BBB59"/>
    </w:rPr>
  </w:style>
  <w:style w:type="character" w:customStyle="1" w:styleId="47">
    <w:name w:val="书籍标题1"/>
    <w:basedOn w:val="22"/>
    <w:qFormat/>
    <w:uiPriority w:val="33"/>
    <w:rPr>
      <w:rFonts w:ascii="Cambria" w:hAnsi="Cambria" w:eastAsia="宋体" w:cs="宋体"/>
      <w:b/>
      <w:bCs/>
      <w:i/>
      <w:iCs/>
      <w:color w:val="auto"/>
    </w:rPr>
  </w:style>
  <w:style w:type="paragraph" w:customStyle="1" w:styleId="48">
    <w:name w:val="TOC 标题1"/>
    <w:basedOn w:val="4"/>
    <w:next w:val="1"/>
    <w:qFormat/>
    <w:uiPriority w:val="39"/>
    <w:pPr>
      <w:outlineLvl w:val="9"/>
    </w:pPr>
  </w:style>
  <w:style w:type="paragraph" w:customStyle="1" w:styleId="49">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0">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1">
    <w:name w:val="页眉 Char"/>
    <w:basedOn w:val="22"/>
    <w:link w:val="18"/>
    <w:qFormat/>
    <w:uiPriority w:val="99"/>
    <w:rPr>
      <w:sz w:val="18"/>
      <w:szCs w:val="18"/>
    </w:rPr>
  </w:style>
  <w:style w:type="character" w:customStyle="1" w:styleId="52">
    <w:name w:val="页脚 Char"/>
    <w:basedOn w:val="22"/>
    <w:link w:val="17"/>
    <w:qFormat/>
    <w:uiPriority w:val="99"/>
    <w:rPr>
      <w:sz w:val="18"/>
      <w:szCs w:val="18"/>
    </w:rPr>
  </w:style>
  <w:style w:type="character" w:customStyle="1" w:styleId="53">
    <w:name w:val="批注框文本 Char"/>
    <w:basedOn w:val="22"/>
    <w:link w:val="16"/>
    <w:qFormat/>
    <w:uiPriority w:val="99"/>
    <w:rPr>
      <w:sz w:val="18"/>
      <w:szCs w:val="18"/>
      <w:lang w:eastAsia="en-US" w:bidi="en-US"/>
    </w:rPr>
  </w:style>
  <w:style w:type="paragraph" w:customStyle="1" w:styleId="54">
    <w:name w:val="p0"/>
    <w:basedOn w:val="1"/>
    <w:qFormat/>
    <w:uiPriority w:val="0"/>
    <w:pPr>
      <w:ind w:firstLine="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3</Pages>
  <Words>249</Words>
  <Characters>1420</Characters>
  <Lines>11</Lines>
  <Paragraphs>3</Paragraphs>
  <TotalTime>0</TotalTime>
  <ScaleCrop>false</ScaleCrop>
  <LinksUpToDate>false</LinksUpToDate>
  <CharactersWithSpaces>1666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2020-06-19T02:51:00Z</cp:lastPrinted>
  <dcterms:modified xsi:type="dcterms:W3CDTF">2020-07-02T06:23:19Z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