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after="0" w:line="400" w:lineRule="atLeast"/>
        <w:jc w:val="both"/>
        <w:rPr>
          <w:rFonts w:ascii="华文仿宋" w:hAnsi="华文仿宋" w:eastAsia="华文仿宋" w:cs="华文仿宋"/>
          <w:b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附件3                 </w:t>
      </w:r>
    </w:p>
    <w:p>
      <w:pPr>
        <w:pStyle w:val="4"/>
        <w:adjustRightInd w:val="0"/>
        <w:snapToGrid w:val="0"/>
        <w:spacing w:before="0" w:after="0" w:line="240" w:lineRule="atLeast"/>
        <w:rPr>
          <w:rFonts w:ascii="黑体" w:hAnsi="黑体" w:eastAsia="黑体" w:cs="黑体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华容县</w:t>
      </w:r>
      <w:r>
        <w:rPr>
          <w:rFonts w:ascii="黑体" w:hAnsi="黑体" w:eastAsia="黑体" w:cs="黑体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年儿童保健工作考核评分细则</w:t>
      </w:r>
    </w:p>
    <w:p>
      <w:pPr>
        <w:jc w:val="center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（总分100分）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考评单位：                                                     考评时间：                                        考评得分：</w:t>
      </w:r>
    </w:p>
    <w:tbl>
      <w:tblPr>
        <w:tblStyle w:val="5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49"/>
        <w:gridCol w:w="6722"/>
        <w:gridCol w:w="3966"/>
        <w:gridCol w:w="1276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22" w:type="dxa"/>
            <w:vAlign w:val="center"/>
          </w:tcPr>
          <w:p>
            <w:pPr>
              <w:adjustRightInd w:val="0"/>
              <w:snapToGrid w:val="0"/>
              <w:spacing w:line="340" w:lineRule="atLeast"/>
              <w:ind w:left="-99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396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考核评分细则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考核记录</w:t>
            </w: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人员配备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ind w:left="111" w:leftChars="-47" w:hanging="210" w:hangingChars="10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万人配一名专职儿童保健医师。（2分）</w:t>
            </w:r>
          </w:p>
          <w:p>
            <w:pPr>
              <w:adjustRightInd w:val="0"/>
              <w:snapToGrid w:val="0"/>
              <w:spacing w:line="340" w:lineRule="atLeast"/>
              <w:ind w:left="103" w:leftChars="-51" w:hanging="210" w:hanging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儿童保健门诊人员必须持有执业（助理）医师资格证书或执业护士资格证，并每月参加儿童保健工作例会、技术培训，考核合格。（3分）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111" w:leftChars="3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专干未专职扣0.5分；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每少一名儿保专干扣0.5分；随意更换专干，在岗时间少于1年扣2分；无执业资格，每人扣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分；未参加例会培训每人每次扣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22" w:type="dxa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制定儿童保健医师工作职责、护士工作职责。（1分）</w:t>
            </w:r>
          </w:p>
          <w:p>
            <w:pPr>
              <w:adjustRightInd w:val="0"/>
              <w:snapToGrid w:val="0"/>
              <w:spacing w:line="340" w:lineRule="atLeast"/>
              <w:ind w:left="71" w:leftChars="-13" w:hanging="98" w:hangingChars="47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制定儿童保健门诊工作制度、儿童健康档案管理制度、儿童保健手册发放管理制度、新生儿访视工作制度、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岁儿童健康随访工作制度、高危（营养性疾病）儿管理工作制度、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转诊制度、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健康教育工作制度、信息管理工作制度等。（1分）</w:t>
            </w:r>
          </w:p>
          <w:p>
            <w:pPr>
              <w:adjustRightInd w:val="0"/>
              <w:snapToGrid w:val="0"/>
              <w:spacing w:line="340" w:lineRule="atLeast"/>
              <w:ind w:left="71" w:leftChars="-13" w:hanging="98" w:hangingChars="47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3.0-6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岁儿童健康检查流程图、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岁儿童情况统计表、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高危（营养性疾病）儿动态管理一览表等上墙。（1分）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-107" w:leftChars="-51" w:firstLine="105" w:firstLineChars="50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每缺少一项制度、职责、上墙资料扣0.5分。（扣完为止）</w:t>
            </w:r>
          </w:p>
          <w:p>
            <w:pPr>
              <w:widowControl/>
              <w:adjustRightInd w:val="0"/>
              <w:snapToGrid w:val="0"/>
              <w:spacing w:line="340" w:lineRule="atLeast"/>
              <w:ind w:left="-2" w:leftChars="-1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房屋设备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布局区域化，与疾病门诊严格区分。流程合理，挂牌标示。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环境整洁、温馨安全。（2分）</w:t>
            </w:r>
          </w:p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有儿童候检场所，设有候诊坐位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张以上。（2分）</w:t>
            </w:r>
          </w:p>
          <w:p>
            <w:pPr>
              <w:adjustRightInd w:val="0"/>
              <w:snapToGrid w:val="0"/>
              <w:spacing w:line="340" w:lineRule="atLeast"/>
              <w:ind w:left="90" w:leftChars="-51" w:hanging="197" w:hangingChars="94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有相邻的儿保办公室、体检测量室、儿童活动室三间房，使用面积不少于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平方米。（2分）</w:t>
            </w:r>
          </w:p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健康教育室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间（可共用），面积不少于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平方米。（2分）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每项未达要求扣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分。（扣完为止）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00" w:lineRule="atLeast"/>
              <w:ind w:left="-107" w:leftChars="-51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室内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有保暖、通风、空气消毒设备，有流动水洗手池。（1分）</w:t>
            </w:r>
          </w:p>
          <w:p>
            <w:pPr>
              <w:adjustRightInd w:val="0"/>
              <w:snapToGrid w:val="0"/>
              <w:spacing w:line="300" w:lineRule="atLeast"/>
              <w:ind w:left="-107" w:leftChars="-51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诊查桌、小儿诊察床（盖有软垫或床单）。（1分）</w:t>
            </w:r>
          </w:p>
          <w:p>
            <w:pPr>
              <w:adjustRightInd w:val="0"/>
              <w:snapToGrid w:val="0"/>
              <w:spacing w:line="300" w:lineRule="atLeast"/>
              <w:ind w:left="103" w:leftChars="-51" w:hanging="210" w:hanging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新生儿访视包；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体温计、听诊器、手电筒、消毒压舌板、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75%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酒精、消毒棉签等。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（1分）</w:t>
            </w:r>
          </w:p>
          <w:p>
            <w:pPr>
              <w:adjustRightInd w:val="0"/>
              <w:snapToGrid w:val="0"/>
              <w:spacing w:line="300" w:lineRule="atLeast"/>
              <w:ind w:left="103" w:leftChars="-51" w:hanging="210" w:hanging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标准儿童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体重计、卧式量床、身高计、儿童血压计、阅片灯箱、标准软皮尺、营养评价设备，标准对数视力表（灯光箱）等。（2分）</w:t>
            </w:r>
          </w:p>
          <w:p>
            <w:pPr>
              <w:adjustRightInd w:val="0"/>
              <w:snapToGrid w:val="0"/>
              <w:spacing w:line="300" w:lineRule="atLeast"/>
              <w:ind w:left="-2" w:leftChars="-51" w:hanging="105" w:hangingChars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儿童玩具（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种以上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）、电视、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DVD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机、投影仪。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（1分）</w:t>
            </w:r>
          </w:p>
          <w:p>
            <w:pPr>
              <w:adjustRightInd w:val="0"/>
              <w:snapToGrid w:val="0"/>
              <w:spacing w:line="300" w:lineRule="atLeast"/>
              <w:ind w:left="103" w:leftChars="-51" w:hanging="210" w:hangingChars="100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有开展血、尿常规检查、肝功能检查、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光机（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500mA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以上）影像检查设备等。设施、设备处于功能状态，使用正常。（2分）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每缺一项设备或设施扣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adjustRightInd w:val="0"/>
              <w:snapToGrid w:val="0"/>
              <w:spacing w:line="340" w:lineRule="atLeast"/>
              <w:ind w:left="210" w:hanging="210" w:hangingChars="100"/>
              <w:rPr>
                <w:rFonts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、每项设备或设施不能正常使用扣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分。（扣完为止）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新生儿</w:t>
            </w:r>
          </w:p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访视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新生儿家庭访视率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(正常新生儿出院后七天内由乡村医生进行访视）；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高危新生儿在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出院报告后三天内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由儿保专干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进行访视，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并酌情增加访视次数。访视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服务内容符合要求，技术操作规范，记录完整。（5分）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随机抽查10名新生儿情况      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未进行新生儿访视每人扣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分。高危新生儿专干未增加访视次数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每人每次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扣0.5分。</w:t>
            </w:r>
          </w:p>
          <w:p>
            <w:pPr>
              <w:adjustRightInd w:val="0"/>
              <w:snapToGrid w:val="0"/>
              <w:spacing w:line="340" w:lineRule="atLeast"/>
              <w:ind w:left="-107" w:leftChars="-51" w:firstLine="105" w:firstLineChars="5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新生儿访视记录不全，缺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项扣0.5分。   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岁儿童健康管理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22" w:type="dxa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ind w:right="-21" w:rightChars="-1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儿童管理花名册、流入、流出儿童花名册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、新生儿花名册、儿童保健手册发放登记册、分月分村应检儿童花名册（均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电子版）。（3分）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ind w:right="-21" w:rightChars="-1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每月发放应检儿童通知单（乡村医生回执单）及专干电话通知记录。（3分）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对辖区内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岁儿童进行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系统管理，3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岁以下儿童系统管理率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≥85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儿童保健管理率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≥95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岁儿童建档率</w:t>
            </w:r>
            <w:r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～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岁儿童血红蛋白检测率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,眼保健覆盖率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正确使用生长发育监测图。（15分）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儿保医师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接诊儿童体格测量、健康检查操作规范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规范使用儿保手册，填写完整准确，无空项漏项。（3分）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儿童健康管理电子档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错项、空项。辅助检查单齐全。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0-6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岁儿童数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岁以下儿童数新生儿数）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-107" w:leftChars="-51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相关资料每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缺一项扣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340" w:lineRule="atLeast"/>
              <w:ind w:leftChars="-51" w:hanging="107" w:hangingChars="51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儿保手册发放率、健康建档率、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岁以下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儿童系统管理率、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儿童保健管理率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岁儿童血红蛋白检测率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眼保健覆盖率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每下降5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adjustRightInd w:val="0"/>
              <w:snapToGrid w:val="0"/>
              <w:spacing w:line="340" w:lineRule="atLeast"/>
              <w:ind w:left="103" w:leftChars="-51" w:hanging="210" w:hangingChars="10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儿保专干接诊儿童、测量操作，接诊服务不规范、不全面每项扣1分。（现场技能操作考核）</w:t>
            </w:r>
          </w:p>
          <w:p>
            <w:pPr>
              <w:adjustRightInd w:val="0"/>
              <w:snapToGrid w:val="0"/>
              <w:spacing w:line="340" w:lineRule="atLeast"/>
              <w:ind w:left="103" w:leftChars="-51" w:hanging="210" w:hangingChars="10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儿童健康管理电子档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错项、空项每处扣0.2分。辅助检查单每缺一次扣0.5分。生长发育监测图绘制不规范每处扣0.5分。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086" w:type="dxa"/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340" w:lineRule="atLeast"/>
              <w:ind w:firstLine="0" w:firstLineChars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高危儿、营养性疾病儿管理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ind w:left="-105" w:leftChars="-50" w:right="-105" w:rightChars="-50" w:firstLine="105" w:firstLineChars="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ind w:left="-2" w:leftChars="-5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建立高危儿、营养性疾病动态管理一览表、登记表，专案管理册等，每月进行随访，发生率不低于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转诊率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48"/>
              </w:tabs>
              <w:adjustRightInd w:val="0"/>
              <w:snapToGrid w:val="0"/>
              <w:spacing w:line="340" w:lineRule="atLeast"/>
              <w:ind w:left="-108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高危儿、营养性疾病登记表，专案管理册每种扣1分，未进行专案管理每例扣2分、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随访不规范每例每次扣0.5分。</w:t>
            </w:r>
          </w:p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发生率低于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％扣1分，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发生率低于4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％扣2分，转诊率每下降10％扣1分。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086" w:type="dxa"/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340" w:lineRule="atLeast"/>
              <w:ind w:firstLine="0" w:firstLineChars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托幼机构管理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ind w:left="-105" w:leftChars="-50" w:right="-105" w:rightChars="-50" w:firstLine="105" w:firstLineChars="5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托幼机构卫生保健工作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工作计划、托幼机构卫生保健工作培训及托幼机构卫生保健工作督查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（2分）</w:t>
            </w:r>
          </w:p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开展了托幼机构内的幼儿和幼师体检，幼师体检率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≥90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％，幼儿体检率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≥80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％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全辖区内托幼机构数，其中公办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，民办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，幼师数，已体检发证数，幼儿数已进行体检数</w:t>
            </w:r>
            <w:r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210" w:hanging="210" w:hangingChars="100"/>
              <w:jc w:val="left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每缺一项资料扣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幼师体检率、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幼儿体检率每下降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76" w:type="dxa"/>
          </w:tcPr>
          <w:p>
            <w:pPr>
              <w:pStyle w:val="8"/>
              <w:widowControl/>
              <w:adjustRightInd w:val="0"/>
              <w:snapToGrid w:val="0"/>
              <w:spacing w:line="340" w:lineRule="atLeast"/>
              <w:ind w:firstLine="0" w:firstLineChars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健康教育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22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年度有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儿童意外伤害预防工作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工作计划，开展儿童家长急救知识培训，印制儿童意外伤害预防宣传资料。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（2分）</w:t>
            </w:r>
          </w:p>
          <w:p>
            <w:pPr>
              <w:pStyle w:val="8"/>
              <w:widowControl/>
              <w:adjustRightInd w:val="0"/>
              <w:snapToGrid w:val="0"/>
              <w:spacing w:line="340" w:lineRule="atLeast"/>
              <w:ind w:firstLine="0" w:firstLineChars="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宣传窗、宣传架。健康讲座每年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期、宣传窗每年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折页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种。家长科学育儿知识知晓率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。（2分）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无相关宣传场所、宣传资料每项扣0.5分；科学育儿知识知晓率＜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85%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信息报表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22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各种儿童保健信息报表（月报、季报、年报）按妇幼信息管理的要求上报，无逻辑错误。（4分）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年度儿保工作计划：半年、年终工作总结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。（2分）</w:t>
            </w:r>
          </w:p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五岁以下儿童死亡及时上报并认真做好调查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写出调查报告。五岁以下儿童死亡率控制在7‰以下。（2分）</w:t>
            </w:r>
          </w:p>
        </w:tc>
        <w:tc>
          <w:tcPr>
            <w:tcW w:w="3966" w:type="dxa"/>
          </w:tcPr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报表不规范每次扣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分，上报不及时每次扣1分，逻辑错误每处扣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2分。</w:t>
            </w:r>
          </w:p>
          <w:p>
            <w:pPr>
              <w:adjustRightInd w:val="0"/>
              <w:snapToGrid w:val="0"/>
              <w:spacing w:line="340" w:lineRule="atLeast"/>
              <w:ind w:left="103" w:leftChars="-1" w:hanging="105" w:hangingChars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死亡调查报告内容不准确，不规范每例扣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分，死亡率超标扣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dxa"/>
          </w:tcPr>
          <w:p>
            <w:pPr>
              <w:adjustRightInd w:val="0"/>
              <w:snapToGrid w:val="0"/>
              <w:spacing w:line="340" w:lineRule="atLeast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ElDSZa8AQAAZQ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3583"/>
    <w:multiLevelType w:val="singleLevel"/>
    <w:tmpl w:val="0D83358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2" w:firstLine="0"/>
      </w:pPr>
    </w:lvl>
  </w:abstractNum>
  <w:abstractNum w:abstractNumId="1">
    <w:nsid w:val="596C0424"/>
    <w:multiLevelType w:val="singleLevel"/>
    <w:tmpl w:val="596C042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5374"/>
    <w:rsid w:val="0006550D"/>
    <w:rsid w:val="000867FB"/>
    <w:rsid w:val="00327FC0"/>
    <w:rsid w:val="0038554C"/>
    <w:rsid w:val="006671ED"/>
    <w:rsid w:val="00681CAB"/>
    <w:rsid w:val="007911D4"/>
    <w:rsid w:val="00903518"/>
    <w:rsid w:val="00D06E99"/>
    <w:rsid w:val="00D7465F"/>
    <w:rsid w:val="00E77396"/>
    <w:rsid w:val="00E96277"/>
    <w:rsid w:val="00ED0DA2"/>
    <w:rsid w:val="00F12EAD"/>
    <w:rsid w:val="038D73FB"/>
    <w:rsid w:val="04603F1B"/>
    <w:rsid w:val="06E75513"/>
    <w:rsid w:val="08A425EE"/>
    <w:rsid w:val="0AE83694"/>
    <w:rsid w:val="0CB939A6"/>
    <w:rsid w:val="0CBD3BED"/>
    <w:rsid w:val="11FC058C"/>
    <w:rsid w:val="135F7425"/>
    <w:rsid w:val="15AA3F39"/>
    <w:rsid w:val="17AF44D9"/>
    <w:rsid w:val="17FD5C23"/>
    <w:rsid w:val="197E5837"/>
    <w:rsid w:val="1D445036"/>
    <w:rsid w:val="1E9D013C"/>
    <w:rsid w:val="25A658E2"/>
    <w:rsid w:val="265C0F43"/>
    <w:rsid w:val="270C796A"/>
    <w:rsid w:val="273A2C84"/>
    <w:rsid w:val="28F3018A"/>
    <w:rsid w:val="29585374"/>
    <w:rsid w:val="2AF04191"/>
    <w:rsid w:val="2CE87234"/>
    <w:rsid w:val="2E080724"/>
    <w:rsid w:val="2F77178B"/>
    <w:rsid w:val="3075043E"/>
    <w:rsid w:val="373E1647"/>
    <w:rsid w:val="394508CC"/>
    <w:rsid w:val="3DB61A2E"/>
    <w:rsid w:val="3F374ACC"/>
    <w:rsid w:val="41AC61BB"/>
    <w:rsid w:val="42091576"/>
    <w:rsid w:val="45C44F4C"/>
    <w:rsid w:val="45D005B0"/>
    <w:rsid w:val="46371435"/>
    <w:rsid w:val="474D1ABC"/>
    <w:rsid w:val="475210A5"/>
    <w:rsid w:val="49CD6D02"/>
    <w:rsid w:val="4B3F1C48"/>
    <w:rsid w:val="4CAA45EC"/>
    <w:rsid w:val="4DE054BC"/>
    <w:rsid w:val="53E46656"/>
    <w:rsid w:val="542E704B"/>
    <w:rsid w:val="5508036E"/>
    <w:rsid w:val="560D5A0C"/>
    <w:rsid w:val="56494278"/>
    <w:rsid w:val="57073218"/>
    <w:rsid w:val="571B6538"/>
    <w:rsid w:val="587513A9"/>
    <w:rsid w:val="598009FA"/>
    <w:rsid w:val="5B026C85"/>
    <w:rsid w:val="5B8021B4"/>
    <w:rsid w:val="5C9D7156"/>
    <w:rsid w:val="62EC342B"/>
    <w:rsid w:val="65A31A11"/>
    <w:rsid w:val="65EA78B2"/>
    <w:rsid w:val="66ED78CA"/>
    <w:rsid w:val="69702A3D"/>
    <w:rsid w:val="6B0C5B36"/>
    <w:rsid w:val="6C0325AF"/>
    <w:rsid w:val="6C224F94"/>
    <w:rsid w:val="705954C2"/>
    <w:rsid w:val="73087272"/>
    <w:rsid w:val="79192844"/>
    <w:rsid w:val="7A0E76D4"/>
    <w:rsid w:val="7A402A96"/>
    <w:rsid w:val="7A572398"/>
    <w:rsid w:val="7B1965A7"/>
    <w:rsid w:val="7B4D1A2B"/>
    <w:rsid w:val="7B732327"/>
    <w:rsid w:val="7BEF5AC2"/>
    <w:rsid w:val="7C055679"/>
    <w:rsid w:val="7CB72343"/>
    <w:rsid w:val="7CE4689C"/>
    <w:rsid w:val="7DBA1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379</Words>
  <Characters>2162</Characters>
  <Lines>18</Lines>
  <Paragraphs>5</Paragraphs>
  <TotalTime>22</TotalTime>
  <ScaleCrop>false</ScaleCrop>
  <LinksUpToDate>false</LinksUpToDate>
  <CharactersWithSpaces>2536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2020-03-03T02:40:00Z</dcterms:created>
  <dc:creator>Administrator</dc:creator>
  <cp:lastModifiedBy>朝斯夕斯</cp:lastModifiedBy>
  <cp:lastPrinted>2020-04-13T02:23:00Z</cp:lastPrinted>
  <dcterms:modified xsi:type="dcterms:W3CDTF">2020-05-28T03:19:12Z</dcterms:modified>
  <dc:title>华容县2018年儿童保健工作考核评分细则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