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pStyle w:val="4"/>
      </w:pPr>
    </w:p>
    <w:p>
      <w:pPr>
        <w:jc w:val="center"/>
        <w:rPr>
          <w:rFonts w:ascii="黑体" w:hAnsi="黑体" w:eastAsia="黑体" w:cs="黑体"/>
          <w:sz w:val="44"/>
          <w:szCs w:val="44"/>
        </w:rPr>
      </w:pPr>
    </w:p>
    <w:p>
      <w:pPr>
        <w:pStyle w:val="4"/>
      </w:pPr>
    </w:p>
    <w:p>
      <w:pPr>
        <w:pStyle w:val="4"/>
      </w:pPr>
    </w:p>
    <w:p>
      <w:pPr>
        <w:keepNext w:val="0"/>
        <w:keepLines w:val="0"/>
        <w:pageBreakBefore w:val="0"/>
        <w:widowControl w:val="0"/>
        <w:kinsoku/>
        <w:wordWrap/>
        <w:overflowPunct/>
        <w:topLinePunct w:val="0"/>
        <w:autoSpaceDE/>
        <w:autoSpaceDN/>
        <w:bidi w:val="0"/>
        <w:adjustRightInd/>
        <w:snapToGrid/>
        <w:spacing w:after="157" w:afterLines="50" w:line="480" w:lineRule="exact"/>
        <w:jc w:val="right"/>
        <w:textAlignment w:val="auto"/>
        <w:outlineLvl w:val="9"/>
        <w:rPr>
          <w:rFonts w:ascii="Times New Roman" w:hAnsi="Times New Roman" w:eastAsia="仿宋"/>
          <w:color w:val="000000"/>
          <w:sz w:val="32"/>
          <w:szCs w:val="32"/>
        </w:rPr>
      </w:pPr>
      <w:r>
        <w:rPr>
          <w:rFonts w:hint="eastAsia" w:ascii="Times New Roman" w:hAnsi="Times New Roman" w:eastAsia="仿宋"/>
          <w:color w:val="000000"/>
          <w:sz w:val="32"/>
          <w:szCs w:val="32"/>
          <w:lang w:val="en-US" w:eastAsia="zh-CN"/>
        </w:rPr>
        <w:t>华</w:t>
      </w:r>
      <w:r>
        <w:rPr>
          <w:rFonts w:ascii="Times New Roman" w:hAnsi="Times New Roman" w:eastAsia="仿宋"/>
          <w:color w:val="000000"/>
          <w:sz w:val="32"/>
          <w:szCs w:val="32"/>
        </w:rPr>
        <w:t>环评 [20</w:t>
      </w:r>
      <w:r>
        <w:rPr>
          <w:rFonts w:hint="eastAsia" w:ascii="Times New Roman" w:hAnsi="Times New Roman" w:eastAsia="仿宋"/>
          <w:color w:val="000000"/>
          <w:sz w:val="32"/>
          <w:szCs w:val="32"/>
        </w:rPr>
        <w:t>20</w:t>
      </w:r>
      <w:r>
        <w:rPr>
          <w:rFonts w:ascii="Times New Roman" w:hAnsi="Times New Roman" w:eastAsia="仿宋"/>
          <w:color w:val="000000"/>
          <w:sz w:val="32"/>
          <w:szCs w:val="32"/>
        </w:rPr>
        <w:t>]</w:t>
      </w:r>
      <w:r>
        <w:rPr>
          <w:rFonts w:hint="eastAsia" w:ascii="Times New Roman" w:hAnsi="Times New Roman" w:eastAsia="仿宋"/>
          <w:color w:val="000000" w:themeColor="text1"/>
          <w:sz w:val="32"/>
          <w:szCs w:val="32"/>
          <w:lang w:val="en-US" w:eastAsia="zh-CN"/>
          <w14:textFill>
            <w14:solidFill>
              <w14:schemeClr w14:val="tx1"/>
            </w14:solidFill>
          </w14:textFill>
        </w:rPr>
        <w:t>05</w:t>
      </w:r>
      <w:r>
        <w:rPr>
          <w:rFonts w:ascii="Times New Roman" w:hAnsi="Times New Roman" w:eastAsia="仿宋"/>
          <w:color w:val="000000"/>
          <w:sz w:val="32"/>
          <w:szCs w:val="32"/>
        </w:rPr>
        <w:t>号</w:t>
      </w:r>
    </w:p>
    <w:p>
      <w:pPr>
        <w:jc w:val="center"/>
        <w:rPr>
          <w:rFonts w:ascii="黑体" w:hAnsi="黑体" w:eastAsia="黑体" w:cs="黑体"/>
          <w:sz w:val="44"/>
          <w:szCs w:val="44"/>
        </w:rPr>
      </w:pPr>
      <w:r>
        <w:rPr>
          <w:rFonts w:hint="eastAsia" w:ascii="黑体" w:hAnsi="黑体" w:eastAsia="黑体" w:cs="黑体"/>
          <w:sz w:val="44"/>
          <w:szCs w:val="44"/>
        </w:rPr>
        <w:t>关于湖南插旗菜业有限公司</w:t>
      </w:r>
      <w:r>
        <w:rPr>
          <w:rFonts w:hint="eastAsia" w:ascii="黑体" w:hAnsi="黑体" w:eastAsia="黑体" w:cs="黑体"/>
          <w:sz w:val="44"/>
          <w:szCs w:val="44"/>
          <w:lang w:val="en-US" w:eastAsia="zh-CN"/>
        </w:rPr>
        <w:t>年产3万吨酱腌菜整治项目</w:t>
      </w:r>
      <w:r>
        <w:rPr>
          <w:rFonts w:hint="eastAsia" w:ascii="黑体" w:hAnsi="黑体" w:eastAsia="黑体" w:cs="黑体"/>
          <w:sz w:val="44"/>
          <w:szCs w:val="44"/>
        </w:rPr>
        <w:t>环境影响报告</w:t>
      </w:r>
      <w:r>
        <w:rPr>
          <w:rFonts w:hint="eastAsia" w:ascii="黑体" w:hAnsi="黑体" w:eastAsia="黑体" w:cs="黑体"/>
          <w:sz w:val="44"/>
          <w:szCs w:val="44"/>
          <w:lang w:val="en-US" w:eastAsia="zh-CN"/>
        </w:rPr>
        <w:t>表</w:t>
      </w:r>
      <w:r>
        <w:rPr>
          <w:rFonts w:hint="eastAsia" w:ascii="黑体" w:hAnsi="黑体" w:eastAsia="黑体" w:cs="黑体"/>
          <w:sz w:val="44"/>
          <w:szCs w:val="44"/>
        </w:rPr>
        <w:t>的批</w:t>
      </w:r>
      <w:r>
        <w:rPr>
          <w:rFonts w:hint="eastAsia" w:ascii="黑体" w:hAnsi="黑体" w:eastAsia="黑体" w:cs="黑体"/>
          <w:sz w:val="44"/>
          <w:szCs w:val="44"/>
          <w:lang w:val="zh-CN"/>
        </w:rPr>
        <w:t>复</w:t>
      </w:r>
    </w:p>
    <w:p>
      <w:pPr>
        <w:autoSpaceDE w:val="0"/>
        <w:autoSpaceDN w:val="0"/>
        <w:adjustRightInd w:val="0"/>
        <w:spacing w:line="560" w:lineRule="exact"/>
        <w:rPr>
          <w:rFonts w:ascii="仿宋" w:hAnsi="仿宋" w:eastAsia="仿宋" w:cs="仿宋"/>
          <w:color w:val="000000"/>
          <w:sz w:val="32"/>
          <w:szCs w:val="32"/>
        </w:rPr>
      </w:pPr>
    </w:p>
    <w:p>
      <w:pPr>
        <w:adjustRightInd w:val="0"/>
        <w:snapToGrid w:val="0"/>
        <w:spacing w:line="620" w:lineRule="exact"/>
        <w:rPr>
          <w:rFonts w:ascii="仿宋" w:hAnsi="仿宋" w:eastAsia="仿宋" w:cs="仿宋"/>
          <w:sz w:val="32"/>
          <w:szCs w:val="32"/>
        </w:rPr>
      </w:pPr>
      <w:r>
        <w:rPr>
          <w:rFonts w:hint="eastAsia" w:ascii="仿宋" w:hAnsi="仿宋" w:eastAsia="仿宋" w:cs="仿宋"/>
          <w:sz w:val="32"/>
          <w:szCs w:val="32"/>
        </w:rPr>
        <w:t>湖南插旗菜业有限公司 ：</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你单位提交的《湖南插旗菜业有限公司年产3万吨酱腌菜整治项目环境影响报告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（报批稿）》、《建设项目环评审批告知承诺制承诺书》以及等相关资料已收悉，经研究，现批复如下：</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一、根据《关于统筹做好疫情防控和经济社会发展生态环保工作的指导意见》（环综合〔2020〕13号）</w:t>
      </w:r>
      <w:r>
        <w:rPr>
          <w:rFonts w:hint="eastAsia" w:ascii="仿宋" w:hAnsi="仿宋" w:eastAsia="仿宋" w:cs="仿宋"/>
          <w:sz w:val="32"/>
          <w:szCs w:val="32"/>
          <w:lang w:val="en-US" w:eastAsia="zh-CN"/>
        </w:rPr>
        <w:t>和《湖南省建设项目环境影响评价文件告知承诺制审批管理办法》</w:t>
      </w:r>
      <w:r>
        <w:rPr>
          <w:rFonts w:hint="eastAsia" w:ascii="仿宋" w:hAnsi="仿宋" w:eastAsia="仿宋" w:cs="仿宋"/>
          <w:sz w:val="32"/>
          <w:szCs w:val="32"/>
        </w:rPr>
        <w:t>的相关规定，</w:t>
      </w:r>
      <w:r>
        <w:rPr>
          <w:rFonts w:hint="eastAsia" w:ascii="仿宋" w:hAnsi="仿宋" w:eastAsia="仿宋" w:cs="仿宋"/>
          <w:sz w:val="32"/>
          <w:szCs w:val="32"/>
          <w:lang w:val="en-US" w:eastAsia="zh-CN"/>
        </w:rPr>
        <w:t>年产3万吨酱腌菜整治项目符合《环境影响评价审批正面清单》环评告知承诺制审批改革试点范围“食品制造业中16项其他食品制造（手工制作和单纯分装除外）</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我局同意</w:t>
      </w:r>
      <w:r>
        <w:rPr>
          <w:rFonts w:hint="eastAsia" w:ascii="仿宋" w:hAnsi="仿宋" w:eastAsia="仿宋" w:cs="仿宋"/>
          <w:sz w:val="32"/>
          <w:szCs w:val="32"/>
          <w:lang w:val="en-US" w:eastAsia="zh-CN"/>
        </w:rPr>
        <w:t>项目</w:t>
      </w:r>
      <w:r>
        <w:rPr>
          <w:rFonts w:hint="eastAsia" w:ascii="仿宋" w:hAnsi="仿宋" w:eastAsia="仿宋" w:cs="仿宋"/>
          <w:sz w:val="32"/>
          <w:szCs w:val="32"/>
        </w:rPr>
        <w:t>建设。</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二、你</w:t>
      </w:r>
      <w:r>
        <w:rPr>
          <w:rFonts w:hint="eastAsia" w:ascii="仿宋" w:hAnsi="仿宋" w:eastAsia="仿宋" w:cs="仿宋"/>
          <w:sz w:val="32"/>
          <w:szCs w:val="32"/>
          <w:lang w:val="en-US" w:eastAsia="zh-CN"/>
        </w:rPr>
        <w:t>单位</w:t>
      </w:r>
      <w:r>
        <w:rPr>
          <w:rFonts w:hint="eastAsia" w:ascii="仿宋" w:hAnsi="仿宋" w:eastAsia="仿宋" w:cs="仿宋"/>
          <w:sz w:val="32"/>
          <w:szCs w:val="32"/>
        </w:rPr>
        <w:t>应切实履行企业主体责任，认真落实各项生态环境保护和环境风险防范措施，严格执行环保“三同时”和排污许可制度，确保各项污染物满足国家、地方规定的标准和总量控制要求。项目竣工后，应按规定开展环境保护验收和排污许可工作，手续齐全后方可正式投入生产。</w:t>
      </w:r>
    </w:p>
    <w:p>
      <w:pPr>
        <w:adjustRightInd w:val="0"/>
        <w:snapToGrid w:val="0"/>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三、环境影响报告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经告知承诺制审批后，建设项目的性质、规模、地点、采用的生产工艺或者防治污染、防止生态破坏的措施发生重大变动的，须重新报批环境影响报告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lang w:eastAsia="zh-CN"/>
        </w:rPr>
        <w:t>建设项目的日常环境监管工作由岳阳市华容生态环境保护综合行政执法大队负责。你</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应在收到本批复后7个工作日内，将批复及批准的环评报告文本送至岳阳市华容生态环境保护综合行政执法大队备案。</w:t>
      </w:r>
    </w:p>
    <w:p>
      <w:pPr>
        <w:adjustRightInd w:val="0"/>
        <w:snapToGrid w:val="0"/>
        <w:spacing w:line="620" w:lineRule="exact"/>
        <w:ind w:firstLine="640"/>
        <w:rPr>
          <w:rFonts w:ascii="仿宋" w:hAnsi="仿宋" w:eastAsia="仿宋" w:cs="仿宋"/>
          <w:sz w:val="32"/>
          <w:szCs w:val="32"/>
        </w:rPr>
      </w:pPr>
      <w:r>
        <w:rPr>
          <w:rFonts w:hint="eastAsia" w:ascii="仿宋" w:hAnsi="仿宋" w:eastAsia="仿宋" w:cs="仿宋"/>
          <w:sz w:val="32"/>
          <w:szCs w:val="32"/>
        </w:rPr>
        <w:t>附件：《建设项目环评审批告知承诺制承诺书》</w:t>
      </w:r>
    </w:p>
    <w:p>
      <w:pPr>
        <w:pStyle w:val="4"/>
        <w:rPr>
          <w:rFonts w:ascii="仿宋" w:hAnsi="仿宋" w:eastAsia="仿宋" w:cs="仿宋"/>
          <w:sz w:val="32"/>
          <w:szCs w:val="32"/>
        </w:rPr>
      </w:pPr>
    </w:p>
    <w:p>
      <w:pPr>
        <w:pStyle w:val="4"/>
        <w:rPr>
          <w:rFonts w:ascii="仿宋" w:hAnsi="仿宋" w:eastAsia="仿宋" w:cs="仿宋"/>
          <w:sz w:val="32"/>
          <w:szCs w:val="32"/>
        </w:rPr>
      </w:pPr>
    </w:p>
    <w:p>
      <w:pPr>
        <w:spacing w:line="560" w:lineRule="exact"/>
        <w:rPr>
          <w:rFonts w:ascii="仿宋" w:hAnsi="仿宋" w:eastAsia="仿宋" w:cs="仿宋"/>
          <w:kern w:val="10"/>
          <w:sz w:val="32"/>
          <w:szCs w:val="32"/>
        </w:rPr>
      </w:pPr>
    </w:p>
    <w:p>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rPr>
        <w:t xml:space="preserve">                        岳阳市生态环境局</w:t>
      </w:r>
      <w:r>
        <w:rPr>
          <w:rFonts w:hint="eastAsia" w:ascii="仿宋" w:hAnsi="仿宋" w:eastAsia="仿宋" w:cs="仿宋"/>
          <w:sz w:val="32"/>
          <w:szCs w:val="32"/>
          <w:lang w:val="en-US" w:eastAsia="zh-CN"/>
        </w:rPr>
        <w:t>华容分局</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222222"/>
          <w:sz w:val="32"/>
          <w:szCs w:val="32"/>
          <w:shd w:val="clear" w:color="auto" w:fill="FFFFFF"/>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color w:val="222222"/>
          <w:sz w:val="32"/>
          <w:szCs w:val="32"/>
          <w:shd w:val="clear" w:color="auto" w:fill="FFFFFF"/>
          <w:lang w:val="en-US" w:eastAsia="zh-CN"/>
        </w:rPr>
        <w:t>27</w:t>
      </w:r>
      <w:r>
        <w:rPr>
          <w:rFonts w:hint="eastAsia" w:ascii="仿宋" w:hAnsi="仿宋" w:eastAsia="仿宋" w:cs="仿宋"/>
          <w:sz w:val="32"/>
          <w:szCs w:val="32"/>
        </w:rPr>
        <w:t>日</w:t>
      </w:r>
    </w:p>
    <w:p/>
    <w:p>
      <w:pPr>
        <w:pStyle w:val="4"/>
      </w:pPr>
    </w:p>
    <w:p>
      <w:pPr>
        <w:pStyle w:val="4"/>
      </w:pPr>
    </w:p>
    <w:p>
      <w:pPr>
        <w:pStyle w:val="4"/>
      </w:pPr>
    </w:p>
    <w:p>
      <w:pPr>
        <w:pStyle w:val="4"/>
      </w:pPr>
    </w:p>
    <w:p>
      <w:pPr>
        <w:pStyle w:val="4"/>
      </w:pPr>
      <w:bookmarkStart w:id="0" w:name="_GoBack"/>
      <w:bookmarkEnd w:id="0"/>
    </w:p>
    <w:p>
      <w:pPr>
        <w:pStyle w:val="4"/>
      </w:pPr>
    </w:p>
    <w:p>
      <w:pPr>
        <w:pStyle w:val="4"/>
      </w:pPr>
    </w:p>
    <w:p>
      <w:pPr>
        <w:pStyle w:val="4"/>
      </w:pPr>
    </w:p>
    <w:p>
      <w:pPr>
        <w:pStyle w:val="4"/>
      </w:pPr>
    </w:p>
    <w:p>
      <w:pPr>
        <w:pStyle w:val="4"/>
      </w:pPr>
    </w:p>
    <w:tbl>
      <w:tblPr>
        <w:tblStyle w:val="8"/>
        <w:tblpPr w:leftFromText="180" w:rightFromText="180" w:vertAnchor="text" w:horzAnchor="margin" w:tblpY="66"/>
        <w:tblW w:w="903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039" w:type="dxa"/>
          </w:tcPr>
          <w:p>
            <w:pPr>
              <w:spacing w:after="156" w:afterLines="50" w:line="500" w:lineRule="exact"/>
              <w:ind w:left="862" w:hanging="862" w:hangingChars="280"/>
              <w:jc w:val="left"/>
              <w:rPr>
                <w:rFonts w:ascii="仿宋" w:hAnsi="仿宋" w:eastAsia="仿宋"/>
                <w:spacing w:val="-6"/>
                <w:kern w:val="0"/>
                <w:sz w:val="32"/>
                <w:szCs w:val="32"/>
              </w:rPr>
            </w:pPr>
            <w:r>
              <w:rPr>
                <w:rFonts w:hint="eastAsia" w:ascii="仿宋" w:hAnsi="仿宋" w:eastAsia="仿宋"/>
                <w:spacing w:val="-6"/>
                <w:kern w:val="0"/>
                <w:sz w:val="32"/>
                <w:szCs w:val="32"/>
              </w:rPr>
              <w:t>抄送：</w:t>
            </w:r>
            <w:r>
              <w:rPr>
                <w:rFonts w:hint="eastAsia" w:ascii="Times New Roman" w:hAnsi="Times New Roman" w:eastAsia="仿宋"/>
                <w:sz w:val="32"/>
                <w:szCs w:val="32"/>
              </w:rPr>
              <w:t>湖南天瑶环境技术有限公司</w:t>
            </w:r>
          </w:p>
        </w:tc>
      </w:tr>
    </w:tbl>
    <w:p>
      <w:pPr>
        <w:pStyle w:val="4"/>
      </w:pPr>
    </w:p>
    <w:sectPr>
      <w:footerReference r:id="rId3" w:type="default"/>
      <w:pgSz w:w="11906" w:h="16838"/>
      <w:pgMar w:top="1440" w:right="1644"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50510"/>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68"/>
    <w:rsid w:val="002F38C8"/>
    <w:rsid w:val="00456695"/>
    <w:rsid w:val="004F105B"/>
    <w:rsid w:val="005012C2"/>
    <w:rsid w:val="0062206B"/>
    <w:rsid w:val="007B4768"/>
    <w:rsid w:val="009748DA"/>
    <w:rsid w:val="00D53969"/>
    <w:rsid w:val="00E0278A"/>
    <w:rsid w:val="00E15FC2"/>
    <w:rsid w:val="00EC4BCD"/>
    <w:rsid w:val="00EE67A8"/>
    <w:rsid w:val="00FC3CD8"/>
    <w:rsid w:val="01DB12AB"/>
    <w:rsid w:val="03331D40"/>
    <w:rsid w:val="056F3DAB"/>
    <w:rsid w:val="05D60B88"/>
    <w:rsid w:val="06887D21"/>
    <w:rsid w:val="08E60BA5"/>
    <w:rsid w:val="08FD78DE"/>
    <w:rsid w:val="0AFB400E"/>
    <w:rsid w:val="1091144E"/>
    <w:rsid w:val="10F766C0"/>
    <w:rsid w:val="121E3CAE"/>
    <w:rsid w:val="18835414"/>
    <w:rsid w:val="18DB2349"/>
    <w:rsid w:val="1C986F63"/>
    <w:rsid w:val="22BF060C"/>
    <w:rsid w:val="23EC7694"/>
    <w:rsid w:val="25B41C7C"/>
    <w:rsid w:val="25B91BFF"/>
    <w:rsid w:val="26594BE6"/>
    <w:rsid w:val="270E0A55"/>
    <w:rsid w:val="2A036144"/>
    <w:rsid w:val="2A4C5344"/>
    <w:rsid w:val="2AE47342"/>
    <w:rsid w:val="2CC31EFC"/>
    <w:rsid w:val="2DD0372E"/>
    <w:rsid w:val="30617AC7"/>
    <w:rsid w:val="30937C0A"/>
    <w:rsid w:val="30E37D54"/>
    <w:rsid w:val="31C53A99"/>
    <w:rsid w:val="3400458B"/>
    <w:rsid w:val="3475643F"/>
    <w:rsid w:val="35E42AB0"/>
    <w:rsid w:val="36A250E3"/>
    <w:rsid w:val="394B5661"/>
    <w:rsid w:val="3B0F73A0"/>
    <w:rsid w:val="3B2B557D"/>
    <w:rsid w:val="3DD310E1"/>
    <w:rsid w:val="408F67CB"/>
    <w:rsid w:val="41AE38DA"/>
    <w:rsid w:val="41C26C3B"/>
    <w:rsid w:val="43380495"/>
    <w:rsid w:val="43AA7F71"/>
    <w:rsid w:val="440F5626"/>
    <w:rsid w:val="44E24BD5"/>
    <w:rsid w:val="453143BE"/>
    <w:rsid w:val="46245B16"/>
    <w:rsid w:val="47605EEC"/>
    <w:rsid w:val="483F52A0"/>
    <w:rsid w:val="4A1526B3"/>
    <w:rsid w:val="4B4F5D3B"/>
    <w:rsid w:val="4C7042EE"/>
    <w:rsid w:val="4DBE04CF"/>
    <w:rsid w:val="4E405C52"/>
    <w:rsid w:val="4EE35481"/>
    <w:rsid w:val="54635BF7"/>
    <w:rsid w:val="55A93FFE"/>
    <w:rsid w:val="56A330B3"/>
    <w:rsid w:val="5AB36141"/>
    <w:rsid w:val="5B393055"/>
    <w:rsid w:val="5BF95D7E"/>
    <w:rsid w:val="5D6057A9"/>
    <w:rsid w:val="609471EC"/>
    <w:rsid w:val="639A5A9B"/>
    <w:rsid w:val="682E6076"/>
    <w:rsid w:val="6DF410E8"/>
    <w:rsid w:val="70A8176F"/>
    <w:rsid w:val="70FD246B"/>
    <w:rsid w:val="71C21ADC"/>
    <w:rsid w:val="71D66FDB"/>
    <w:rsid w:val="73D520EE"/>
    <w:rsid w:val="751737E2"/>
    <w:rsid w:val="758C50E4"/>
    <w:rsid w:val="76792864"/>
    <w:rsid w:val="78F6515E"/>
    <w:rsid w:val="7E57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4">
    <w:name w:val="Body Text"/>
    <w:basedOn w:val="1"/>
    <w:link w:val="10"/>
    <w:unhideWhenUsed/>
    <w:qFormat/>
    <w:uiPriority w:val="99"/>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正文文本 Char"/>
    <w:basedOn w:val="9"/>
    <w:link w:val="4"/>
    <w:qFormat/>
    <w:uiPriority w:val="99"/>
    <w:rPr>
      <w:szCs w:val="24"/>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Words>
  <Characters>591</Characters>
  <Lines>4</Lines>
  <Paragraphs>1</Paragraphs>
  <TotalTime>7</TotalTime>
  <ScaleCrop>false</ScaleCrop>
  <LinksUpToDate>false</LinksUpToDate>
  <CharactersWithSpaces>693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2020-03-16T02:37:00Z</dcterms:created>
  <dc:creator>王志勤</dc:creator>
  <cp:lastModifiedBy>Administrator</cp:lastModifiedBy>
  <cp:lastPrinted>2020-05-21T02:50:00Z</cp:lastPrinted>
  <dcterms:modified xsi:type="dcterms:W3CDTF">2020-05-27T01:54:54Z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