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04</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华润雪花啤酒（湖南）有限公司14t/h天然气</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eastAsia="zh-CN" w:bidi="ar-SA"/>
        </w:rPr>
        <w:t>锅炉改造项目环境影响报告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ind w:left="360" w:firstLine="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eastAsia="zh-CN"/>
        </w:rPr>
        <w:t>华润雪花啤酒（湖南）有限公司：</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你单位《关于华润雪花啤酒（湖南）有限公司14t/h天然气锅炉改造项目申请办理环评审批手续的报告》</w:t>
      </w:r>
      <w:r>
        <w:rPr>
          <w:rFonts w:ascii="仿宋" w:hAnsi="仿宋" w:eastAsia="仿宋"/>
          <w:sz w:val="32"/>
          <w:szCs w:val="32"/>
          <w:lang w:eastAsia="zh-CN"/>
        </w:rPr>
        <w:t>及有关附件收悉。经研究，批复如下：</w:t>
      </w:r>
    </w:p>
    <w:p>
      <w:pPr>
        <w:widowControl w:val="0"/>
        <w:spacing w:line="520" w:lineRule="exact"/>
        <w:ind w:firstLine="640" w:firstLineChars="200"/>
        <w:jc w:val="both"/>
        <w:rPr>
          <w:rFonts w:hint="eastAsia" w:ascii="仿宋" w:hAnsi="仿宋" w:eastAsia="仿宋"/>
          <w:sz w:val="36"/>
          <w:szCs w:val="36"/>
          <w:lang w:eastAsia="zh-CN"/>
        </w:rPr>
      </w:pPr>
      <w:r>
        <w:rPr>
          <w:rFonts w:hint="eastAsia" w:ascii="仿宋" w:hAnsi="仿宋" w:eastAsia="仿宋"/>
          <w:sz w:val="32"/>
          <w:szCs w:val="32"/>
          <w:lang w:eastAsia="zh-CN"/>
        </w:rPr>
        <w:t>一、</w:t>
      </w:r>
      <w:r>
        <w:rPr>
          <w:rFonts w:hint="eastAsia" w:ascii="仿宋" w:hAnsi="仿宋" w:eastAsia="仿宋"/>
          <w:sz w:val="32"/>
          <w:szCs w:val="32"/>
          <w:lang w:val="en-US" w:eastAsia="zh-CN"/>
        </w:rPr>
        <w:t>华润雪花啤酒（湖南）有限公司总用地面积133334m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，总建筑面积26520m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，已建有原料处理及糖化车间、发酵过滤车间、包装车间3栋、原料库、成品仓库3栋、纸箱库、瓶箱堆场、柴油库、煤棚、配电室、办公楼、锅炉房、空压站、制冷间、净水站、CO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站及给排水、电、绿化、消防、供电、道路等配套设施。本技改项目在现有锅炉房10t/h的锅炉车间内改造现有建筑设施，新增3台4t/h（1台备用）、2台2t/h（1台备用）的天然气锅炉及配套设施，本项目建成后需拆除现有15t/h的燃煤锅炉及配套烟气处理系统、排气筒及煤棚等相关设施。</w:t>
      </w:r>
      <w:r>
        <w:rPr>
          <w:rFonts w:hint="eastAsia" w:ascii="仿宋" w:hAnsi="仿宋" w:eastAsia="仿宋"/>
          <w:sz w:val="32"/>
          <w:szCs w:val="32"/>
          <w:lang w:eastAsia="zh-CN"/>
        </w:rPr>
        <w:t>本次环评仅含厂区燃煤锅炉改天然气锅炉部分，厂区其他生产工艺及建筑设施见原环评。</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根据</w:t>
      </w:r>
      <w:bookmarkStart w:id="2" w:name="OLE_LINK16"/>
      <w:r>
        <w:rPr>
          <w:rFonts w:hint="eastAsia" w:ascii="仿宋" w:hAnsi="仿宋" w:eastAsia="仿宋"/>
          <w:sz w:val="32"/>
          <w:szCs w:val="32"/>
          <w:lang w:val="en-US" w:eastAsia="zh-CN"/>
        </w:rPr>
        <w:t>江西景瑞祥环保科技有限公司</w:t>
      </w:r>
      <w:r>
        <w:rPr>
          <w:rFonts w:hint="eastAsia" w:ascii="仿宋" w:hAnsi="仿宋" w:eastAsia="仿宋"/>
          <w:sz w:val="32"/>
          <w:szCs w:val="32"/>
          <w:lang w:eastAsia="zh-CN"/>
        </w:rPr>
        <w:t>编制的《华润雪花啤酒（湖南）有限公司14t/h天然气锅炉改造项目环境影响报告表（报批稿）》</w:t>
      </w:r>
      <w:bookmarkEnd w:id="2"/>
      <w:r>
        <w:rPr>
          <w:rFonts w:ascii="仿宋" w:hAnsi="仿宋" w:eastAsia="仿宋"/>
          <w:sz w:val="32"/>
          <w:szCs w:val="32"/>
          <w:lang w:eastAsia="zh-CN"/>
        </w:rPr>
        <w:t>基本内容、结论、专家评审意见，从环境保护角度考虑，</w:t>
      </w:r>
      <w:r>
        <w:rPr>
          <w:rFonts w:hint="eastAsia" w:ascii="仿宋" w:hAnsi="仿宋" w:eastAsia="仿宋"/>
          <w:sz w:val="32"/>
          <w:szCs w:val="32"/>
          <w:lang w:eastAsia="zh-CN"/>
        </w:rPr>
        <w:t>我局原则同意你公司环境影响报告表中所列建设项目的性质、规模、工艺、地点和环境保护对策措施</w:t>
      </w:r>
      <w:r>
        <w:rPr>
          <w:rFonts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1、落实“以新带老”的要求，解决现有环境问题。现有项目设施设备拆除前应妥善处理，不得随意丢弃。后期建设若生产工艺、生产规模等发生重大变化，需向生态环境主管部门另行环评手续。</w:t>
      </w:r>
    </w:p>
    <w:p>
      <w:pPr>
        <w:widowControl w:val="0"/>
        <w:spacing w:line="520" w:lineRule="exact"/>
        <w:ind w:firstLine="640" w:firstLineChars="200"/>
        <w:jc w:val="both"/>
        <w:rPr>
          <w:rFonts w:ascii="仿宋" w:hAnsi="仿宋" w:eastAsia="仿宋"/>
          <w:color w:val="000000"/>
          <w:sz w:val="32"/>
          <w:szCs w:val="32"/>
          <w:lang w:eastAsia="zh-CN"/>
        </w:rPr>
      </w:pPr>
      <w:r>
        <w:rPr>
          <w:rFonts w:hint="eastAsia" w:ascii="仿宋" w:hAnsi="仿宋" w:eastAsia="仿宋"/>
          <w:sz w:val="32"/>
          <w:szCs w:val="32"/>
          <w:lang w:eastAsia="zh-CN"/>
        </w:rPr>
        <w:t>2、</w:t>
      </w:r>
      <w:bookmarkStart w:id="3" w:name="OLE_LINK3"/>
      <w:bookmarkStart w:id="4" w:name="OLE_LINK18"/>
      <w:r>
        <w:rPr>
          <w:rFonts w:hint="eastAsia" w:ascii="仿宋" w:hAnsi="仿宋" w:eastAsia="仿宋"/>
          <w:color w:val="000000"/>
          <w:sz w:val="32"/>
          <w:szCs w:val="32"/>
          <w:lang w:eastAsia="zh-CN"/>
        </w:rPr>
        <w:t>加强水污染防治措施。严格按照“雨污分流、清污分流、污污分流”的原则规范建设院内雨水及污水管网。</w:t>
      </w:r>
      <w:r>
        <w:rPr>
          <w:rFonts w:hint="eastAsia" w:ascii="仿宋" w:hAnsi="仿宋" w:eastAsia="仿宋"/>
          <w:color w:val="000000"/>
          <w:sz w:val="32"/>
          <w:szCs w:val="32"/>
          <w:lang w:val="en-US" w:eastAsia="zh-CN"/>
        </w:rPr>
        <w:t>锅炉排污水及软水箱再生废水冷却后进入厂区现有污水处理站处理满足《啤酒工业污染物排放标准》（GB19821-2005）后排入华容河。</w:t>
      </w:r>
    </w:p>
    <w:p>
      <w:pPr>
        <w:spacing w:line="52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3</w:t>
      </w:r>
      <w:r>
        <w:rPr>
          <w:rFonts w:ascii="仿宋" w:hAnsi="仿宋" w:eastAsia="仿宋"/>
          <w:color w:val="000000"/>
          <w:sz w:val="32"/>
          <w:szCs w:val="32"/>
          <w:lang w:eastAsia="zh-CN"/>
        </w:rPr>
        <w:t>、</w:t>
      </w:r>
      <w:r>
        <w:rPr>
          <w:rFonts w:hint="eastAsia" w:ascii="仿宋" w:hAnsi="仿宋" w:eastAsia="仿宋"/>
          <w:color w:val="000000"/>
          <w:sz w:val="32"/>
          <w:szCs w:val="32"/>
          <w:lang w:eastAsia="zh-CN"/>
        </w:rPr>
        <w:t>加强大气污染治理。项目采取清洁能源天然气作为燃料，天然气锅炉均配套低氮燃烧器，最终经1根15m内径为0.6m的排气筒高空排放。</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4</w:t>
      </w:r>
      <w:r>
        <w:rPr>
          <w:rFonts w:ascii="仿宋" w:hAnsi="仿宋" w:eastAsia="仿宋"/>
          <w:sz w:val="32"/>
          <w:szCs w:val="32"/>
          <w:lang w:eastAsia="zh-CN"/>
        </w:rPr>
        <w:t>、噪声污染防治工作。项目设备均安装在室内，并对设备安装减震基础。产生的噪声经车间的屏蔽作用和距离衰减，厂界噪声达到《工业企业厂界环境噪声排放标准（GB12348-2008）》中</w:t>
      </w:r>
      <w:r>
        <w:rPr>
          <w:rFonts w:hint="eastAsia" w:ascii="仿宋" w:hAnsi="仿宋" w:eastAsia="仿宋"/>
          <w:sz w:val="32"/>
          <w:szCs w:val="32"/>
          <w:lang w:eastAsia="zh-CN"/>
        </w:rPr>
        <w:t>2</w:t>
      </w:r>
      <w:r>
        <w:rPr>
          <w:rFonts w:ascii="仿宋" w:hAnsi="仿宋" w:eastAsia="仿宋"/>
          <w:sz w:val="32"/>
          <w:szCs w:val="32"/>
          <w:lang w:eastAsia="zh-CN"/>
        </w:rPr>
        <w:t>类</w:t>
      </w:r>
      <w:r>
        <w:rPr>
          <w:rFonts w:hint="eastAsia" w:ascii="仿宋" w:hAnsi="仿宋" w:eastAsia="仿宋"/>
          <w:sz w:val="32"/>
          <w:szCs w:val="32"/>
          <w:lang w:eastAsia="zh-CN"/>
        </w:rPr>
        <w:t>标准。</w:t>
      </w:r>
    </w:p>
    <w:p>
      <w:p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ascii="仿宋" w:hAnsi="仿宋" w:eastAsia="仿宋"/>
          <w:sz w:val="32"/>
          <w:szCs w:val="32"/>
          <w:lang w:eastAsia="zh-CN"/>
        </w:rPr>
        <w:t>、固体废物</w:t>
      </w:r>
      <w:r>
        <w:rPr>
          <w:rFonts w:ascii="仿宋" w:hAnsi="仿宋" w:eastAsia="仿宋"/>
          <w:color w:val="000000"/>
          <w:sz w:val="32"/>
          <w:szCs w:val="32"/>
          <w:lang w:eastAsia="zh-CN"/>
        </w:rPr>
        <w:t>防治工作。</w:t>
      </w:r>
      <w:r>
        <w:rPr>
          <w:rFonts w:hint="eastAsia" w:ascii="仿宋" w:hAnsi="仿宋" w:eastAsia="仿宋"/>
          <w:sz w:val="32"/>
          <w:szCs w:val="32"/>
          <w:lang w:val="en-US" w:eastAsia="zh-CN"/>
        </w:rPr>
        <w:t>按“减量化、资源化、无害化”的原则，落实好各类固体废物的收集、处置措施。严格按《危险废物贮存污染控制标准（GB18597-2001）》及2013年修改单相关要求，规范设置临时贮存场所。危险废物废离子交换树脂</w:t>
      </w:r>
      <w:r>
        <w:rPr>
          <w:rFonts w:hint="eastAsia" w:ascii="仿宋" w:hAnsi="仿宋" w:eastAsia="仿宋"/>
          <w:color w:val="000000"/>
          <w:sz w:val="32"/>
          <w:szCs w:val="32"/>
        </w:rPr>
        <w:t>等危险废物</w:t>
      </w:r>
      <w:r>
        <w:rPr>
          <w:rFonts w:hint="eastAsia" w:ascii="仿宋" w:hAnsi="仿宋" w:eastAsia="仿宋"/>
          <w:color w:val="000000"/>
          <w:sz w:val="32"/>
          <w:szCs w:val="32"/>
          <w:lang w:eastAsia="zh-CN"/>
        </w:rPr>
        <w:t>经妥善收集交由</w:t>
      </w:r>
      <w:r>
        <w:rPr>
          <w:rFonts w:hint="eastAsia" w:ascii="仿宋" w:hAnsi="仿宋" w:eastAsia="仿宋"/>
          <w:sz w:val="32"/>
          <w:szCs w:val="32"/>
          <w:lang w:val="en-US" w:eastAsia="zh-CN"/>
        </w:rPr>
        <w:t>有资质的单位安全处置，</w:t>
      </w:r>
      <w:r>
        <w:rPr>
          <w:rFonts w:hint="eastAsia" w:ascii="仿宋" w:hAnsi="仿宋" w:eastAsia="仿宋"/>
          <w:color w:val="000000"/>
          <w:sz w:val="32"/>
          <w:szCs w:val="32"/>
        </w:rPr>
        <w:t>并执行转移联单制度</w:t>
      </w:r>
      <w:r>
        <w:rPr>
          <w:rFonts w:hint="eastAsia" w:ascii="仿宋" w:hAnsi="仿宋" w:eastAsia="仿宋"/>
          <w:sz w:val="32"/>
          <w:szCs w:val="32"/>
          <w:lang w:val="en-US" w:eastAsia="zh-CN"/>
        </w:rPr>
        <w:t>。</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6</w:t>
      </w:r>
      <w:r>
        <w:rPr>
          <w:rFonts w:ascii="仿宋" w:hAnsi="仿宋" w:eastAsia="仿宋"/>
          <w:sz w:val="32"/>
          <w:szCs w:val="32"/>
          <w:lang w:eastAsia="zh-CN"/>
        </w:rPr>
        <w:t>、</w:t>
      </w:r>
      <w:r>
        <w:rPr>
          <w:rFonts w:hint="eastAsia" w:ascii="仿宋" w:hAnsi="仿宋" w:eastAsia="仿宋"/>
          <w:sz w:val="32"/>
          <w:szCs w:val="32"/>
          <w:lang w:val="en-US" w:eastAsia="zh-CN"/>
        </w:rPr>
        <w:t>加强营运期风险防范。落实各项风险防范措施，制定科学有效的应急预案事故处理预案，建立健全应急组织实施体系，增强事故防范意识。</w:t>
      </w:r>
    </w:p>
    <w:p>
      <w:p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7</w:t>
      </w:r>
      <w:r>
        <w:rPr>
          <w:rFonts w:ascii="仿宋" w:hAnsi="仿宋" w:eastAsia="仿宋"/>
          <w:sz w:val="32"/>
          <w:szCs w:val="32"/>
          <w:lang w:eastAsia="zh-CN"/>
        </w:rPr>
        <w:t>、</w:t>
      </w:r>
      <w:r>
        <w:rPr>
          <w:rFonts w:hint="eastAsia" w:ascii="仿宋" w:hAnsi="仿宋" w:eastAsia="仿宋"/>
          <w:sz w:val="32"/>
          <w:szCs w:val="32"/>
          <w:lang w:eastAsia="zh-CN"/>
        </w:rPr>
        <w:t>加强环境管理，建立健全污染防治设施运行管理台帐，设专门的环保机构及环保人员，确保各项污染防治设施的正常运行，各类污染物稳定达标排放。</w:t>
      </w:r>
    </w:p>
    <w:bookmarkEnd w:id="3"/>
    <w:bookmarkEnd w:id="4"/>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spacing w:line="520" w:lineRule="exact"/>
        <w:ind w:firstLine="640" w:firstLineChars="200"/>
        <w:jc w:val="both"/>
        <w:rPr>
          <w:rFonts w:hint="eastAsia" w:ascii="仿宋" w:hAnsi="仿宋" w:eastAsia="仿宋"/>
          <w:sz w:val="32"/>
          <w:szCs w:val="32"/>
          <w:lang w:eastAsia="zh-CN"/>
        </w:rPr>
      </w:pPr>
      <w:bookmarkStart w:id="5" w:name="_GoBack"/>
      <w:bookmarkEnd w:id="5"/>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spacing w:line="520" w:lineRule="exact"/>
        <w:ind w:firstLine="5280" w:firstLineChars="1650"/>
        <w:jc w:val="both"/>
        <w:rPr>
          <w:rFonts w:ascii="仿宋" w:hAnsi="仿宋" w:eastAsia="仿宋"/>
          <w:sz w:val="32"/>
          <w:szCs w:val="32"/>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w:t>
      </w:r>
      <w:r>
        <w:rPr>
          <w:rFonts w:hint="eastAsia" w:ascii="仿宋" w:hAnsi="仿宋" w:eastAsia="仿宋"/>
          <w:sz w:val="32"/>
          <w:szCs w:val="32"/>
          <w:lang w:val="en-US" w:eastAsia="zh-CN"/>
        </w:rPr>
        <w:t>4</w:t>
      </w:r>
      <w:r>
        <w:rPr>
          <w:rFonts w:ascii="仿宋" w:hAnsi="仿宋" w:eastAsia="仿宋"/>
          <w:sz w:val="32"/>
          <w:szCs w:val="32"/>
          <w:lang w:eastAsia="zh-CN"/>
        </w:rPr>
        <w:t>月</w:t>
      </w:r>
      <w:r>
        <w:rPr>
          <w:rFonts w:hint="eastAsia" w:ascii="仿宋" w:hAnsi="仿宋" w:eastAsia="仿宋"/>
          <w:sz w:val="32"/>
          <w:szCs w:val="32"/>
          <w:lang w:val="en-US" w:eastAsia="zh-CN"/>
        </w:rPr>
        <w:t>27</w:t>
      </w:r>
      <w:r>
        <w:rPr>
          <w:rFonts w:ascii="仿宋" w:hAnsi="仿宋" w:eastAsia="仿宋"/>
          <w:sz w:val="32"/>
          <w:szCs w:val="32"/>
          <w:lang w:eastAsia="zh-CN"/>
        </w:rPr>
        <w:t>日</w:t>
      </w:r>
    </w:p>
    <w:p>
      <w:pPr>
        <w:spacing w:line="520" w:lineRule="exact"/>
        <w:ind w:firstLine="5440" w:firstLineChars="1700"/>
        <w:jc w:val="both"/>
        <w:rPr>
          <w:rFonts w:ascii="仿宋" w:hAnsi="仿宋" w:eastAsia="仿宋"/>
          <w:sz w:val="32"/>
          <w:szCs w:val="32"/>
          <w:lang w:eastAsia="zh-CN"/>
        </w:rPr>
      </w:pPr>
    </w:p>
    <w:p>
      <w:pPr>
        <w:spacing w:line="520" w:lineRule="exact"/>
        <w:ind w:firstLine="5440" w:firstLineChars="1700"/>
        <w:jc w:val="both"/>
        <w:rPr>
          <w:rFonts w:ascii="仿宋" w:hAnsi="仿宋" w:eastAsia="仿宋"/>
          <w:sz w:val="32"/>
          <w:szCs w:val="32"/>
          <w:lang w:eastAsia="zh-CN"/>
        </w:rPr>
      </w:pPr>
    </w:p>
    <w:p>
      <w:pPr>
        <w:spacing w:line="520" w:lineRule="exact"/>
        <w:ind w:firstLine="5440" w:firstLineChars="1700"/>
        <w:jc w:val="both"/>
        <w:rPr>
          <w:rFonts w:ascii="仿宋" w:hAnsi="仿宋" w:eastAsia="仿宋"/>
          <w:sz w:val="32"/>
          <w:szCs w:val="32"/>
          <w:lang w:eastAsia="zh-CN"/>
        </w:rPr>
      </w:pPr>
    </w:p>
    <w:p>
      <w:pPr>
        <w:pStyle w:val="2"/>
        <w:rPr>
          <w:rFonts w:ascii="仿宋" w:hAnsi="仿宋" w:eastAsia="仿宋"/>
          <w:sz w:val="32"/>
          <w:szCs w:val="32"/>
          <w:lang w:eastAsia="zh-CN"/>
        </w:rPr>
      </w:pPr>
    </w:p>
    <w:p>
      <w:pPr>
        <w:ind w:left="0" w:leftChars="0" w:firstLine="0" w:firstLineChars="0"/>
        <w:rPr>
          <w:rFonts w:ascii="仿宋" w:hAnsi="仿宋" w:eastAsia="仿宋"/>
          <w:sz w:val="32"/>
          <w:szCs w:val="32"/>
          <w:lang w:eastAsia="zh-CN"/>
        </w:rPr>
      </w:pPr>
    </w:p>
    <w:tbl>
      <w:tblPr>
        <w:tblStyle w:val="22"/>
        <w:tblpPr w:leftFromText="180" w:rightFromText="180" w:vertAnchor="text" w:horzAnchor="page" w:tblpX="1900" w:tblpY="280"/>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829" w:hanging="828" w:hangingChars="259"/>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江西景瑞祥环保科技有限公司</w:t>
            </w:r>
          </w:p>
        </w:tc>
      </w:tr>
    </w:tbl>
    <w:p>
      <w:pPr>
        <w:pStyle w:val="2"/>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3</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303B7E"/>
    <w:rsid w:val="004F0446"/>
    <w:rsid w:val="00680217"/>
    <w:rsid w:val="00A751E9"/>
    <w:rsid w:val="00DF34C0"/>
    <w:rsid w:val="00E305B0"/>
    <w:rsid w:val="015E2352"/>
    <w:rsid w:val="030F5D48"/>
    <w:rsid w:val="04FC7225"/>
    <w:rsid w:val="055927EB"/>
    <w:rsid w:val="0577127F"/>
    <w:rsid w:val="05D32D7D"/>
    <w:rsid w:val="06485613"/>
    <w:rsid w:val="07D00092"/>
    <w:rsid w:val="08BE5DE5"/>
    <w:rsid w:val="0AAC7209"/>
    <w:rsid w:val="0C7B4F4A"/>
    <w:rsid w:val="126B75A1"/>
    <w:rsid w:val="12AD6D1E"/>
    <w:rsid w:val="13151EDD"/>
    <w:rsid w:val="1791017D"/>
    <w:rsid w:val="18467D23"/>
    <w:rsid w:val="1934374F"/>
    <w:rsid w:val="1A3E03B3"/>
    <w:rsid w:val="1B69490D"/>
    <w:rsid w:val="1CF31FFA"/>
    <w:rsid w:val="1D3F233A"/>
    <w:rsid w:val="1DB82B67"/>
    <w:rsid w:val="1DE16A2D"/>
    <w:rsid w:val="1E5142F1"/>
    <w:rsid w:val="1E742D0F"/>
    <w:rsid w:val="1EC2302D"/>
    <w:rsid w:val="20CD0914"/>
    <w:rsid w:val="21443D99"/>
    <w:rsid w:val="23961356"/>
    <w:rsid w:val="251003ED"/>
    <w:rsid w:val="2546427C"/>
    <w:rsid w:val="25661477"/>
    <w:rsid w:val="27EC3DA6"/>
    <w:rsid w:val="29EF27C5"/>
    <w:rsid w:val="2A2E7D7C"/>
    <w:rsid w:val="2CD73F2F"/>
    <w:rsid w:val="2E091795"/>
    <w:rsid w:val="2E853DFF"/>
    <w:rsid w:val="2EDD4448"/>
    <w:rsid w:val="30A242C0"/>
    <w:rsid w:val="31691448"/>
    <w:rsid w:val="33120DFC"/>
    <w:rsid w:val="3358441A"/>
    <w:rsid w:val="33C8571E"/>
    <w:rsid w:val="33D81101"/>
    <w:rsid w:val="3645474C"/>
    <w:rsid w:val="369D6A7A"/>
    <w:rsid w:val="36EF248B"/>
    <w:rsid w:val="376F6FFD"/>
    <w:rsid w:val="37C95479"/>
    <w:rsid w:val="3B1A7659"/>
    <w:rsid w:val="3B342E13"/>
    <w:rsid w:val="3D394CE7"/>
    <w:rsid w:val="4078021F"/>
    <w:rsid w:val="433E7E95"/>
    <w:rsid w:val="440515CF"/>
    <w:rsid w:val="449854CC"/>
    <w:rsid w:val="45B56B44"/>
    <w:rsid w:val="461C402D"/>
    <w:rsid w:val="46A50D87"/>
    <w:rsid w:val="46CF0191"/>
    <w:rsid w:val="48263FE6"/>
    <w:rsid w:val="499045AD"/>
    <w:rsid w:val="4A1359DE"/>
    <w:rsid w:val="4AED164A"/>
    <w:rsid w:val="4B3623B0"/>
    <w:rsid w:val="4BAC0E59"/>
    <w:rsid w:val="4C376E29"/>
    <w:rsid w:val="4D8F4DA3"/>
    <w:rsid w:val="4DC22511"/>
    <w:rsid w:val="4E417180"/>
    <w:rsid w:val="53320D8A"/>
    <w:rsid w:val="557F3EA4"/>
    <w:rsid w:val="56A00A1C"/>
    <w:rsid w:val="57D01406"/>
    <w:rsid w:val="58A32094"/>
    <w:rsid w:val="5BA567CD"/>
    <w:rsid w:val="5BE77D58"/>
    <w:rsid w:val="5C971F21"/>
    <w:rsid w:val="60FE44EB"/>
    <w:rsid w:val="62E74A7F"/>
    <w:rsid w:val="63044559"/>
    <w:rsid w:val="637264E3"/>
    <w:rsid w:val="63784354"/>
    <w:rsid w:val="64452AE4"/>
    <w:rsid w:val="649C7890"/>
    <w:rsid w:val="658173C8"/>
    <w:rsid w:val="67FF4957"/>
    <w:rsid w:val="6AC5479A"/>
    <w:rsid w:val="6AE01D49"/>
    <w:rsid w:val="6B813319"/>
    <w:rsid w:val="6CD12683"/>
    <w:rsid w:val="6E5D732F"/>
    <w:rsid w:val="6F7F15DF"/>
    <w:rsid w:val="71E31AE7"/>
    <w:rsid w:val="73B17DA8"/>
    <w:rsid w:val="77D70E43"/>
    <w:rsid w:val="77DE1E11"/>
    <w:rsid w:val="798551AB"/>
    <w:rsid w:val="79D37596"/>
    <w:rsid w:val="7A034826"/>
    <w:rsid w:val="7CD01E3F"/>
    <w:rsid w:val="7DAF74C2"/>
    <w:rsid w:val="7DB30E9A"/>
    <w:rsid w:val="7F3A0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27"/>
    <w:qFormat/>
    <w:uiPriority w:val="9"/>
    <w:pPr>
      <w:spacing w:before="200" w:after="80"/>
      <w:ind w:firstLine="0"/>
      <w:outlineLvl w:val="4"/>
    </w:pPr>
    <w:rPr>
      <w:rFonts w:ascii="Cambria" w:hAnsi="Cambria"/>
      <w:color w:val="4F81BD"/>
    </w:rPr>
  </w:style>
  <w:style w:type="paragraph" w:styleId="9">
    <w:name w:val="heading 6"/>
    <w:basedOn w:val="1"/>
    <w:next w:val="1"/>
    <w:link w:val="28"/>
    <w:qFormat/>
    <w:uiPriority w:val="9"/>
    <w:pPr>
      <w:spacing w:before="280" w:after="100"/>
      <w:ind w:firstLine="0"/>
      <w:outlineLvl w:val="5"/>
    </w:pPr>
    <w:rPr>
      <w:rFonts w:ascii="Cambria" w:hAnsi="Cambria"/>
      <w:i/>
      <w:iCs/>
      <w:color w:val="4F81BD"/>
    </w:rPr>
  </w:style>
  <w:style w:type="paragraph" w:styleId="10">
    <w:name w:val="heading 7"/>
    <w:basedOn w:val="1"/>
    <w:next w:val="1"/>
    <w:link w:val="2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1"/>
    <w:qFormat/>
    <w:uiPriority w:val="9"/>
    <w:pPr>
      <w:spacing w:before="320" w:after="100"/>
      <w:ind w:firstLine="0"/>
      <w:outlineLvl w:val="8"/>
    </w:pPr>
    <w:rPr>
      <w:rFonts w:ascii="Cambria" w:hAnsi="Cambria"/>
      <w:i/>
      <w:iCs/>
      <w:color w:val="9BBB59"/>
      <w:sz w:val="20"/>
      <w:szCs w:val="20"/>
    </w:rPr>
  </w:style>
  <w:style w:type="character" w:default="1" w:styleId="19">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alloon Text"/>
    <w:basedOn w:val="1"/>
    <w:link w:val="51"/>
    <w:qFormat/>
    <w:uiPriority w:val="99"/>
    <w:rPr>
      <w:sz w:val="18"/>
      <w:szCs w:val="18"/>
    </w:rPr>
  </w:style>
  <w:style w:type="paragraph" w:styleId="15">
    <w:name w:val="footer"/>
    <w:basedOn w:val="1"/>
    <w:link w:val="50"/>
    <w:qFormat/>
    <w:uiPriority w:val="99"/>
    <w:pPr>
      <w:tabs>
        <w:tab w:val="center" w:pos="4153"/>
        <w:tab w:val="right" w:pos="8306"/>
      </w:tabs>
      <w:snapToGrid w:val="0"/>
    </w:pPr>
    <w:rPr>
      <w:sz w:val="18"/>
      <w:szCs w:val="18"/>
    </w:rPr>
  </w:style>
  <w:style w:type="paragraph" w:styleId="16">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11"/>
    <w:pPr>
      <w:spacing w:before="200" w:after="900"/>
      <w:ind w:firstLine="0"/>
      <w:jc w:val="right"/>
    </w:pPr>
    <w:rPr>
      <w:i/>
      <w:iCs/>
      <w:sz w:val="24"/>
      <w:szCs w:val="24"/>
    </w:rPr>
  </w:style>
  <w:style w:type="paragraph" w:styleId="18">
    <w:name w:val="Title"/>
    <w:basedOn w:val="1"/>
    <w:next w:val="1"/>
    <w:link w:val="3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0">
    <w:name w:val="Strong"/>
    <w:basedOn w:val="19"/>
    <w:qFormat/>
    <w:uiPriority w:val="22"/>
    <w:rPr>
      <w:b/>
      <w:bCs/>
      <w:spacing w:val="0"/>
    </w:rPr>
  </w:style>
  <w:style w:type="character" w:styleId="21">
    <w:name w:val="Emphasis"/>
    <w:qFormat/>
    <w:uiPriority w:val="20"/>
    <w:rPr>
      <w:b/>
      <w:bCs/>
      <w:i/>
      <w:iCs/>
      <w:color w:val="595959"/>
    </w:rPr>
  </w:style>
  <w:style w:type="character" w:customStyle="1" w:styleId="23">
    <w:name w:val="标题 1 Char"/>
    <w:basedOn w:val="19"/>
    <w:link w:val="4"/>
    <w:qFormat/>
    <w:uiPriority w:val="9"/>
    <w:rPr>
      <w:rFonts w:ascii="Cambria" w:hAnsi="Cambria" w:eastAsia="宋体" w:cs="宋体"/>
      <w:b/>
      <w:bCs/>
      <w:color w:val="376092"/>
      <w:sz w:val="24"/>
      <w:szCs w:val="24"/>
    </w:rPr>
  </w:style>
  <w:style w:type="character" w:customStyle="1" w:styleId="24">
    <w:name w:val="标题 2 Char"/>
    <w:basedOn w:val="19"/>
    <w:link w:val="5"/>
    <w:qFormat/>
    <w:uiPriority w:val="9"/>
    <w:rPr>
      <w:rFonts w:ascii="Cambria" w:hAnsi="Cambria" w:eastAsia="宋体" w:cs="宋体"/>
      <w:color w:val="376092"/>
      <w:sz w:val="24"/>
      <w:szCs w:val="24"/>
    </w:rPr>
  </w:style>
  <w:style w:type="character" w:customStyle="1" w:styleId="25">
    <w:name w:val="标题 3 Char"/>
    <w:basedOn w:val="19"/>
    <w:link w:val="6"/>
    <w:qFormat/>
    <w:uiPriority w:val="9"/>
    <w:rPr>
      <w:rFonts w:ascii="Cambria" w:hAnsi="Cambria" w:eastAsia="宋体" w:cs="宋体"/>
      <w:color w:val="4F81BD"/>
      <w:sz w:val="24"/>
      <w:szCs w:val="24"/>
    </w:rPr>
  </w:style>
  <w:style w:type="character" w:customStyle="1" w:styleId="26">
    <w:name w:val="标题 4 Char"/>
    <w:basedOn w:val="19"/>
    <w:link w:val="7"/>
    <w:qFormat/>
    <w:uiPriority w:val="9"/>
    <w:rPr>
      <w:rFonts w:ascii="Cambria" w:hAnsi="Cambria" w:eastAsia="宋体" w:cs="宋体"/>
      <w:i/>
      <w:iCs/>
      <w:color w:val="4F81BD"/>
      <w:sz w:val="24"/>
      <w:szCs w:val="24"/>
    </w:rPr>
  </w:style>
  <w:style w:type="character" w:customStyle="1" w:styleId="27">
    <w:name w:val="标题 5 Char"/>
    <w:basedOn w:val="19"/>
    <w:link w:val="8"/>
    <w:qFormat/>
    <w:uiPriority w:val="9"/>
    <w:rPr>
      <w:rFonts w:ascii="Cambria" w:hAnsi="Cambria" w:eastAsia="宋体" w:cs="宋体"/>
      <w:color w:val="4F81BD"/>
    </w:rPr>
  </w:style>
  <w:style w:type="character" w:customStyle="1" w:styleId="28">
    <w:name w:val="标题 6 Char"/>
    <w:basedOn w:val="19"/>
    <w:link w:val="9"/>
    <w:qFormat/>
    <w:uiPriority w:val="9"/>
    <w:rPr>
      <w:rFonts w:ascii="Cambria" w:hAnsi="Cambria" w:eastAsia="宋体" w:cs="宋体"/>
      <w:i/>
      <w:iCs/>
      <w:color w:val="4F81BD"/>
    </w:rPr>
  </w:style>
  <w:style w:type="character" w:customStyle="1" w:styleId="29">
    <w:name w:val="标题 7 Char"/>
    <w:basedOn w:val="19"/>
    <w:link w:val="10"/>
    <w:qFormat/>
    <w:uiPriority w:val="9"/>
    <w:rPr>
      <w:rFonts w:ascii="Cambria" w:hAnsi="Cambria" w:eastAsia="宋体" w:cs="宋体"/>
      <w:b/>
      <w:bCs/>
      <w:color w:val="9BBB59"/>
      <w:sz w:val="20"/>
      <w:szCs w:val="20"/>
    </w:rPr>
  </w:style>
  <w:style w:type="character" w:customStyle="1" w:styleId="30">
    <w:name w:val="标题 8 Char"/>
    <w:basedOn w:val="19"/>
    <w:link w:val="11"/>
    <w:qFormat/>
    <w:uiPriority w:val="9"/>
    <w:rPr>
      <w:rFonts w:ascii="Cambria" w:hAnsi="Cambria" w:eastAsia="宋体" w:cs="宋体"/>
      <w:b/>
      <w:bCs/>
      <w:i/>
      <w:iCs/>
      <w:color w:val="9BBB59"/>
      <w:sz w:val="20"/>
      <w:szCs w:val="20"/>
    </w:rPr>
  </w:style>
  <w:style w:type="character" w:customStyle="1" w:styleId="31">
    <w:name w:val="标题 9 Char"/>
    <w:basedOn w:val="19"/>
    <w:link w:val="12"/>
    <w:qFormat/>
    <w:uiPriority w:val="9"/>
    <w:rPr>
      <w:rFonts w:ascii="Cambria" w:hAnsi="Cambria" w:eastAsia="宋体" w:cs="宋体"/>
      <w:i/>
      <w:iCs/>
      <w:color w:val="9BBB59"/>
      <w:sz w:val="20"/>
      <w:szCs w:val="20"/>
    </w:rPr>
  </w:style>
  <w:style w:type="character" w:customStyle="1" w:styleId="32">
    <w:name w:val="标题 Char"/>
    <w:basedOn w:val="19"/>
    <w:link w:val="18"/>
    <w:qFormat/>
    <w:uiPriority w:val="10"/>
    <w:rPr>
      <w:rFonts w:ascii="Cambria" w:hAnsi="Cambria" w:eastAsia="宋体" w:cs="宋体"/>
      <w:i/>
      <w:iCs/>
      <w:color w:val="254061"/>
      <w:sz w:val="60"/>
      <w:szCs w:val="60"/>
    </w:rPr>
  </w:style>
  <w:style w:type="character" w:customStyle="1" w:styleId="33">
    <w:name w:val="副标题 Char"/>
    <w:basedOn w:val="19"/>
    <w:link w:val="17"/>
    <w:qFormat/>
    <w:uiPriority w:val="11"/>
    <w:rPr>
      <w:rFonts w:ascii="Calibri"/>
      <w:i/>
      <w:iCs/>
      <w:sz w:val="24"/>
      <w:szCs w:val="24"/>
    </w:rPr>
  </w:style>
  <w:style w:type="paragraph" w:styleId="34">
    <w:name w:val="No Spacing"/>
    <w:basedOn w:val="1"/>
    <w:link w:val="35"/>
    <w:qFormat/>
    <w:uiPriority w:val="1"/>
    <w:pPr>
      <w:ind w:firstLine="0"/>
    </w:pPr>
  </w:style>
  <w:style w:type="character" w:customStyle="1" w:styleId="35">
    <w:name w:val="无间隔 Char"/>
    <w:basedOn w:val="19"/>
    <w:link w:val="34"/>
    <w:qFormat/>
    <w:uiPriority w:val="1"/>
  </w:style>
  <w:style w:type="paragraph" w:styleId="36">
    <w:name w:val="List Paragraph"/>
    <w:basedOn w:val="1"/>
    <w:qFormat/>
    <w:uiPriority w:val="34"/>
    <w:pPr>
      <w:ind w:left="720"/>
      <w:contextualSpacing/>
    </w:pPr>
  </w:style>
  <w:style w:type="paragraph" w:styleId="37">
    <w:name w:val="Quote"/>
    <w:basedOn w:val="1"/>
    <w:next w:val="1"/>
    <w:link w:val="38"/>
    <w:qFormat/>
    <w:uiPriority w:val="29"/>
    <w:rPr>
      <w:rFonts w:ascii="Cambria" w:hAnsi="Cambria"/>
      <w:i/>
      <w:iCs/>
      <w:color w:val="595959"/>
    </w:rPr>
  </w:style>
  <w:style w:type="character" w:customStyle="1" w:styleId="38">
    <w:name w:val="引用 Char"/>
    <w:basedOn w:val="19"/>
    <w:link w:val="37"/>
    <w:qFormat/>
    <w:uiPriority w:val="29"/>
    <w:rPr>
      <w:rFonts w:ascii="Cambria" w:hAnsi="Cambria" w:eastAsia="宋体" w:cs="宋体"/>
      <w:i/>
      <w:iCs/>
      <w:color w:val="595959"/>
    </w:rPr>
  </w:style>
  <w:style w:type="paragraph" w:styleId="39">
    <w:name w:val="Intense Quote"/>
    <w:basedOn w:val="1"/>
    <w:next w:val="1"/>
    <w:link w:val="4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0">
    <w:name w:val="明显引用 Char"/>
    <w:basedOn w:val="19"/>
    <w:link w:val="39"/>
    <w:qFormat/>
    <w:uiPriority w:val="30"/>
    <w:rPr>
      <w:rFonts w:ascii="Cambria" w:hAnsi="Cambria" w:eastAsia="宋体" w:cs="宋体"/>
      <w:i/>
      <w:iCs/>
      <w:color w:val="FFFFFF"/>
      <w:sz w:val="24"/>
      <w:szCs w:val="24"/>
      <w:shd w:val="clear" w:color="auto" w:fill="4F81BD"/>
    </w:rPr>
  </w:style>
  <w:style w:type="character" w:customStyle="1" w:styleId="41">
    <w:name w:val="不明显强调1"/>
    <w:qFormat/>
    <w:uiPriority w:val="19"/>
    <w:rPr>
      <w:i/>
      <w:iCs/>
      <w:color w:val="595959"/>
    </w:rPr>
  </w:style>
  <w:style w:type="character" w:customStyle="1" w:styleId="42">
    <w:name w:val="明显强调1"/>
    <w:qFormat/>
    <w:uiPriority w:val="21"/>
    <w:rPr>
      <w:b/>
      <w:bCs/>
      <w:i/>
      <w:iCs/>
      <w:color w:val="4F81BD"/>
      <w:sz w:val="22"/>
      <w:szCs w:val="22"/>
    </w:rPr>
  </w:style>
  <w:style w:type="character" w:customStyle="1" w:styleId="43">
    <w:name w:val="不明显参考1"/>
    <w:qFormat/>
    <w:uiPriority w:val="31"/>
    <w:rPr>
      <w:color w:val="auto"/>
      <w:u w:val="single" w:color="9BBB59"/>
    </w:rPr>
  </w:style>
  <w:style w:type="character" w:customStyle="1" w:styleId="44">
    <w:name w:val="明显参考1"/>
    <w:basedOn w:val="19"/>
    <w:qFormat/>
    <w:uiPriority w:val="32"/>
    <w:rPr>
      <w:b/>
      <w:bCs/>
      <w:color w:val="77933C"/>
      <w:u w:val="single" w:color="9BBB59"/>
    </w:rPr>
  </w:style>
  <w:style w:type="character" w:customStyle="1" w:styleId="45">
    <w:name w:val="书籍标题1"/>
    <w:basedOn w:val="19"/>
    <w:qFormat/>
    <w:uiPriority w:val="33"/>
    <w:rPr>
      <w:rFonts w:ascii="Cambria" w:hAnsi="Cambria" w:eastAsia="宋体" w:cs="宋体"/>
      <w:b/>
      <w:bCs/>
      <w:i/>
      <w:iCs/>
      <w:color w:val="auto"/>
    </w:rPr>
  </w:style>
  <w:style w:type="paragraph" w:customStyle="1" w:styleId="46">
    <w:name w:val="TOC 标题1"/>
    <w:basedOn w:val="4"/>
    <w:next w:val="1"/>
    <w:qFormat/>
    <w:uiPriority w:val="39"/>
    <w:pPr>
      <w:outlineLvl w:val="9"/>
    </w:pPr>
  </w:style>
  <w:style w:type="paragraph" w:customStyle="1" w:styleId="4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4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49">
    <w:name w:val="页眉 Char"/>
    <w:basedOn w:val="19"/>
    <w:link w:val="16"/>
    <w:qFormat/>
    <w:uiPriority w:val="99"/>
    <w:rPr>
      <w:sz w:val="18"/>
      <w:szCs w:val="18"/>
    </w:rPr>
  </w:style>
  <w:style w:type="character" w:customStyle="1" w:styleId="50">
    <w:name w:val="页脚 Char"/>
    <w:basedOn w:val="19"/>
    <w:link w:val="15"/>
    <w:qFormat/>
    <w:uiPriority w:val="99"/>
    <w:rPr>
      <w:sz w:val="18"/>
      <w:szCs w:val="18"/>
    </w:rPr>
  </w:style>
  <w:style w:type="character" w:customStyle="1" w:styleId="51">
    <w:name w:val="批注框文本 Char"/>
    <w:basedOn w:val="19"/>
    <w:link w:val="14"/>
    <w:qFormat/>
    <w:uiPriority w:val="99"/>
    <w:rPr>
      <w:sz w:val="18"/>
      <w:szCs w:val="18"/>
      <w:lang w:eastAsia="en-US" w:bidi="en-US"/>
    </w:rPr>
  </w:style>
  <w:style w:type="paragraph" w:customStyle="1" w:styleId="52">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1</TotalTime>
  <ScaleCrop>false</ScaleCrop>
  <LinksUpToDate>false</LinksUpToDate>
  <CharactersWithSpaces>2176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2020-04-27T01:27:00Z</cp:lastPrinted>
  <dcterms:modified xsi:type="dcterms:W3CDTF">2020-04-27T03:43:40Z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