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/>
        <w:rPr>
          <w:rFonts w:ascii="仿宋_GB2312" w:hAnsi="宋体" w:cs="宋体"/>
          <w:kern w:val="0"/>
        </w:rPr>
      </w:pPr>
    </w:p>
    <w:p>
      <w:pPr>
        <w:spacing w:beforeLines="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-2</w:t>
      </w:r>
    </w:p>
    <w:p>
      <w:pPr>
        <w:spacing w:beforeLines="100" w:afterLines="100" w:line="360" w:lineRule="exact"/>
        <w:jc w:val="center"/>
        <w:rPr>
          <w:rFonts w:hint="eastAsia" w:ascii="方正小标宋简体"/>
          <w:sz w:val="36"/>
          <w:szCs w:val="36"/>
        </w:rPr>
      </w:pPr>
      <w:r>
        <w:rPr>
          <w:rFonts w:ascii="方正小标宋简体" w:hAnsi="方正小标宋简体"/>
          <w:sz w:val="44"/>
          <w:szCs w:val="44"/>
        </w:rPr>
        <w:t>项目支出绩效评价指标体系</w:t>
      </w:r>
      <w:r>
        <w:rPr>
          <w:rFonts w:ascii="方正小标宋简体" w:hAnsi="方正小标宋简体"/>
          <w:sz w:val="36"/>
          <w:szCs w:val="36"/>
        </w:rPr>
        <w:t>（</w:t>
      </w:r>
      <w:r>
        <w:rPr>
          <w:rFonts w:hint="eastAsia" w:ascii="方正小标宋简体" w:hAnsi="方正小标宋简体"/>
          <w:sz w:val="36"/>
          <w:szCs w:val="36"/>
          <w:lang w:val="en-US" w:eastAsia="zh-CN"/>
        </w:rPr>
        <w:t>义务兵优待经费</w:t>
      </w:r>
      <w:r>
        <w:rPr>
          <w:rFonts w:ascii="方正小标宋简体" w:hAnsi="方正小标宋简体"/>
          <w:sz w:val="36"/>
          <w:szCs w:val="36"/>
        </w:rPr>
        <w:t>）</w:t>
      </w:r>
    </w:p>
    <w:tbl>
      <w:tblPr>
        <w:tblStyle w:val="3"/>
        <w:tblW w:w="1000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28"/>
        <w:gridCol w:w="720"/>
        <w:gridCol w:w="491"/>
        <w:gridCol w:w="825"/>
        <w:gridCol w:w="560"/>
        <w:gridCol w:w="2480"/>
        <w:gridCol w:w="2860"/>
        <w:gridCol w:w="8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目标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①设有目标（1分）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②目标明确（1分）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③目标细化（1分）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49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决策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①符合法律法规（1分）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②符合经济社会发展规划（1分）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③部门年度工作计划（1分）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④针对某一实际问题和需求（1分）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决策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①符合申报条件（2分）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②项目申报、批复程序符合管理办法（1分）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49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分配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①有相应的资金管理办法（1分）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②办法健全、规范（1分）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③因素全面合理（1分）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分配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①符合分配办法（2分）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②分配公平合理（3分）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49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到位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①到位及时（2分）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  <w:r>
              <w:rPr>
                <w:rFonts w:ascii="仿宋_GB2312" w:hAnsi="宋体" w:cs="宋体"/>
                <w:spacing w:val="-10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49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资金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 xml:space="preserve">①虚列套取扣4-7分 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②依据不合规扣2分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③截留、挤占、挪用扣3-6分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④超标准开支扣2-5分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财务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①财务制度健全（1分）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②严格执行制度（1分）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③会计核算规范（1分）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49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组织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支撑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①按计划开工（1分）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②按计划开展（1分）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管理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①管理制度健全（2分）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②制度执行严格（3分）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49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产出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产出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产出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产出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49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经济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社会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环境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可持续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>96</w:t>
            </w:r>
            <w:bookmarkStart w:id="0" w:name="_GoBack"/>
            <w:bookmarkEnd w:id="0"/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01C43"/>
    <w:rsid w:val="10E01C43"/>
    <w:rsid w:val="18011051"/>
    <w:rsid w:val="1AC5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2018-05-29T02:33:00Z</dcterms:created>
  <dc:creator>Administrator</dc:creator>
  <cp:lastModifiedBy>Administrator</cp:lastModifiedBy>
  <dcterms:modified xsi:type="dcterms:W3CDTF">2018-06-22T02:21:55Z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