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52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pPr>
        <w:autoSpaceDE w:val="0"/>
        <w:autoSpaceDN w:val="0"/>
        <w:adjustRightInd w:val="0"/>
        <w:snapToGrid w:val="0"/>
        <w:spacing w:line="520" w:lineRule="exact"/>
        <w:ind w:right="40"/>
        <w:jc w:val="center"/>
        <w:rPr>
          <w:rFonts w:eastAsia="方正小标宋_GBK"/>
          <w:sz w:val="40"/>
          <w:szCs w:val="40"/>
        </w:rPr>
      </w:pPr>
      <w:r>
        <w:rPr>
          <w:rFonts w:eastAsia="方正小标宋_GBK"/>
          <w:sz w:val="40"/>
          <w:szCs w:val="40"/>
        </w:rPr>
        <w:t>湖南省电网输配电价表</w:t>
      </w:r>
    </w:p>
    <w:p>
      <w:pPr>
        <w:autoSpaceDE w:val="0"/>
        <w:autoSpaceDN w:val="0"/>
        <w:adjustRightInd w:val="0"/>
        <w:snapToGrid w:val="0"/>
        <w:spacing w:line="520" w:lineRule="exact"/>
        <w:ind w:right="40"/>
        <w:jc w:val="center"/>
        <w:rPr>
          <w:rFonts w:eastAsia="方正小标宋_GBK"/>
          <w:sz w:val="40"/>
          <w:szCs w:val="40"/>
        </w:rPr>
      </w:pPr>
    </w:p>
    <w:tbl>
      <w:tblPr>
        <w:tblStyle w:val="4"/>
        <w:tblW w:w="9474" w:type="dxa"/>
        <w:jc w:val="center"/>
        <w:tblInd w:w="0" w:type="dxa"/>
        <w:tblLayout w:type="fixed"/>
        <w:tblCellMar>
          <w:top w:w="0" w:type="dxa"/>
          <w:left w:w="108" w:type="dxa"/>
          <w:bottom w:w="0" w:type="dxa"/>
          <w:right w:w="108" w:type="dxa"/>
        </w:tblCellMar>
      </w:tblPr>
      <w:tblGrid>
        <w:gridCol w:w="1322"/>
        <w:gridCol w:w="1094"/>
        <w:gridCol w:w="1087"/>
        <w:gridCol w:w="1057"/>
        <w:gridCol w:w="1057"/>
        <w:gridCol w:w="993"/>
        <w:gridCol w:w="1313"/>
        <w:gridCol w:w="1551"/>
      </w:tblGrid>
      <w:tr>
        <w:tblPrEx>
          <w:tblLayout w:type="fixed"/>
          <w:tblCellMar>
            <w:top w:w="0" w:type="dxa"/>
            <w:left w:w="108" w:type="dxa"/>
            <w:bottom w:w="0" w:type="dxa"/>
            <w:right w:w="108" w:type="dxa"/>
          </w:tblCellMar>
        </w:tblPrEx>
        <w:trPr>
          <w:trHeight w:val="571" w:hRule="atLeast"/>
          <w:jc w:val="center"/>
        </w:trPr>
        <w:tc>
          <w:tcPr>
            <w:tcW w:w="132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用电分类</w:t>
            </w:r>
          </w:p>
        </w:tc>
        <w:tc>
          <w:tcPr>
            <w:tcW w:w="528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电度电价（元/千瓦时）</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基本电价</w:t>
            </w:r>
          </w:p>
        </w:tc>
      </w:tr>
      <w:tr>
        <w:tblPrEx>
          <w:tblLayout w:type="fixed"/>
          <w:tblCellMar>
            <w:top w:w="0" w:type="dxa"/>
            <w:left w:w="108" w:type="dxa"/>
            <w:bottom w:w="0" w:type="dxa"/>
            <w:right w:w="108" w:type="dxa"/>
          </w:tblCellMar>
        </w:tblPrEx>
        <w:trPr>
          <w:trHeight w:val="227" w:hRule="atLeast"/>
          <w:jc w:val="center"/>
        </w:trPr>
        <w:tc>
          <w:tcPr>
            <w:tcW w:w="132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p>
        </w:tc>
        <w:tc>
          <w:tcPr>
            <w:tcW w:w="109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不满</w:t>
            </w:r>
          </w:p>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1千伏</w:t>
            </w:r>
          </w:p>
        </w:tc>
        <w:tc>
          <w:tcPr>
            <w:tcW w:w="108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1-10千伏</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35千伏</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110千伏</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220千伏</w:t>
            </w:r>
          </w:p>
        </w:tc>
        <w:tc>
          <w:tcPr>
            <w:tcW w:w="13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最大容量</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最大需量</w:t>
            </w:r>
          </w:p>
        </w:tc>
      </w:tr>
      <w:tr>
        <w:tblPrEx>
          <w:tblLayout w:type="fixed"/>
          <w:tblCellMar>
            <w:top w:w="0" w:type="dxa"/>
            <w:left w:w="108" w:type="dxa"/>
            <w:bottom w:w="0" w:type="dxa"/>
            <w:right w:w="108" w:type="dxa"/>
          </w:tblCellMar>
        </w:tblPrEx>
        <w:trPr>
          <w:trHeight w:val="227" w:hRule="atLeast"/>
          <w:jc w:val="center"/>
        </w:trPr>
        <w:tc>
          <w:tcPr>
            <w:tcW w:w="132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eastAsia="黑体" w:cs="Times New Roman"/>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63" w:leftChars="-30" w:right="-63" w:rightChars="-30"/>
              <w:jc w:val="center"/>
              <w:rPr>
                <w:rFonts w:hint="default" w:ascii="Times New Roman" w:hAnsi="Times New Roman" w:eastAsia="黑体" w:cs="Times New Roman"/>
                <w:spacing w:val="-10"/>
                <w:w w:val="95"/>
                <w:szCs w:val="21"/>
              </w:rPr>
            </w:pPr>
            <w:r>
              <w:rPr>
                <w:rFonts w:hint="default" w:ascii="Times New Roman" w:hAnsi="Times New Roman" w:eastAsia="黑体" w:cs="Times New Roman"/>
                <w:spacing w:val="-10"/>
                <w:w w:val="95"/>
                <w:szCs w:val="21"/>
              </w:rPr>
              <w:t>（元/千瓦·月）</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63" w:leftChars="-30" w:right="-63" w:rightChars="-30"/>
              <w:jc w:val="center"/>
              <w:rPr>
                <w:rFonts w:hint="default" w:ascii="Times New Roman" w:hAnsi="Times New Roman" w:eastAsia="黑体" w:cs="Times New Roman"/>
                <w:spacing w:val="-10"/>
                <w:w w:val="95"/>
                <w:szCs w:val="21"/>
              </w:rPr>
            </w:pPr>
            <w:r>
              <w:rPr>
                <w:rFonts w:hint="default" w:ascii="Times New Roman" w:hAnsi="Times New Roman" w:eastAsia="黑体" w:cs="Times New Roman"/>
                <w:spacing w:val="-10"/>
                <w:w w:val="95"/>
                <w:szCs w:val="21"/>
              </w:rPr>
              <w:t>（元/千伏安·月）</w:t>
            </w:r>
          </w:p>
        </w:tc>
      </w:tr>
      <w:tr>
        <w:tblPrEx>
          <w:tblLayout w:type="fixed"/>
          <w:tblCellMar>
            <w:top w:w="0" w:type="dxa"/>
            <w:left w:w="108" w:type="dxa"/>
            <w:bottom w:w="0" w:type="dxa"/>
            <w:right w:w="108" w:type="dxa"/>
          </w:tblCellMar>
        </w:tblPrEx>
        <w:trPr>
          <w:trHeight w:val="890"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default" w:ascii="Times New Roman" w:hAnsi="Times New Roman" w:cs="Times New Roman"/>
                <w:szCs w:val="21"/>
              </w:rPr>
            </w:pPr>
            <w:r>
              <w:rPr>
                <w:rFonts w:hint="default" w:ascii="Times New Roman" w:hAnsi="Times New Roman" w:cs="Times New Roman"/>
                <w:szCs w:val="21"/>
              </w:rPr>
              <w:t>一、一般工商业及其他用电</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0.32364</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0.30364</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0.28364</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0.26364</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cs="Times New Roman"/>
                <w:szCs w:val="21"/>
              </w:rPr>
            </w:pP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cs="Times New Roman"/>
                <w:szCs w:val="21"/>
              </w:rPr>
            </w:pPr>
          </w:p>
        </w:tc>
      </w:tr>
      <w:tr>
        <w:tblPrEx>
          <w:tblLayout w:type="fixed"/>
          <w:tblCellMar>
            <w:top w:w="0" w:type="dxa"/>
            <w:left w:w="108" w:type="dxa"/>
            <w:bottom w:w="0" w:type="dxa"/>
            <w:right w:w="108" w:type="dxa"/>
          </w:tblCellMar>
        </w:tblPrEx>
        <w:trPr>
          <w:trHeight w:val="73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default" w:ascii="Times New Roman" w:hAnsi="Times New Roman" w:cs="Times New Roman"/>
                <w:szCs w:val="21"/>
              </w:rPr>
            </w:pPr>
            <w:r>
              <w:rPr>
                <w:rFonts w:hint="default" w:ascii="Times New Roman" w:hAnsi="Times New Roman" w:cs="Times New Roman"/>
                <w:szCs w:val="21"/>
              </w:rPr>
              <w:t>二、大工业用电</w:t>
            </w:r>
          </w:p>
        </w:tc>
        <w:tc>
          <w:tcPr>
            <w:tcW w:w="10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0.19634</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0.16734</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0.13934</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0.11534</w:t>
            </w:r>
          </w:p>
        </w:tc>
        <w:tc>
          <w:tcPr>
            <w:tcW w:w="13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cs="Times New Roman"/>
                <w:szCs w:val="21"/>
              </w:rPr>
            </w:pPr>
            <w:r>
              <w:rPr>
                <w:rFonts w:hint="default" w:ascii="Times New Roman" w:hAnsi="Times New Roman" w:cs="Times New Roman"/>
                <w:szCs w:val="21"/>
              </w:rPr>
              <w:t>20</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default" w:ascii="Times New Roman" w:hAnsi="Times New Roman" w:cs="Times New Roman"/>
                <w:szCs w:val="21"/>
              </w:rPr>
            </w:pPr>
            <w:r>
              <w:rPr>
                <w:rFonts w:hint="default" w:ascii="Times New Roman" w:hAnsi="Times New Roman" w:cs="Times New Roman"/>
                <w:szCs w:val="21"/>
              </w:rPr>
              <w:t>30</w:t>
            </w:r>
          </w:p>
        </w:tc>
      </w:tr>
    </w:tbl>
    <w:p>
      <w:pPr>
        <w:widowControl/>
        <w:spacing w:line="460" w:lineRule="exact"/>
        <w:ind w:firstLine="420" w:firstLineChars="200"/>
        <w:jc w:val="left"/>
        <w:rPr>
          <w:rFonts w:hint="default" w:ascii="Times New Roman" w:hAnsi="Times New Roman"/>
          <w:kern w:val="0"/>
          <w:szCs w:val="21"/>
        </w:rPr>
      </w:pPr>
      <w:r>
        <w:rPr>
          <w:rFonts w:hint="default" w:ascii="Times New Roman" w:hAnsi="Times New Roman"/>
          <w:kern w:val="0"/>
          <w:szCs w:val="21"/>
        </w:rPr>
        <w:t>注：</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1、表中各电价含增值税、线损及交叉补贴，不含政府性基金及附加。</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2、参与电力市场化交易的电力用户输配电价水平按上表价格执行，并按规定征收政府性基金及附加。政府性基金及附加的具体征收标准以现行目录销售电价表中征收标准为准。其他用户继续执行现有目录销售电价政策。</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3、2017—2019年国网湖南省电力公司综合线损率按8.32%计算，实际运行中线损率超过8.32%带来的风险由国网湖南省电力公司承担，低于8.32%带来的收益由国网湖南省电力公司和电力用户各分享50%。</w:t>
      </w:r>
    </w:p>
    <w:p>
      <w:pPr>
        <w:spacing w:after="312" w:afterLines="100" w:line="596" w:lineRule="exact"/>
        <w:ind w:left="3780" w:leftChars="1800" w:firstLine="1280" w:firstLineChars="400"/>
        <w:rPr>
          <w:rFonts w:hint="default" w:ascii="Times New Roman" w:hAnsi="Times New Roman" w:eastAsia="仿宋_GB2312" w:cs="Times New Roman"/>
          <w:sz w:val="32"/>
          <w:szCs w:val="32"/>
        </w:rPr>
      </w:pPr>
    </w:p>
    <w:p>
      <w:pPr>
        <w:spacing w:after="312" w:afterLines="100" w:line="596" w:lineRule="exact"/>
        <w:ind w:left="3780" w:leftChars="1800" w:firstLine="1280" w:firstLineChars="400"/>
        <w:rPr>
          <w:rFonts w:hint="default" w:ascii="Times New Roman" w:hAnsi="Times New Roman" w:eastAsia="仿宋_GB2312" w:cs="Times New Roman"/>
          <w:sz w:val="32"/>
          <w:szCs w:val="32"/>
        </w:rPr>
      </w:pPr>
    </w:p>
    <w:p>
      <w:pPr>
        <w:spacing w:after="312" w:afterLines="100" w:line="596" w:lineRule="exact"/>
        <w:ind w:left="3780" w:leftChars="1800" w:firstLine="1280" w:firstLineChars="400"/>
        <w:rPr>
          <w:rFonts w:hint="default" w:ascii="Times New Roman" w:hAnsi="Times New Roman" w:eastAsia="仿宋_GB2312" w:cs="Times New Roman"/>
          <w:sz w:val="32"/>
          <w:szCs w:val="32"/>
        </w:rPr>
      </w:pPr>
    </w:p>
    <w:p>
      <w:pPr>
        <w:spacing w:after="312" w:afterLines="100" w:line="596" w:lineRule="exact"/>
        <w:ind w:left="3780" w:leftChars="1800" w:firstLine="1280" w:firstLineChars="400"/>
        <w:rPr>
          <w:rFonts w:hint="default" w:ascii="Times New Roman" w:hAnsi="Times New Roman" w:eastAsia="仿宋_GB2312" w:cs="Times New Roman"/>
          <w:sz w:val="32"/>
          <w:szCs w:val="32"/>
        </w:rPr>
      </w:pPr>
    </w:p>
    <w:p>
      <w:pPr>
        <w:spacing w:after="312" w:afterLines="100" w:line="560" w:lineRule="exact"/>
        <w:jc w:val="left"/>
        <w:rPr>
          <w:rFonts w:hint="default" w:ascii="Times New Roman" w:hAnsi="Times New Roman" w:eastAsia="仿宋_GB2312"/>
          <w:sz w:val="32"/>
          <w:szCs w:val="32"/>
        </w:rPr>
      </w:pPr>
      <w:r>
        <w:rPr>
          <w:rFonts w:eastAsia="仿宋_GB2312"/>
          <w:sz w:val="32"/>
          <w:szCs w:val="32"/>
        </w:rPr>
        <w:br w:type="page"/>
      </w:r>
      <w:r>
        <w:rPr>
          <w:rFonts w:hint="default" w:ascii="Times New Roman" w:hAnsi="Times New Roman" w:eastAsia="仿宋_GB2312" w:cs="Times New Roman"/>
          <w:sz w:val="32"/>
          <w:szCs w:val="32"/>
        </w:rPr>
        <w:t>附件2：</w:t>
      </w:r>
    </w:p>
    <w:p>
      <w:pPr>
        <w:spacing w:line="560" w:lineRule="exact"/>
        <w:jc w:val="center"/>
        <w:rPr>
          <w:rFonts w:hint="default" w:ascii="Times New Roman" w:hAnsi="Times New Roman" w:eastAsia="方正小标宋_GBK"/>
          <w:sz w:val="40"/>
          <w:szCs w:val="40"/>
        </w:rPr>
      </w:pPr>
      <w:r>
        <w:rPr>
          <w:rFonts w:hint="default" w:ascii="Times New Roman" w:hAnsi="Times New Roman" w:eastAsia="方正小标宋_GBK"/>
          <w:sz w:val="40"/>
          <w:szCs w:val="40"/>
        </w:rPr>
        <w:t>湖南省电网销售电价表</w:t>
      </w:r>
    </w:p>
    <w:p>
      <w:pPr>
        <w:spacing w:line="560" w:lineRule="exact"/>
        <w:jc w:val="center"/>
        <w:rPr>
          <w:rFonts w:hint="default" w:ascii="Times New Roman" w:hAnsi="Times New Roman" w:eastAsia="楷体_GB2312"/>
          <w:sz w:val="28"/>
          <w:szCs w:val="28"/>
        </w:rPr>
      </w:pPr>
    </w:p>
    <w:tbl>
      <w:tblPr>
        <w:tblStyle w:val="4"/>
        <w:tblW w:w="9545" w:type="dxa"/>
        <w:jc w:val="center"/>
        <w:tblInd w:w="0" w:type="dxa"/>
        <w:tblLayout w:type="fixed"/>
        <w:tblCellMar>
          <w:top w:w="0" w:type="dxa"/>
          <w:left w:w="108" w:type="dxa"/>
          <w:bottom w:w="0" w:type="dxa"/>
          <w:right w:w="108" w:type="dxa"/>
        </w:tblCellMar>
      </w:tblPr>
      <w:tblGrid>
        <w:gridCol w:w="1870"/>
        <w:gridCol w:w="859"/>
        <w:gridCol w:w="877"/>
        <w:gridCol w:w="1102"/>
        <w:gridCol w:w="945"/>
        <w:gridCol w:w="983"/>
        <w:gridCol w:w="1350"/>
        <w:gridCol w:w="1559"/>
      </w:tblGrid>
      <w:tr>
        <w:tblPrEx>
          <w:tblLayout w:type="fixed"/>
          <w:tblCellMar>
            <w:top w:w="0" w:type="dxa"/>
            <w:left w:w="108" w:type="dxa"/>
            <w:bottom w:w="0" w:type="dxa"/>
            <w:right w:w="108" w:type="dxa"/>
          </w:tblCellMar>
        </w:tblPrEx>
        <w:trPr>
          <w:trHeight w:val="565" w:hRule="atLeast"/>
          <w:jc w:val="center"/>
        </w:trPr>
        <w:tc>
          <w:tcPr>
            <w:tcW w:w="1870"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用电分类</w:t>
            </w:r>
          </w:p>
        </w:tc>
        <w:tc>
          <w:tcPr>
            <w:tcW w:w="4766" w:type="dxa"/>
            <w:gridSpan w:val="5"/>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电度电价</w:t>
            </w:r>
            <w:r>
              <w:rPr>
                <w:rFonts w:hint="default" w:ascii="Times New Roman" w:hAnsi="Times New Roman" w:eastAsia="黑体"/>
                <w:szCs w:val="21"/>
              </w:rPr>
              <w:t>（</w:t>
            </w:r>
            <w:r>
              <w:rPr>
                <w:rFonts w:ascii="Times New Roman" w:hAnsi="Times New Roman" w:eastAsia="黑体"/>
                <w:szCs w:val="21"/>
              </w:rPr>
              <w:t>元/千瓦时</w:t>
            </w:r>
            <w:r>
              <w:rPr>
                <w:rFonts w:hint="default" w:ascii="Times New Roman" w:hAnsi="Times New Roman" w:eastAsia="黑体"/>
                <w:szCs w:val="21"/>
              </w:rPr>
              <w:t>）</w:t>
            </w:r>
          </w:p>
        </w:tc>
        <w:tc>
          <w:tcPr>
            <w:tcW w:w="2909" w:type="dxa"/>
            <w:gridSpan w:val="2"/>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基本电价</w:t>
            </w:r>
          </w:p>
        </w:tc>
      </w:tr>
      <w:tr>
        <w:tblPrEx>
          <w:tblLayout w:type="fixed"/>
          <w:tblCellMar>
            <w:top w:w="0" w:type="dxa"/>
            <w:left w:w="108" w:type="dxa"/>
            <w:bottom w:w="0" w:type="dxa"/>
            <w:right w:w="108" w:type="dxa"/>
          </w:tblCellMar>
        </w:tblPrEx>
        <w:trPr>
          <w:trHeight w:val="404" w:hRule="atLeast"/>
          <w:jc w:val="center"/>
        </w:trPr>
        <w:tc>
          <w:tcPr>
            <w:tcW w:w="187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85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不满</w:t>
            </w:r>
          </w:p>
          <w:p>
            <w:pPr>
              <w:widowControl/>
              <w:jc w:val="center"/>
              <w:rPr>
                <w:rFonts w:ascii="Times New Roman" w:hAnsi="Times New Roman" w:eastAsia="黑体"/>
                <w:kern w:val="0"/>
                <w:szCs w:val="21"/>
              </w:rPr>
            </w:pPr>
            <w:r>
              <w:rPr>
                <w:rFonts w:ascii="Times New Roman" w:hAnsi="Times New Roman" w:eastAsia="黑体"/>
                <w:kern w:val="0"/>
                <w:szCs w:val="21"/>
              </w:rPr>
              <w:t>1千伏</w:t>
            </w:r>
          </w:p>
        </w:tc>
        <w:tc>
          <w:tcPr>
            <w:tcW w:w="877"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kern w:val="0"/>
                <w:szCs w:val="21"/>
              </w:rPr>
            </w:pPr>
            <w:r>
              <w:rPr>
                <w:rFonts w:ascii="Times New Roman" w:hAnsi="Times New Roman" w:eastAsia="黑体"/>
                <w:kern w:val="0"/>
                <w:szCs w:val="21"/>
              </w:rPr>
              <w:t>1-10</w:t>
            </w:r>
          </w:p>
          <w:p>
            <w:pPr>
              <w:widowControl/>
              <w:jc w:val="center"/>
              <w:rPr>
                <w:rFonts w:ascii="Times New Roman" w:hAnsi="Times New Roman" w:eastAsia="黑体"/>
                <w:kern w:val="0"/>
                <w:szCs w:val="21"/>
              </w:rPr>
            </w:pPr>
            <w:r>
              <w:rPr>
                <w:rFonts w:ascii="Times New Roman" w:hAnsi="Times New Roman" w:eastAsia="黑体"/>
                <w:kern w:val="0"/>
                <w:szCs w:val="21"/>
              </w:rPr>
              <w:t>千伏</w:t>
            </w:r>
          </w:p>
        </w:tc>
        <w:tc>
          <w:tcPr>
            <w:tcW w:w="1102"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kern w:val="0"/>
                <w:szCs w:val="21"/>
              </w:rPr>
            </w:pPr>
            <w:r>
              <w:rPr>
                <w:rFonts w:ascii="Times New Roman" w:hAnsi="Times New Roman" w:eastAsia="黑体"/>
                <w:kern w:val="0"/>
                <w:szCs w:val="21"/>
              </w:rPr>
              <w:t>35-110</w:t>
            </w:r>
          </w:p>
          <w:p>
            <w:pPr>
              <w:widowControl/>
              <w:jc w:val="center"/>
              <w:rPr>
                <w:rFonts w:ascii="Times New Roman" w:hAnsi="Times New Roman" w:eastAsia="黑体"/>
                <w:kern w:val="0"/>
                <w:szCs w:val="21"/>
              </w:rPr>
            </w:pPr>
            <w:r>
              <w:rPr>
                <w:rFonts w:ascii="Times New Roman" w:hAnsi="Times New Roman" w:eastAsia="黑体"/>
                <w:kern w:val="0"/>
                <w:szCs w:val="21"/>
              </w:rPr>
              <w:t>千伏以下</w:t>
            </w:r>
          </w:p>
        </w:tc>
        <w:tc>
          <w:tcPr>
            <w:tcW w:w="945"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kern w:val="0"/>
                <w:szCs w:val="21"/>
              </w:rPr>
            </w:pPr>
            <w:r>
              <w:rPr>
                <w:rFonts w:ascii="Times New Roman" w:hAnsi="Times New Roman" w:eastAsia="黑体"/>
                <w:kern w:val="0"/>
                <w:szCs w:val="21"/>
              </w:rPr>
              <w:t>110</w:t>
            </w:r>
          </w:p>
          <w:p>
            <w:pPr>
              <w:widowControl/>
              <w:jc w:val="center"/>
              <w:rPr>
                <w:rFonts w:ascii="Times New Roman" w:hAnsi="Times New Roman" w:eastAsia="黑体"/>
                <w:kern w:val="0"/>
                <w:szCs w:val="21"/>
              </w:rPr>
            </w:pPr>
            <w:r>
              <w:rPr>
                <w:rFonts w:ascii="Times New Roman" w:hAnsi="Times New Roman" w:eastAsia="黑体"/>
                <w:kern w:val="0"/>
                <w:szCs w:val="21"/>
              </w:rPr>
              <w:t>千伏</w:t>
            </w:r>
          </w:p>
        </w:tc>
        <w:tc>
          <w:tcPr>
            <w:tcW w:w="98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220千伏及以上</w:t>
            </w:r>
          </w:p>
        </w:tc>
        <w:tc>
          <w:tcPr>
            <w:tcW w:w="1350"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最大需量</w:t>
            </w:r>
          </w:p>
        </w:tc>
        <w:tc>
          <w:tcPr>
            <w:tcW w:w="1559" w:type="dxa"/>
            <w:tcBorders>
              <w:top w:val="nil"/>
              <w:left w:val="nil"/>
              <w:bottom w:val="single" w:color="auto" w:sz="4" w:space="0"/>
              <w:right w:val="single" w:color="auto" w:sz="8"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变压器容量</w:t>
            </w:r>
          </w:p>
        </w:tc>
      </w:tr>
      <w:tr>
        <w:tblPrEx>
          <w:tblLayout w:type="fixed"/>
          <w:tblCellMar>
            <w:top w:w="0" w:type="dxa"/>
            <w:left w:w="108" w:type="dxa"/>
            <w:bottom w:w="0" w:type="dxa"/>
            <w:right w:w="108" w:type="dxa"/>
          </w:tblCellMar>
        </w:tblPrEx>
        <w:trPr>
          <w:trHeight w:val="284" w:hRule="atLeast"/>
          <w:jc w:val="center"/>
        </w:trPr>
        <w:tc>
          <w:tcPr>
            <w:tcW w:w="187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8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110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9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1350" w:type="dxa"/>
            <w:tcBorders>
              <w:top w:val="nil"/>
              <w:left w:val="nil"/>
              <w:bottom w:val="single" w:color="auto" w:sz="4" w:space="0"/>
              <w:right w:val="single" w:color="auto" w:sz="4" w:space="0"/>
            </w:tcBorders>
            <w:vAlign w:val="center"/>
          </w:tcPr>
          <w:p>
            <w:pPr>
              <w:widowControl/>
              <w:ind w:left="-63" w:leftChars="-30" w:right="-63" w:rightChars="-30"/>
              <w:rPr>
                <w:rFonts w:ascii="Times New Roman" w:hAnsi="Times New Roman" w:eastAsia="黑体"/>
                <w:spacing w:val="-14"/>
                <w:w w:val="95"/>
                <w:kern w:val="0"/>
                <w:szCs w:val="21"/>
              </w:rPr>
            </w:pPr>
            <w:r>
              <w:rPr>
                <w:rFonts w:ascii="Times New Roman" w:hAnsi="Times New Roman" w:eastAsia="黑体"/>
                <w:spacing w:val="-14"/>
                <w:w w:val="95"/>
                <w:kern w:val="0"/>
                <w:szCs w:val="21"/>
              </w:rPr>
              <w:t>（元/千瓦·月）</w:t>
            </w:r>
          </w:p>
        </w:tc>
        <w:tc>
          <w:tcPr>
            <w:tcW w:w="1559" w:type="dxa"/>
            <w:tcBorders>
              <w:top w:val="nil"/>
              <w:left w:val="nil"/>
              <w:bottom w:val="single" w:color="auto" w:sz="4" w:space="0"/>
              <w:right w:val="single" w:color="auto" w:sz="8" w:space="0"/>
            </w:tcBorders>
            <w:vAlign w:val="center"/>
          </w:tcPr>
          <w:p>
            <w:pPr>
              <w:widowControl/>
              <w:ind w:left="-63" w:leftChars="-30" w:right="-63" w:rightChars="-30"/>
              <w:rPr>
                <w:rFonts w:ascii="Times New Roman" w:hAnsi="Times New Roman" w:eastAsia="黑体"/>
                <w:spacing w:val="-14"/>
                <w:w w:val="95"/>
                <w:kern w:val="0"/>
                <w:szCs w:val="21"/>
              </w:rPr>
            </w:pPr>
            <w:r>
              <w:rPr>
                <w:rFonts w:ascii="Times New Roman" w:hAnsi="Times New Roman" w:eastAsia="黑体"/>
                <w:spacing w:val="-14"/>
                <w:w w:val="95"/>
                <w:kern w:val="0"/>
                <w:szCs w:val="21"/>
              </w:rPr>
              <w:t>（元/千伏安·月）</w:t>
            </w:r>
          </w:p>
        </w:tc>
      </w:tr>
      <w:tr>
        <w:tblPrEx>
          <w:tblLayout w:type="fixed"/>
          <w:tblCellMar>
            <w:top w:w="0" w:type="dxa"/>
            <w:left w:w="108" w:type="dxa"/>
            <w:bottom w:w="0" w:type="dxa"/>
            <w:right w:w="108" w:type="dxa"/>
          </w:tblCellMar>
        </w:tblPrEx>
        <w:trPr>
          <w:trHeight w:val="624" w:hRule="atLeast"/>
          <w:jc w:val="center"/>
        </w:trPr>
        <w:tc>
          <w:tcPr>
            <w:tcW w:w="1870" w:type="dxa"/>
            <w:tcBorders>
              <w:top w:val="nil"/>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kern w:val="0"/>
                <w:szCs w:val="21"/>
              </w:rPr>
            </w:pPr>
            <w:r>
              <w:rPr>
                <w:rFonts w:ascii="Times New Roman" w:hAnsi="Times New Roman"/>
                <w:kern w:val="0"/>
                <w:szCs w:val="21"/>
              </w:rPr>
              <w:t>一、居民生活用电</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0.5880</w:t>
            </w:r>
          </w:p>
        </w:tc>
        <w:tc>
          <w:tcPr>
            <w:tcW w:w="877"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0.5730</w:t>
            </w:r>
          </w:p>
        </w:tc>
        <w:tc>
          <w:tcPr>
            <w:tcW w:w="1102"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0.5630</w:t>
            </w:r>
          </w:p>
        </w:tc>
        <w:tc>
          <w:tcPr>
            <w:tcW w:w="945"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p>
        </w:tc>
        <w:tc>
          <w:tcPr>
            <w:tcW w:w="983"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p>
        </w:tc>
        <w:tc>
          <w:tcPr>
            <w:tcW w:w="1350"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p>
        </w:tc>
        <w:tc>
          <w:tcPr>
            <w:tcW w:w="1559" w:type="dxa"/>
            <w:tcBorders>
              <w:top w:val="nil"/>
              <w:left w:val="nil"/>
              <w:bottom w:val="single" w:color="auto" w:sz="4" w:space="0"/>
              <w:right w:val="single" w:color="auto" w:sz="8" w:space="0"/>
            </w:tcBorders>
            <w:vAlign w:val="center"/>
          </w:tcPr>
          <w:p>
            <w:pPr>
              <w:widowControl/>
              <w:spacing w:line="360" w:lineRule="exact"/>
              <w:jc w:val="center"/>
              <w:rPr>
                <w:rFonts w:ascii="Times New Roman" w:hAnsi="Times New Roman"/>
                <w:kern w:val="0"/>
                <w:szCs w:val="21"/>
              </w:rPr>
            </w:pPr>
          </w:p>
        </w:tc>
      </w:tr>
      <w:tr>
        <w:tblPrEx>
          <w:tblLayout w:type="fixed"/>
          <w:tblCellMar>
            <w:top w:w="0" w:type="dxa"/>
            <w:left w:w="108" w:type="dxa"/>
            <w:bottom w:w="0" w:type="dxa"/>
            <w:right w:w="108" w:type="dxa"/>
          </w:tblCellMar>
        </w:tblPrEx>
        <w:trPr>
          <w:trHeight w:val="624" w:hRule="atLeast"/>
          <w:jc w:val="center"/>
        </w:trPr>
        <w:tc>
          <w:tcPr>
            <w:tcW w:w="1870" w:type="dxa"/>
            <w:tcBorders>
              <w:top w:val="nil"/>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kern w:val="0"/>
                <w:szCs w:val="21"/>
              </w:rPr>
            </w:pPr>
            <w:r>
              <w:rPr>
                <w:rFonts w:ascii="Times New Roman" w:hAnsi="Times New Roman"/>
                <w:kern w:val="0"/>
                <w:szCs w:val="21"/>
              </w:rPr>
              <w:t>二、一般工商业及其他用电</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kern w:val="0"/>
                <w:szCs w:val="21"/>
              </w:rPr>
            </w:pPr>
            <w:r>
              <w:rPr>
                <w:rFonts w:hint="default" w:ascii="Times New Roman" w:hAnsi="Times New Roman"/>
                <w:kern w:val="0"/>
                <w:szCs w:val="21"/>
              </w:rPr>
              <w:t>0.769</w:t>
            </w:r>
          </w:p>
        </w:tc>
        <w:tc>
          <w:tcPr>
            <w:tcW w:w="87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kern w:val="0"/>
                <w:szCs w:val="21"/>
              </w:rPr>
            </w:pPr>
            <w:r>
              <w:rPr>
                <w:rFonts w:hint="default" w:ascii="Times New Roman" w:hAnsi="Times New Roman"/>
                <w:kern w:val="0"/>
                <w:szCs w:val="21"/>
              </w:rPr>
              <w:t>0.749</w:t>
            </w:r>
          </w:p>
        </w:tc>
        <w:tc>
          <w:tcPr>
            <w:tcW w:w="110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kern w:val="0"/>
                <w:szCs w:val="21"/>
              </w:rPr>
            </w:pPr>
            <w:r>
              <w:rPr>
                <w:rFonts w:hint="default" w:ascii="Times New Roman" w:hAnsi="Times New Roman"/>
                <w:kern w:val="0"/>
                <w:szCs w:val="21"/>
              </w:rPr>
              <w:t>0.729</w:t>
            </w:r>
          </w:p>
        </w:tc>
        <w:tc>
          <w:tcPr>
            <w:tcW w:w="945"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kern w:val="0"/>
                <w:szCs w:val="21"/>
              </w:rPr>
            </w:pPr>
            <w:r>
              <w:rPr>
                <w:rFonts w:hint="default" w:ascii="Times New Roman" w:hAnsi="Times New Roman"/>
                <w:kern w:val="0"/>
                <w:szCs w:val="21"/>
              </w:rPr>
              <w:t>0.709</w:t>
            </w:r>
          </w:p>
        </w:tc>
        <w:tc>
          <w:tcPr>
            <w:tcW w:w="983"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p>
        </w:tc>
        <w:tc>
          <w:tcPr>
            <w:tcW w:w="1350"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p>
        </w:tc>
        <w:tc>
          <w:tcPr>
            <w:tcW w:w="1559" w:type="dxa"/>
            <w:tcBorders>
              <w:top w:val="nil"/>
              <w:left w:val="nil"/>
              <w:bottom w:val="single" w:color="auto" w:sz="4" w:space="0"/>
              <w:right w:val="single" w:color="auto" w:sz="8" w:space="0"/>
            </w:tcBorders>
            <w:vAlign w:val="center"/>
          </w:tcPr>
          <w:p>
            <w:pPr>
              <w:widowControl/>
              <w:spacing w:line="360" w:lineRule="exact"/>
              <w:jc w:val="center"/>
              <w:rPr>
                <w:rFonts w:ascii="Times New Roman" w:hAnsi="Times New Roman"/>
                <w:kern w:val="0"/>
                <w:szCs w:val="21"/>
              </w:rPr>
            </w:pPr>
          </w:p>
        </w:tc>
      </w:tr>
      <w:tr>
        <w:tblPrEx>
          <w:tblLayout w:type="fixed"/>
          <w:tblCellMar>
            <w:top w:w="0" w:type="dxa"/>
            <w:left w:w="108" w:type="dxa"/>
            <w:bottom w:w="0" w:type="dxa"/>
            <w:right w:w="108" w:type="dxa"/>
          </w:tblCellMar>
        </w:tblPrEx>
        <w:trPr>
          <w:trHeight w:val="624" w:hRule="atLeast"/>
          <w:jc w:val="center"/>
        </w:trPr>
        <w:tc>
          <w:tcPr>
            <w:tcW w:w="1870" w:type="dxa"/>
            <w:tcBorders>
              <w:top w:val="nil"/>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kern w:val="0"/>
                <w:szCs w:val="21"/>
              </w:rPr>
            </w:pPr>
            <w:r>
              <w:rPr>
                <w:rFonts w:ascii="Times New Roman" w:hAnsi="Times New Roman"/>
                <w:kern w:val="0"/>
                <w:szCs w:val="21"/>
              </w:rPr>
              <w:t>三、大工业用电</w:t>
            </w:r>
          </w:p>
        </w:tc>
        <w:tc>
          <w:tcPr>
            <w:tcW w:w="859" w:type="dxa"/>
            <w:tcBorders>
              <w:top w:val="nil"/>
              <w:left w:val="nil"/>
              <w:bottom w:val="single" w:color="auto" w:sz="4" w:space="0"/>
              <w:right w:val="single" w:color="auto" w:sz="4" w:space="0"/>
            </w:tcBorders>
            <w:vAlign w:val="center"/>
          </w:tcPr>
          <w:p>
            <w:pPr>
              <w:jc w:val="center"/>
              <w:rPr>
                <w:rFonts w:ascii="Times New Roman" w:hAnsi="Times New Roman"/>
                <w:kern w:val="0"/>
                <w:szCs w:val="21"/>
              </w:rPr>
            </w:pPr>
          </w:p>
        </w:tc>
        <w:tc>
          <w:tcPr>
            <w:tcW w:w="87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kern w:val="0"/>
                <w:szCs w:val="21"/>
              </w:rPr>
            </w:pPr>
            <w:r>
              <w:rPr>
                <w:rFonts w:hint="default" w:ascii="Times New Roman" w:hAnsi="Times New Roman"/>
                <w:kern w:val="0"/>
                <w:szCs w:val="21"/>
              </w:rPr>
              <w:t>0.6437</w:t>
            </w:r>
          </w:p>
        </w:tc>
        <w:tc>
          <w:tcPr>
            <w:tcW w:w="1102"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kern w:val="0"/>
                <w:szCs w:val="21"/>
              </w:rPr>
            </w:pPr>
            <w:r>
              <w:rPr>
                <w:rFonts w:hint="default" w:ascii="Times New Roman" w:hAnsi="Times New Roman"/>
                <w:kern w:val="0"/>
                <w:szCs w:val="21"/>
              </w:rPr>
              <w:t>0.6147</w:t>
            </w:r>
          </w:p>
        </w:tc>
        <w:tc>
          <w:tcPr>
            <w:tcW w:w="945"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kern w:val="0"/>
                <w:szCs w:val="21"/>
              </w:rPr>
            </w:pPr>
            <w:r>
              <w:rPr>
                <w:rFonts w:hint="default" w:ascii="Times New Roman" w:hAnsi="Times New Roman"/>
                <w:kern w:val="0"/>
                <w:szCs w:val="21"/>
              </w:rPr>
              <w:t>0.5867</w:t>
            </w:r>
          </w:p>
        </w:tc>
        <w:tc>
          <w:tcPr>
            <w:tcW w:w="983"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kern w:val="0"/>
                <w:szCs w:val="21"/>
              </w:rPr>
            </w:pPr>
            <w:r>
              <w:rPr>
                <w:rFonts w:hint="default" w:ascii="Times New Roman" w:hAnsi="Times New Roman"/>
                <w:kern w:val="0"/>
                <w:szCs w:val="21"/>
              </w:rPr>
              <w:t>0.5627</w:t>
            </w:r>
          </w:p>
        </w:tc>
        <w:tc>
          <w:tcPr>
            <w:tcW w:w="135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kern w:val="0"/>
                <w:szCs w:val="21"/>
              </w:rPr>
            </w:pPr>
            <w:r>
              <w:rPr>
                <w:rFonts w:ascii="Times New Roman" w:hAnsi="Times New Roman"/>
                <w:kern w:val="0"/>
                <w:szCs w:val="21"/>
              </w:rPr>
              <w:t>30</w:t>
            </w:r>
          </w:p>
        </w:tc>
        <w:tc>
          <w:tcPr>
            <w:tcW w:w="1559"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kern w:val="0"/>
                <w:szCs w:val="21"/>
              </w:rPr>
            </w:pPr>
            <w:r>
              <w:rPr>
                <w:rFonts w:ascii="Times New Roman" w:hAnsi="Times New Roman"/>
                <w:kern w:val="0"/>
                <w:szCs w:val="21"/>
              </w:rPr>
              <w:t>20</w:t>
            </w:r>
          </w:p>
        </w:tc>
      </w:tr>
      <w:tr>
        <w:tblPrEx>
          <w:tblLayout w:type="fixed"/>
          <w:tblCellMar>
            <w:top w:w="0" w:type="dxa"/>
            <w:left w:w="108" w:type="dxa"/>
            <w:bottom w:w="0" w:type="dxa"/>
            <w:right w:w="108" w:type="dxa"/>
          </w:tblCellMar>
        </w:tblPrEx>
        <w:trPr>
          <w:trHeight w:val="624" w:hRule="atLeast"/>
          <w:jc w:val="center"/>
        </w:trPr>
        <w:tc>
          <w:tcPr>
            <w:tcW w:w="1870" w:type="dxa"/>
            <w:tcBorders>
              <w:top w:val="nil"/>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kern w:val="0"/>
                <w:szCs w:val="21"/>
              </w:rPr>
            </w:pPr>
            <w:r>
              <w:rPr>
                <w:rFonts w:ascii="Times New Roman" w:hAnsi="Times New Roman"/>
                <w:kern w:val="0"/>
                <w:szCs w:val="21"/>
              </w:rPr>
              <w:t>四、农业生产用电</w:t>
            </w:r>
          </w:p>
        </w:tc>
        <w:tc>
          <w:tcPr>
            <w:tcW w:w="859"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0.5487</w:t>
            </w:r>
          </w:p>
        </w:tc>
        <w:tc>
          <w:tcPr>
            <w:tcW w:w="877"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0.5287</w:t>
            </w:r>
          </w:p>
        </w:tc>
        <w:tc>
          <w:tcPr>
            <w:tcW w:w="1102"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0.5087</w:t>
            </w:r>
          </w:p>
        </w:tc>
        <w:tc>
          <w:tcPr>
            <w:tcW w:w="945"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0.4887</w:t>
            </w:r>
          </w:p>
        </w:tc>
        <w:tc>
          <w:tcPr>
            <w:tcW w:w="983"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p>
        </w:tc>
        <w:tc>
          <w:tcPr>
            <w:tcW w:w="1350"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p>
        </w:tc>
        <w:tc>
          <w:tcPr>
            <w:tcW w:w="1559" w:type="dxa"/>
            <w:tcBorders>
              <w:top w:val="nil"/>
              <w:left w:val="nil"/>
              <w:bottom w:val="single" w:color="auto" w:sz="4" w:space="0"/>
              <w:right w:val="single" w:color="auto" w:sz="8" w:space="0"/>
            </w:tcBorders>
            <w:vAlign w:val="center"/>
          </w:tcPr>
          <w:p>
            <w:pPr>
              <w:widowControl/>
              <w:spacing w:line="360" w:lineRule="exact"/>
              <w:jc w:val="center"/>
              <w:rPr>
                <w:rFonts w:ascii="Times New Roman" w:hAnsi="Times New Roman"/>
                <w:kern w:val="0"/>
                <w:szCs w:val="21"/>
              </w:rPr>
            </w:pPr>
          </w:p>
        </w:tc>
      </w:tr>
      <w:tr>
        <w:tblPrEx>
          <w:tblLayout w:type="fixed"/>
          <w:tblCellMar>
            <w:top w:w="0" w:type="dxa"/>
            <w:left w:w="108" w:type="dxa"/>
            <w:bottom w:w="0" w:type="dxa"/>
            <w:right w:w="108" w:type="dxa"/>
          </w:tblCellMar>
        </w:tblPrEx>
        <w:trPr>
          <w:trHeight w:val="624" w:hRule="atLeast"/>
          <w:jc w:val="center"/>
        </w:trPr>
        <w:tc>
          <w:tcPr>
            <w:tcW w:w="1870" w:type="dxa"/>
            <w:tcBorders>
              <w:top w:val="nil"/>
              <w:left w:val="single" w:color="auto" w:sz="8" w:space="0"/>
              <w:bottom w:val="single" w:color="auto" w:sz="8" w:space="0"/>
              <w:right w:val="single" w:color="auto" w:sz="4" w:space="0"/>
            </w:tcBorders>
            <w:vAlign w:val="center"/>
          </w:tcPr>
          <w:p>
            <w:pPr>
              <w:widowControl/>
              <w:spacing w:line="300" w:lineRule="exact"/>
              <w:jc w:val="left"/>
              <w:rPr>
                <w:rFonts w:ascii="Times New Roman" w:hAnsi="Times New Roman"/>
                <w:kern w:val="0"/>
                <w:szCs w:val="21"/>
              </w:rPr>
            </w:pPr>
            <w:r>
              <w:rPr>
                <w:rFonts w:ascii="Times New Roman" w:hAnsi="Times New Roman"/>
                <w:kern w:val="0"/>
                <w:szCs w:val="21"/>
              </w:rPr>
              <w:t xml:space="preserve">    其中：贫困县农业排灌用电</w:t>
            </w:r>
          </w:p>
        </w:tc>
        <w:tc>
          <w:tcPr>
            <w:tcW w:w="859"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0.4117</w:t>
            </w:r>
          </w:p>
        </w:tc>
        <w:tc>
          <w:tcPr>
            <w:tcW w:w="877"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0.4017</w:t>
            </w:r>
          </w:p>
        </w:tc>
        <w:tc>
          <w:tcPr>
            <w:tcW w:w="1102"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0.3917</w:t>
            </w:r>
          </w:p>
        </w:tc>
        <w:tc>
          <w:tcPr>
            <w:tcW w:w="945"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p>
        </w:tc>
        <w:tc>
          <w:tcPr>
            <w:tcW w:w="983"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p>
        </w:tc>
        <w:tc>
          <w:tcPr>
            <w:tcW w:w="1350"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p>
        </w:tc>
        <w:tc>
          <w:tcPr>
            <w:tcW w:w="1559" w:type="dxa"/>
            <w:tcBorders>
              <w:top w:val="nil"/>
              <w:left w:val="nil"/>
              <w:bottom w:val="single" w:color="auto" w:sz="8" w:space="0"/>
              <w:right w:val="single" w:color="auto" w:sz="8" w:space="0"/>
            </w:tcBorders>
            <w:vAlign w:val="center"/>
          </w:tcPr>
          <w:p>
            <w:pPr>
              <w:widowControl/>
              <w:spacing w:line="360" w:lineRule="exact"/>
              <w:jc w:val="center"/>
              <w:rPr>
                <w:rFonts w:ascii="Times New Roman" w:hAnsi="Times New Roman"/>
                <w:kern w:val="0"/>
                <w:szCs w:val="21"/>
              </w:rPr>
            </w:pPr>
          </w:p>
        </w:tc>
      </w:tr>
    </w:tbl>
    <w:p>
      <w:pPr>
        <w:widowControl/>
        <w:spacing w:line="460" w:lineRule="exact"/>
        <w:ind w:firstLine="420" w:firstLineChars="200"/>
        <w:jc w:val="left"/>
        <w:rPr>
          <w:rFonts w:hint="default" w:ascii="Times New Roman" w:hAnsi="Times New Roman"/>
          <w:kern w:val="0"/>
          <w:szCs w:val="21"/>
        </w:rPr>
      </w:pPr>
      <w:r>
        <w:rPr>
          <w:rFonts w:hint="default" w:ascii="Times New Roman" w:hAnsi="Times New Roman"/>
          <w:kern w:val="0"/>
          <w:szCs w:val="21"/>
        </w:rPr>
        <w:t xml:space="preserve">注:  </w:t>
      </w:r>
    </w:p>
    <w:p>
      <w:pPr>
        <w:widowControl/>
        <w:spacing w:line="460" w:lineRule="exact"/>
        <w:ind w:firstLine="420" w:firstLineChars="200"/>
        <w:jc w:val="both"/>
        <w:rPr>
          <w:rFonts w:ascii="Times New Roman" w:hAnsi="Times New Roman"/>
          <w:kern w:val="0"/>
          <w:szCs w:val="21"/>
        </w:rPr>
      </w:pPr>
      <w:r>
        <w:rPr>
          <w:rFonts w:hint="default" w:ascii="Times New Roman" w:hAnsi="Times New Roman"/>
          <w:kern w:val="0"/>
          <w:szCs w:val="21"/>
        </w:rPr>
        <w:t>1、上表所列价格，除贫困县农业排灌用电外，均含国家重大水利工程建设基金0.21分钱、农网改造还贷资金2分钱。</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2、上表所列价格，除农业生产用电外，均含可再生能源电价附加,其中：居民生活用电0.1分钱，其他用电1.9分钱。</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3、上表所列价格，除农业生产用电外，均含大中型水库移民后期扶持资金0.62分钱和地方水库移民后期扶持资金0.05分钱。</w:t>
      </w:r>
    </w:p>
    <w:p>
      <w:pPr>
        <w:adjustRightInd w:val="0"/>
        <w:snapToGrid w:val="0"/>
        <w:spacing w:after="312" w:afterLines="100" w:line="520" w:lineRule="exact"/>
        <w:jc w:val="both"/>
        <w:rPr>
          <w:rFonts w:hint="default" w:ascii="Times New Roman" w:hAnsi="Times New Roman" w:eastAsia="仿宋_GB2312"/>
          <w:sz w:val="32"/>
          <w:szCs w:val="32"/>
        </w:rPr>
      </w:pPr>
      <w:r>
        <w:rPr>
          <w:rFonts w:ascii="Times New Roman" w:hAnsi="Times New Roman"/>
          <w:kern w:val="0"/>
          <w:sz w:val="22"/>
        </w:rPr>
        <w:br w:type="page"/>
      </w:r>
      <w:r>
        <w:rPr>
          <w:rFonts w:hint="default" w:ascii="Times New Roman" w:hAnsi="Times New Roman" w:eastAsia="仿宋_GB2312"/>
          <w:sz w:val="32"/>
          <w:szCs w:val="32"/>
        </w:rPr>
        <w:t>附件3：</w:t>
      </w:r>
    </w:p>
    <w:p>
      <w:pPr>
        <w:autoSpaceDE w:val="0"/>
        <w:autoSpaceDN w:val="0"/>
        <w:adjustRightInd w:val="0"/>
        <w:snapToGrid w:val="0"/>
        <w:spacing w:line="520" w:lineRule="exact"/>
        <w:ind w:right="40"/>
        <w:jc w:val="center"/>
        <w:rPr>
          <w:rFonts w:hint="default" w:ascii="Times New Roman" w:hAnsi="Times New Roman" w:eastAsia="方正小标宋_GBK"/>
          <w:sz w:val="40"/>
          <w:szCs w:val="40"/>
        </w:rPr>
      </w:pPr>
      <w:r>
        <w:rPr>
          <w:rFonts w:hint="default" w:ascii="Times New Roman" w:hAnsi="Times New Roman" w:eastAsia="方正小标宋_GBK"/>
          <w:sz w:val="40"/>
          <w:szCs w:val="40"/>
        </w:rPr>
        <w:t>湖南省电网趸售电价表</w:t>
      </w:r>
    </w:p>
    <w:p>
      <w:pPr>
        <w:spacing w:line="560" w:lineRule="exact"/>
        <w:jc w:val="center"/>
        <w:rPr>
          <w:rFonts w:hint="default" w:ascii="Times New Roman" w:hAnsi="Times New Roman" w:eastAsia="楷体_GB2312"/>
          <w:sz w:val="28"/>
          <w:szCs w:val="28"/>
        </w:rPr>
      </w:pPr>
    </w:p>
    <w:tbl>
      <w:tblPr>
        <w:tblStyle w:val="4"/>
        <w:tblW w:w="9003" w:type="dxa"/>
        <w:jc w:val="center"/>
        <w:tblInd w:w="0" w:type="dxa"/>
        <w:tblLayout w:type="fixed"/>
        <w:tblCellMar>
          <w:top w:w="0" w:type="dxa"/>
          <w:left w:w="108" w:type="dxa"/>
          <w:bottom w:w="0" w:type="dxa"/>
          <w:right w:w="108" w:type="dxa"/>
        </w:tblCellMar>
      </w:tblPr>
      <w:tblGrid>
        <w:gridCol w:w="2722"/>
        <w:gridCol w:w="1898"/>
        <w:gridCol w:w="2352"/>
        <w:gridCol w:w="2031"/>
      </w:tblGrid>
      <w:tr>
        <w:tblPrEx>
          <w:tblLayout w:type="fixed"/>
          <w:tblCellMar>
            <w:top w:w="0" w:type="dxa"/>
            <w:left w:w="108" w:type="dxa"/>
            <w:bottom w:w="0" w:type="dxa"/>
            <w:right w:w="108" w:type="dxa"/>
          </w:tblCellMar>
        </w:tblPrEx>
        <w:trPr>
          <w:trHeight w:val="567" w:hRule="atLeast"/>
          <w:jc w:val="center"/>
        </w:trPr>
        <w:tc>
          <w:tcPr>
            <w:tcW w:w="2722"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　用电分类　</w:t>
            </w:r>
          </w:p>
        </w:tc>
        <w:tc>
          <w:tcPr>
            <w:tcW w:w="6281"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电压等级</w:t>
            </w:r>
            <w:r>
              <w:rPr>
                <w:rFonts w:hint="default" w:ascii="Times New Roman" w:hAnsi="Times New Roman" w:eastAsia="黑体"/>
                <w:kern w:val="0"/>
                <w:szCs w:val="21"/>
              </w:rPr>
              <w:t>（</w:t>
            </w:r>
            <w:r>
              <w:rPr>
                <w:rFonts w:ascii="Times New Roman" w:hAnsi="Times New Roman" w:eastAsia="黑体"/>
                <w:szCs w:val="21"/>
              </w:rPr>
              <w:t>元/千瓦时</w:t>
            </w:r>
            <w:r>
              <w:rPr>
                <w:rFonts w:hint="default" w:ascii="Times New Roman" w:hAnsi="Times New Roman" w:eastAsia="黑体"/>
                <w:szCs w:val="21"/>
              </w:rPr>
              <w:t>）</w:t>
            </w:r>
          </w:p>
        </w:tc>
      </w:tr>
      <w:tr>
        <w:tblPrEx>
          <w:tblLayout w:type="fixed"/>
          <w:tblCellMar>
            <w:top w:w="0" w:type="dxa"/>
            <w:left w:w="108" w:type="dxa"/>
            <w:bottom w:w="0" w:type="dxa"/>
            <w:right w:w="108" w:type="dxa"/>
          </w:tblCellMar>
        </w:tblPrEx>
        <w:trPr>
          <w:trHeight w:val="567" w:hRule="atLeast"/>
          <w:jc w:val="center"/>
        </w:trPr>
        <w:tc>
          <w:tcPr>
            <w:tcW w:w="2722"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黑体"/>
                <w:kern w:val="0"/>
                <w:szCs w:val="21"/>
              </w:rPr>
            </w:pPr>
          </w:p>
        </w:tc>
        <w:tc>
          <w:tcPr>
            <w:tcW w:w="1898"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1-10千伏</w:t>
            </w:r>
          </w:p>
        </w:tc>
        <w:tc>
          <w:tcPr>
            <w:tcW w:w="2352"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35-110千伏以下</w:t>
            </w:r>
          </w:p>
        </w:tc>
        <w:tc>
          <w:tcPr>
            <w:tcW w:w="2031" w:type="dxa"/>
            <w:tcBorders>
              <w:top w:val="nil"/>
              <w:left w:val="nil"/>
              <w:bottom w:val="single" w:color="auto" w:sz="4" w:space="0"/>
              <w:right w:val="single" w:color="auto" w:sz="8" w:space="0"/>
            </w:tcBorders>
            <w:vAlign w:val="center"/>
          </w:tcPr>
          <w:p>
            <w:pPr>
              <w:widowControl/>
              <w:jc w:val="center"/>
              <w:rPr>
                <w:rFonts w:ascii="Times New Roman" w:hAnsi="Times New Roman" w:eastAsia="黑体"/>
                <w:kern w:val="0"/>
                <w:szCs w:val="21"/>
              </w:rPr>
            </w:pPr>
            <w:r>
              <w:rPr>
                <w:rFonts w:ascii="Times New Roman" w:hAnsi="Times New Roman" w:eastAsia="黑体"/>
                <w:kern w:val="0"/>
                <w:szCs w:val="21"/>
              </w:rPr>
              <w:t>110千伏</w:t>
            </w:r>
          </w:p>
        </w:tc>
      </w:tr>
      <w:tr>
        <w:tblPrEx>
          <w:tblLayout w:type="fixed"/>
          <w:tblCellMar>
            <w:top w:w="0" w:type="dxa"/>
            <w:left w:w="108" w:type="dxa"/>
            <w:bottom w:w="0" w:type="dxa"/>
            <w:right w:w="108" w:type="dxa"/>
          </w:tblCellMar>
        </w:tblPrEx>
        <w:trPr>
          <w:trHeight w:val="567" w:hRule="atLeast"/>
          <w:jc w:val="center"/>
        </w:trPr>
        <w:tc>
          <w:tcPr>
            <w:tcW w:w="2722"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一、居民生活用电</w:t>
            </w:r>
          </w:p>
        </w:tc>
        <w:tc>
          <w:tcPr>
            <w:tcW w:w="1898"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0.4530 </w:t>
            </w:r>
          </w:p>
        </w:tc>
        <w:tc>
          <w:tcPr>
            <w:tcW w:w="2352"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0.4430 </w:t>
            </w:r>
          </w:p>
        </w:tc>
        <w:tc>
          <w:tcPr>
            <w:tcW w:w="2031" w:type="dxa"/>
            <w:tcBorders>
              <w:top w:val="nil"/>
              <w:left w:val="nil"/>
              <w:bottom w:val="single" w:color="auto" w:sz="4" w:space="0"/>
              <w:right w:val="single" w:color="auto" w:sz="8"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0.4330 </w:t>
            </w:r>
          </w:p>
        </w:tc>
      </w:tr>
      <w:tr>
        <w:tblPrEx>
          <w:tblLayout w:type="fixed"/>
          <w:tblCellMar>
            <w:top w:w="0" w:type="dxa"/>
            <w:left w:w="108" w:type="dxa"/>
            <w:bottom w:w="0" w:type="dxa"/>
            <w:right w:w="108" w:type="dxa"/>
          </w:tblCellMar>
        </w:tblPrEx>
        <w:trPr>
          <w:trHeight w:val="567" w:hRule="atLeast"/>
          <w:jc w:val="center"/>
        </w:trPr>
        <w:tc>
          <w:tcPr>
            <w:tcW w:w="2722"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二、一般工商业及其他用电</w:t>
            </w:r>
          </w:p>
        </w:tc>
        <w:tc>
          <w:tcPr>
            <w:tcW w:w="1898"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hint="default" w:ascii="Times New Roman" w:hAnsi="Times New Roman"/>
                <w:kern w:val="0"/>
                <w:szCs w:val="21"/>
              </w:rPr>
              <w:t>0.5297</w:t>
            </w:r>
          </w:p>
        </w:tc>
        <w:tc>
          <w:tcPr>
            <w:tcW w:w="2352"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hint="default" w:ascii="Times New Roman" w:hAnsi="Times New Roman"/>
                <w:kern w:val="0"/>
                <w:szCs w:val="21"/>
              </w:rPr>
              <w:t>0.5197</w:t>
            </w:r>
          </w:p>
        </w:tc>
        <w:tc>
          <w:tcPr>
            <w:tcW w:w="2031" w:type="dxa"/>
            <w:tcBorders>
              <w:top w:val="nil"/>
              <w:left w:val="nil"/>
              <w:bottom w:val="single" w:color="auto" w:sz="4" w:space="0"/>
              <w:right w:val="single" w:color="auto" w:sz="8" w:space="0"/>
            </w:tcBorders>
            <w:vAlign w:val="center"/>
          </w:tcPr>
          <w:p>
            <w:pPr>
              <w:widowControl/>
              <w:spacing w:line="360" w:lineRule="exact"/>
              <w:jc w:val="center"/>
              <w:rPr>
                <w:rFonts w:ascii="Times New Roman" w:hAnsi="Times New Roman"/>
                <w:kern w:val="0"/>
                <w:szCs w:val="21"/>
              </w:rPr>
            </w:pPr>
            <w:r>
              <w:rPr>
                <w:rFonts w:hint="default" w:ascii="Times New Roman" w:hAnsi="Times New Roman"/>
                <w:kern w:val="0"/>
                <w:szCs w:val="21"/>
              </w:rPr>
              <w:t>0.5097</w:t>
            </w:r>
          </w:p>
        </w:tc>
      </w:tr>
      <w:tr>
        <w:tblPrEx>
          <w:tblLayout w:type="fixed"/>
          <w:tblCellMar>
            <w:top w:w="0" w:type="dxa"/>
            <w:left w:w="108" w:type="dxa"/>
            <w:bottom w:w="0" w:type="dxa"/>
            <w:right w:w="108" w:type="dxa"/>
          </w:tblCellMar>
        </w:tblPrEx>
        <w:trPr>
          <w:trHeight w:val="567" w:hRule="atLeast"/>
          <w:jc w:val="center"/>
        </w:trPr>
        <w:tc>
          <w:tcPr>
            <w:tcW w:w="2722"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三、农业生产用电</w:t>
            </w:r>
          </w:p>
        </w:tc>
        <w:tc>
          <w:tcPr>
            <w:tcW w:w="1898"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0.4347 </w:t>
            </w:r>
          </w:p>
        </w:tc>
        <w:tc>
          <w:tcPr>
            <w:tcW w:w="2352" w:type="dxa"/>
            <w:tcBorders>
              <w:top w:val="nil"/>
              <w:left w:val="nil"/>
              <w:bottom w:val="single" w:color="auto" w:sz="4"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0.4247 </w:t>
            </w:r>
          </w:p>
        </w:tc>
        <w:tc>
          <w:tcPr>
            <w:tcW w:w="2031" w:type="dxa"/>
            <w:tcBorders>
              <w:top w:val="nil"/>
              <w:left w:val="nil"/>
              <w:bottom w:val="single" w:color="auto" w:sz="4" w:space="0"/>
              <w:right w:val="single" w:color="auto" w:sz="8"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0.4147 </w:t>
            </w:r>
          </w:p>
        </w:tc>
      </w:tr>
      <w:tr>
        <w:tblPrEx>
          <w:tblLayout w:type="fixed"/>
          <w:tblCellMar>
            <w:top w:w="0" w:type="dxa"/>
            <w:left w:w="108" w:type="dxa"/>
            <w:bottom w:w="0" w:type="dxa"/>
            <w:right w:w="108" w:type="dxa"/>
          </w:tblCellMar>
        </w:tblPrEx>
        <w:trPr>
          <w:trHeight w:val="567" w:hRule="atLeast"/>
          <w:jc w:val="center"/>
        </w:trPr>
        <w:tc>
          <w:tcPr>
            <w:tcW w:w="2722"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xml:space="preserve">    其中：贫困县农业排灌用电</w:t>
            </w:r>
          </w:p>
        </w:tc>
        <w:tc>
          <w:tcPr>
            <w:tcW w:w="1898"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0.3227 </w:t>
            </w:r>
          </w:p>
        </w:tc>
        <w:tc>
          <w:tcPr>
            <w:tcW w:w="2352" w:type="dxa"/>
            <w:tcBorders>
              <w:top w:val="nil"/>
              <w:left w:val="nil"/>
              <w:bottom w:val="single" w:color="auto" w:sz="8" w:space="0"/>
              <w:right w:val="single" w:color="auto" w:sz="4"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0.3127 </w:t>
            </w:r>
          </w:p>
        </w:tc>
        <w:tc>
          <w:tcPr>
            <w:tcW w:w="2031" w:type="dxa"/>
            <w:tcBorders>
              <w:top w:val="nil"/>
              <w:left w:val="nil"/>
              <w:bottom w:val="single" w:color="auto" w:sz="8" w:space="0"/>
              <w:right w:val="single" w:color="auto" w:sz="8" w:space="0"/>
            </w:tcBorders>
            <w:vAlign w:val="center"/>
          </w:tcPr>
          <w:p>
            <w:pPr>
              <w:widowControl/>
              <w:spacing w:line="360" w:lineRule="exact"/>
              <w:jc w:val="center"/>
              <w:rPr>
                <w:rFonts w:ascii="Times New Roman" w:hAnsi="Times New Roman"/>
                <w:kern w:val="0"/>
                <w:szCs w:val="21"/>
              </w:rPr>
            </w:pPr>
            <w:r>
              <w:rPr>
                <w:rFonts w:ascii="Times New Roman" w:hAnsi="Times New Roman"/>
                <w:kern w:val="0"/>
                <w:szCs w:val="21"/>
              </w:rPr>
              <w:t xml:space="preserve">0.3027 </w:t>
            </w:r>
          </w:p>
        </w:tc>
      </w:tr>
    </w:tbl>
    <w:p>
      <w:pPr>
        <w:widowControl/>
        <w:spacing w:line="460" w:lineRule="exact"/>
        <w:ind w:firstLine="420" w:firstLineChars="200"/>
        <w:jc w:val="left"/>
        <w:rPr>
          <w:rFonts w:hint="default" w:ascii="Times New Roman" w:hAnsi="Times New Roman"/>
          <w:kern w:val="0"/>
          <w:szCs w:val="21"/>
        </w:rPr>
      </w:pPr>
      <w:r>
        <w:rPr>
          <w:rFonts w:hint="default" w:ascii="Times New Roman" w:hAnsi="Times New Roman"/>
          <w:kern w:val="0"/>
          <w:szCs w:val="21"/>
        </w:rPr>
        <w:t xml:space="preserve">注： </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1、上表所列价格，除贫困县农业排灌用电外，含国家重大水利工程建设基金0.21分钱、农网改造还贷资金2分钱。</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2、上表所列价格，除农业生产用电外，均含可再生能源电价附加，其中：居民生活用电0.1分钱，其他用电1.9分钱。</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3、上表所列价格，除农业生产用电外，均含大中型水库移民后期扶持资金0.62分钱和地方水库移民后期扶持资金0.05分钱。</w:t>
      </w:r>
    </w:p>
    <w:p>
      <w:pPr>
        <w:widowControl/>
        <w:spacing w:line="460" w:lineRule="exact"/>
        <w:ind w:firstLine="420" w:firstLineChars="200"/>
        <w:jc w:val="both"/>
        <w:rPr>
          <w:rFonts w:hint="default" w:ascii="Times New Roman" w:hAnsi="Times New Roman"/>
          <w:kern w:val="0"/>
          <w:szCs w:val="21"/>
        </w:rPr>
      </w:pPr>
      <w:r>
        <w:rPr>
          <w:rFonts w:hint="default" w:ascii="Times New Roman" w:hAnsi="Times New Roman"/>
          <w:kern w:val="0"/>
          <w:szCs w:val="21"/>
        </w:rPr>
        <w:t>4、上表所列供农村供电所居民生活电量，在表列电价基础上每千瓦时降低7分钱。</w:t>
      </w:r>
    </w:p>
    <w:p>
      <w:pPr>
        <w:spacing w:after="312" w:afterLines="100" w:line="596" w:lineRule="exact"/>
        <w:ind w:left="3780" w:leftChars="1800" w:firstLine="1280" w:firstLineChars="400"/>
        <w:rPr>
          <w:rFonts w:hint="default" w:ascii="Times New Roman" w:hAnsi="Times New Roman" w:eastAsia="仿宋_GB2312" w:cs="Times New Roman"/>
          <w:sz w:val="32"/>
          <w:szCs w:val="32"/>
        </w:rPr>
      </w:pPr>
    </w:p>
    <w:p>
      <w:pPr>
        <w:wordWrap w:val="0"/>
        <w:autoSpaceDE w:val="0"/>
        <w:autoSpaceDN w:val="0"/>
        <w:adjustRightInd w:val="0"/>
        <w:spacing w:line="596" w:lineRule="exact"/>
        <w:ind w:right="-2"/>
        <w:jc w:val="right"/>
        <w:rPr>
          <w:rFonts w:eastAsia="仿宋_GB2312"/>
          <w:w w:val="98"/>
          <w:sz w:val="32"/>
        </w:rPr>
      </w:pPr>
      <w:r>
        <w:rPr>
          <w:rFonts w:eastAsia="仿宋_GB2312"/>
          <w:w w:val="98"/>
          <w:sz w:val="32"/>
        </w:rPr>
        <w:t xml:space="preserve">        </w:t>
      </w:r>
    </w:p>
    <w:p>
      <w:pPr>
        <w:spacing w:line="596" w:lineRule="exact"/>
        <w:rPr>
          <w:rFonts w:eastAsia="仿宋_GB2312"/>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331D0"/>
    <w:rsid w:val="25A331D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2018-09-06T09:57:00Z</dcterms:created>
  <dc:creator>NTKO</dc:creator>
  <cp:lastModifiedBy>NTKO</cp:lastModifiedBy>
  <dcterms:modified xsi:type="dcterms:W3CDTF">2018-09-06T09:57:56Z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