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hint="eastAsia" w:eastAsia="黑体"/>
          <w:b/>
          <w:kern w:val="2"/>
          <w:sz w:val="36"/>
        </w:rPr>
        <w:t xml:space="preserve">                                               </w:t>
      </w:r>
    </w:p>
    <w:p>
      <w:pPr>
        <w:pStyle w:val="19"/>
        <w:spacing w:beforeLines="150"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19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19"/>
        <w:spacing w:line="400" w:lineRule="exact"/>
        <w:ind w:firstLine="490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hint="eastAsia" w:ascii="仿宋_GB2312" w:hAnsi="楷体_GB2312" w:eastAsia="仿宋_GB2312"/>
          <w:sz w:val="28"/>
          <w:szCs w:val="28"/>
        </w:rPr>
        <w:t xml:space="preserve">                               </w:t>
      </w: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华环评[2018]1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关于邵阳通泰路桥建设有限公司年产5万吨沥青混凝土、300吨乳化沥青建设项目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4"/>
        <w:spacing w:beforeLines="100" w:line="580" w:lineRule="exact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</w:rPr>
        <w:t>邵阳通泰路桥建设有限公司</w:t>
      </w:r>
      <w:r>
        <w:rPr>
          <w:rFonts w:hint="eastAsia" w:ascii="仿宋_GB2312" w:hAnsi="宋体" w:eastAsia="仿宋_GB2312"/>
        </w:rPr>
        <w:t>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位《关于申请对〈邵阳通泰路桥建设有限公司年产5万吨沥青混凝土、300吨乳化沥青建设项目环境影响报告表〉批复的报告》</w:t>
      </w:r>
      <w:r>
        <w:rPr>
          <w:rFonts w:hint="eastAsia" w:ascii="仿宋_GB2312" w:hAnsi="宋体" w:eastAsia="仿宋_GB2312"/>
        </w:rPr>
        <w:t>及有关材料已收悉，我局按照建设项目管理有关规定对该项目进行审查，经研究，批复如下：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  <w:bCs/>
        </w:rPr>
      </w:pPr>
      <w:r>
        <w:rPr>
          <w:rFonts w:hint="eastAsia" w:ascii="仿宋_GB2312" w:eastAsia="仿宋_GB2312"/>
        </w:rPr>
        <w:t>一、邵阳通泰路桥建设有限公司岳阳长江经济带沿江公路（华容段）第一合同段项目经理部为沿江公路建设需要，拟租用华容县东山镇长江村（原万家垸村四组）繁莲湖地段4595m</w:t>
      </w:r>
      <w:r>
        <w:rPr>
          <w:rFonts w:hint="eastAsia" w:ascii="仿宋_GB2312" w:eastAsia="仿宋_GB2312"/>
          <w:vertAlign w:val="superscript"/>
        </w:rPr>
        <w:t>2</w:t>
      </w:r>
      <w:r>
        <w:rPr>
          <w:rFonts w:hint="eastAsia" w:ascii="仿宋_GB2312" w:eastAsia="仿宋_GB2312"/>
        </w:rPr>
        <w:t>集体用地进行沥青混凝土搅拌站建设，临时用地使用期限为2年，项目建成后预计年产5万吨沥青混凝土和300吨乳化沥青。</w:t>
      </w:r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符合国家产业政策，根据江西景瑞祥环保科技有限公司</w:t>
      </w:r>
      <w:r>
        <w:rPr>
          <w:rFonts w:hint="eastAsia" w:ascii="仿宋" w:hAnsi="仿宋" w:eastAsia="仿宋"/>
          <w:sz w:val="32"/>
          <w:szCs w:val="32"/>
        </w:rPr>
        <w:t>编制的</w:t>
      </w:r>
      <w:r>
        <w:rPr>
          <w:rFonts w:hint="eastAsia" w:ascii="仿宋_GB2312" w:eastAsia="仿宋_GB2312"/>
        </w:rPr>
        <w:t>环境影响报告表的结论和专家意见，在建设单位认真落实报告表提出的各项污染防治、环境风险防范措施、确保污染物稳定达标排放的前提下，从环境保护的角度，我局同意项目按照报告表中所列的建设地点、规模</w:t>
      </w:r>
      <w:r>
        <w:rPr>
          <w:rFonts w:hint="eastAsia" w:ascii="仿宋" w:hAnsi="仿宋" w:eastAsia="仿宋"/>
          <w:sz w:val="32"/>
          <w:szCs w:val="32"/>
        </w:rPr>
        <w:t>、工艺</w:t>
      </w:r>
      <w:r>
        <w:rPr>
          <w:rFonts w:hint="eastAsia" w:ascii="仿宋_GB2312" w:eastAsia="仿宋_GB2312"/>
        </w:rPr>
        <w:t>以及环境保护措施实施建设。</w:t>
      </w:r>
    </w:p>
    <w:p>
      <w:pPr>
        <w:pStyle w:val="14"/>
        <w:spacing w:line="580" w:lineRule="exact"/>
        <w:ind w:firstLine="64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1、</w:t>
      </w:r>
      <w:r>
        <w:rPr>
          <w:rFonts w:hint="eastAsia" w:ascii="仿宋" w:hAnsi="仿宋" w:eastAsia="仿宋"/>
          <w:sz w:val="32"/>
          <w:szCs w:val="32"/>
        </w:rPr>
        <w:t>做好施工期环境保护工作。严格落实报告表中提出的施工期扬尘、噪声、废水等各项污染防治措施，避免施工期噪声、扬尘和水土流失</w:t>
      </w:r>
      <w:r>
        <w:rPr>
          <w:rFonts w:hint="eastAsia" w:ascii="仿宋" w:hAnsi="仿宋" w:eastAsia="仿宋"/>
          <w:kern w:val="2"/>
          <w:sz w:val="32"/>
          <w:szCs w:val="32"/>
        </w:rPr>
        <w:t>对周边环境的影响。优化施工布置，</w:t>
      </w:r>
      <w:r>
        <w:rPr>
          <w:rFonts w:ascii="仿宋" w:hAnsi="仿宋" w:eastAsia="仿宋"/>
          <w:sz w:val="32"/>
          <w:szCs w:val="32"/>
        </w:rPr>
        <w:t>严格控制施工时段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 w:cs="宋体"/>
          <w:sz w:val="32"/>
          <w:szCs w:val="32"/>
        </w:rPr>
        <w:t>油污水，经隔油沉淀处理后回用于生产，不得排入繁莲湖</w:t>
      </w:r>
      <w:r>
        <w:rPr>
          <w:rFonts w:hint="eastAsia" w:ascii="仿宋" w:hAnsi="仿宋" w:eastAsia="仿宋"/>
          <w:sz w:val="32"/>
          <w:szCs w:val="32"/>
        </w:rPr>
        <w:t>；施工人员生活废水经化粪池处理后用于周边农作物施肥；建筑材料不能露天堆放，弃土合理利用，及时回填于低洼地带。施工人员生活垃圾集中收集交由环卫部门统一清运；加强施工组织和管理，施工结束后及时恢复绿化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2、项目采用“雨污分流”排水体制，厂区雨水经引流渠，截流沟引入沉淀池沉淀后用于厂区洒水抑尘。营运期项目没有生产废水外排。厂区道路冲洗水经收集沉淀后用于厂区洒水抑尘，不外排。生活污水经四格化粪池处理后用于周边农肥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、</w:t>
      </w:r>
      <w:r>
        <w:rPr>
          <w:rFonts w:ascii="仿宋_GB2312" w:hAnsi="宋体" w:eastAsia="仿宋_GB2312"/>
        </w:rPr>
        <w:t>严格落实大气污染防治措施。项目的有组织排放的粉尘及燃烧废气经过引风机+</w:t>
      </w:r>
      <w:r>
        <w:rPr>
          <w:rFonts w:hint="eastAsia" w:ascii="仿宋_GB2312" w:hAnsi="宋体" w:eastAsia="仿宋_GB2312"/>
        </w:rPr>
        <w:t>高温</w:t>
      </w:r>
      <w:r>
        <w:rPr>
          <w:rFonts w:ascii="仿宋_GB2312" w:hAnsi="宋体" w:eastAsia="仿宋_GB2312"/>
        </w:rPr>
        <w:t>布袋除尘器+</w:t>
      </w:r>
      <w:r>
        <w:rPr>
          <w:rFonts w:hint="eastAsia" w:ascii="仿宋_GB2312" w:hAnsi="宋体" w:eastAsia="仿宋_GB2312"/>
        </w:rPr>
        <w:t>15</w:t>
      </w:r>
      <w:r>
        <w:rPr>
          <w:rFonts w:ascii="仿宋_GB2312" w:hAnsi="宋体" w:eastAsia="仿宋_GB2312"/>
        </w:rPr>
        <w:t>m的排气筒处理后达到《大气污染物综合排放标准》（GB16297-1996）</w:t>
      </w:r>
      <w:r>
        <w:rPr>
          <w:rFonts w:hint="eastAsia" w:ascii="仿宋_GB2312" w:hAnsi="宋体" w:eastAsia="仿宋_GB2312"/>
        </w:rPr>
        <w:t>的</w:t>
      </w:r>
      <w:r>
        <w:rPr>
          <w:rFonts w:ascii="仿宋_GB2312" w:hAnsi="宋体" w:eastAsia="仿宋_GB2312"/>
        </w:rPr>
        <w:t>要求</w:t>
      </w:r>
      <w:r>
        <w:rPr>
          <w:rFonts w:hint="eastAsia" w:ascii="仿宋_GB2312" w:hAnsi="宋体" w:eastAsia="仿宋_GB2312"/>
          <w:lang w:eastAsia="zh-CN"/>
        </w:rPr>
        <w:t>排放</w:t>
      </w:r>
      <w:r>
        <w:rPr>
          <w:rFonts w:ascii="仿宋_GB2312" w:hAnsi="宋体" w:eastAsia="仿宋_GB2312"/>
        </w:rPr>
        <w:t>，本项目产生的沥青烟气</w:t>
      </w:r>
      <w:r>
        <w:rPr>
          <w:rFonts w:hint="eastAsia" w:ascii="仿宋_GB2312" w:hAnsi="宋体" w:eastAsia="仿宋_GB2312"/>
        </w:rPr>
        <w:t>（含非甲烷总烃特征因子</w:t>
      </w:r>
      <w:r>
        <w:rPr>
          <w:rFonts w:ascii="仿宋_GB2312" w:hAnsi="宋体" w:eastAsia="仿宋_GB2312"/>
        </w:rPr>
        <w:t>苯并[a]芘</w:t>
      </w:r>
      <w:r>
        <w:rPr>
          <w:rFonts w:hint="eastAsia" w:ascii="仿宋_GB2312" w:hAnsi="宋体" w:eastAsia="仿宋_GB2312"/>
        </w:rPr>
        <w:t>）</w:t>
      </w:r>
      <w:r>
        <w:rPr>
          <w:rFonts w:ascii="仿宋_GB2312" w:hAnsi="宋体" w:eastAsia="仿宋_GB2312"/>
        </w:rPr>
        <w:t>经集气罩</w:t>
      </w:r>
      <w:r>
        <w:rPr>
          <w:rFonts w:hint="eastAsia" w:ascii="仿宋_GB2312" w:hAnsi="宋体" w:eastAsia="仿宋_GB2312"/>
        </w:rPr>
        <w:t>收集</w:t>
      </w:r>
      <w:r>
        <w:rPr>
          <w:rFonts w:ascii="仿宋_GB2312" w:hAnsi="宋体" w:eastAsia="仿宋_GB2312"/>
        </w:rPr>
        <w:t>后返回燃烧器燃烧处理</w:t>
      </w:r>
      <w:r>
        <w:rPr>
          <w:rFonts w:hint="eastAsia" w:ascii="仿宋_GB2312" w:hAnsi="宋体" w:eastAsia="仿宋_GB2312"/>
        </w:rPr>
        <w:t>+高温</w:t>
      </w:r>
      <w:r>
        <w:rPr>
          <w:rFonts w:ascii="仿宋_GB2312" w:hAnsi="宋体" w:eastAsia="仿宋_GB2312"/>
        </w:rPr>
        <w:t>布袋除尘器+</w:t>
      </w:r>
      <w:r>
        <w:rPr>
          <w:rFonts w:hint="eastAsia" w:ascii="仿宋_GB2312" w:hAnsi="宋体" w:eastAsia="仿宋_GB2312"/>
        </w:rPr>
        <w:t>15</w:t>
      </w:r>
      <w:r>
        <w:rPr>
          <w:rFonts w:ascii="仿宋_GB2312" w:hAnsi="宋体" w:eastAsia="仿宋_GB2312"/>
        </w:rPr>
        <w:t>m的排气筒处理后达到《大气污染物综合排放标准》（GB16297-</w:t>
      </w:r>
      <w:r>
        <w:rPr>
          <w:rFonts w:hint="eastAsia" w:ascii="仿宋_GB2312" w:hAnsi="宋体" w:eastAsia="仿宋_GB2312"/>
        </w:rPr>
        <w:t>2012</w:t>
      </w:r>
      <w:r>
        <w:rPr>
          <w:rFonts w:ascii="仿宋_GB2312" w:hAnsi="宋体" w:eastAsia="仿宋_GB2312"/>
        </w:rPr>
        <w:t>）二级标准相关要求</w:t>
      </w:r>
      <w:r>
        <w:rPr>
          <w:rFonts w:hint="eastAsia" w:ascii="仿宋_GB2312" w:hAnsi="宋体" w:eastAsia="仿宋_GB2312"/>
          <w:lang w:eastAsia="zh-CN"/>
        </w:rPr>
        <w:t>排放</w:t>
      </w:r>
      <w:r>
        <w:rPr>
          <w:rFonts w:ascii="仿宋_GB2312" w:hAnsi="宋体" w:eastAsia="仿宋_GB2312"/>
        </w:rPr>
        <w:t>；本项目产生的</w:t>
      </w:r>
      <w:r>
        <w:rPr>
          <w:rFonts w:hint="eastAsia" w:ascii="仿宋_GB2312" w:hAnsi="宋体" w:eastAsia="仿宋_GB2312"/>
        </w:rPr>
        <w:t>锅炉</w:t>
      </w:r>
      <w:r>
        <w:rPr>
          <w:rFonts w:ascii="仿宋_GB2312" w:hAnsi="宋体" w:eastAsia="仿宋_GB2312"/>
        </w:rPr>
        <w:t>烟气达到《锅炉大气污染物排放标准》（GB13271-2014）中标准要</w:t>
      </w:r>
      <w:r>
        <w:rPr>
          <w:rFonts w:hint="eastAsia" w:ascii="仿宋_GB2312" w:hAnsi="宋体" w:eastAsia="仿宋_GB2312"/>
          <w:lang w:eastAsia="zh-CN"/>
        </w:rPr>
        <w:t>求后</w:t>
      </w:r>
      <w:r>
        <w:rPr>
          <w:rFonts w:ascii="仿宋_GB2312" w:hAnsi="宋体" w:eastAsia="仿宋_GB2312"/>
        </w:rPr>
        <w:t>经引风机通过</w:t>
      </w:r>
      <w:r>
        <w:rPr>
          <w:rFonts w:hint="eastAsia" w:ascii="仿宋_GB2312" w:hAnsi="宋体" w:eastAsia="仿宋_GB2312"/>
        </w:rPr>
        <w:t>15</w:t>
      </w:r>
      <w:r>
        <w:rPr>
          <w:rFonts w:ascii="仿宋_GB2312" w:hAnsi="宋体" w:eastAsia="仿宋_GB2312"/>
        </w:rPr>
        <w:t>m高排气筒排放</w:t>
      </w:r>
      <w:r>
        <w:rPr>
          <w:rFonts w:hint="eastAsia" w:ascii="仿宋_GB2312" w:hAnsi="宋体" w:eastAsia="仿宋_GB2312"/>
          <w:lang w:eastAsia="zh-CN"/>
        </w:rPr>
        <w:t>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4</w:t>
      </w:r>
      <w:r>
        <w:rPr>
          <w:rFonts w:hint="eastAsia" w:ascii="仿宋_GB2312" w:hAnsi="宋体" w:eastAsia="仿宋_GB2312"/>
        </w:rPr>
        <w:t>、加强项目固体废物管理。建立各类固体废物产生、转运、储存、处置管理台帐，按照《一般工业固体废物贮存、处置场污染控制标准》（GB16889-1997）和《危险废物贮存污染控制标准》（GB18597-2001）要求，规范建设暂存场所，避免二次污染，规范处理一般工业固体废物，危险废物交有资质单位安全处置。项目废石料送回石料堆场暂存，由石料供应商定期回收破碎后重新利用</w:t>
      </w:r>
      <w:r>
        <w:rPr>
          <w:rFonts w:hint="eastAsia" w:ascii="仿宋_GB2312" w:hAnsi="宋体" w:eastAsia="仿宋_GB2312"/>
          <w:lang w:eastAsia="zh-CN"/>
        </w:rPr>
        <w:t>；</w:t>
      </w:r>
      <w:r>
        <w:rPr>
          <w:rFonts w:hint="eastAsia" w:ascii="仿宋_GB2312" w:hAnsi="宋体" w:eastAsia="仿宋_GB2312"/>
        </w:rPr>
        <w:t>除尘装置收集的粉尘回用于生产</w:t>
      </w:r>
      <w:r>
        <w:rPr>
          <w:rFonts w:hint="eastAsia" w:ascii="仿宋_GB2312" w:hAnsi="宋体" w:eastAsia="仿宋_GB2312"/>
          <w:lang w:eastAsia="zh-CN"/>
        </w:rPr>
        <w:t>；滴漏沥青年作为原料收集后回用于生产；废乳化剂桶定期交由厂家回收；生活垃圾经收集后，环卫部门定期清运。禁止危险废物及生活垃圾混入一般固废。</w:t>
      </w:r>
    </w:p>
    <w:p>
      <w:pPr>
        <w:pStyle w:val="14"/>
        <w:spacing w:line="580" w:lineRule="exact"/>
        <w:ind w:firstLine="640" w:firstLineChars="2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5</w:t>
      </w:r>
      <w:r>
        <w:rPr>
          <w:rFonts w:hint="eastAsia" w:ascii="仿宋_GB2312" w:hAnsi="宋体" w:eastAsia="仿宋_GB2312"/>
        </w:rPr>
        <w:t>、项目需设置大气环境防护距离为300m。项目区周边300m范围内无常住居民，在今后的规划建设中项目大气环境防护距离内不能新建居民小区、医院、学校等环境敏感目标。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6、</w:t>
      </w:r>
      <w:r>
        <w:rPr>
          <w:rFonts w:hint="eastAsia" w:ascii="仿宋_GB2312" w:hAnsi="宋体" w:eastAsia="仿宋_GB2312"/>
        </w:rPr>
        <w:t>加强环境管理，设专门的环保机构及环保人员，确保各项污染防治设施正常运行、各类污染物达标排放，严禁“三废”不经处理直接排放。同时应采取有效措施防止发生各种污染事故，制定好各种污染事故风险防范和应急措施，增强事故防范意识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7</w:t>
      </w:r>
      <w:r>
        <w:rPr>
          <w:rFonts w:hint="eastAsia" w:ascii="仿宋_GB2312" w:hAnsi="宋体" w:eastAsia="仿宋_GB2312"/>
        </w:rPr>
        <w:t>、</w:t>
      </w:r>
      <w:r>
        <w:rPr>
          <w:rFonts w:hint="eastAsia" w:ascii="仿宋_GB2312" w:hAnsi="宋体" w:eastAsia="仿宋_GB2312"/>
          <w:lang w:eastAsia="zh-CN"/>
        </w:rPr>
        <w:t>本项目</w:t>
      </w:r>
      <w:r>
        <w:rPr>
          <w:rFonts w:hint="eastAsia" w:ascii="仿宋_GB2312" w:hAnsi="宋体" w:eastAsia="仿宋_GB2312"/>
        </w:rPr>
        <w:t>污染物</w:t>
      </w:r>
      <w:r>
        <w:rPr>
          <w:rFonts w:hint="eastAsia" w:ascii="仿宋_GB2312" w:hAnsi="宋体" w:eastAsia="仿宋_GB2312"/>
          <w:lang w:eastAsia="zh-CN"/>
        </w:rPr>
        <w:t>排放</w:t>
      </w:r>
      <w:r>
        <w:rPr>
          <w:rFonts w:hint="eastAsia" w:ascii="仿宋_GB2312" w:hAnsi="宋体" w:eastAsia="仿宋_GB2312"/>
        </w:rPr>
        <w:t>总量</w:t>
      </w:r>
      <w:r>
        <w:rPr>
          <w:rFonts w:hint="eastAsia" w:ascii="仿宋_GB2312" w:hAnsi="宋体" w:eastAsia="仿宋_GB2312"/>
          <w:lang w:eastAsia="zh-CN"/>
        </w:rPr>
        <w:t>为</w:t>
      </w:r>
      <w:r>
        <w:rPr>
          <w:rFonts w:hint="eastAsia" w:ascii="仿宋_GB2312" w:hAnsi="宋体" w:eastAsia="仿宋_GB2312"/>
        </w:rPr>
        <w:t>：</w:t>
      </w:r>
      <w:r>
        <w:rPr>
          <w:rFonts w:ascii="仿宋_GB2312" w:hAnsi="宋体" w:eastAsia="仿宋_GB2312"/>
          <w:lang w:val="de-DE"/>
        </w:rPr>
        <w:t>SO</w:t>
      </w:r>
      <w:r>
        <w:rPr>
          <w:rFonts w:ascii="仿宋_GB2312" w:hAnsi="宋体" w:eastAsia="仿宋_GB2312"/>
          <w:vertAlign w:val="subscript"/>
          <w:lang w:val="de-DE"/>
        </w:rPr>
        <w:t>2</w:t>
      </w:r>
      <w:r>
        <w:rPr>
          <w:rFonts w:hint="eastAsia" w:ascii="仿宋_GB2312" w:hAnsi="宋体" w:eastAsia="仿宋_GB2312"/>
        </w:rPr>
        <w:t>≤1.29t/a，</w:t>
      </w:r>
      <w:r>
        <w:rPr>
          <w:rFonts w:hint="eastAsia" w:ascii="仿宋_GB2312" w:hAnsi="宋体" w:eastAsia="仿宋_GB2312"/>
          <w:lang w:val="de-DE"/>
        </w:rPr>
        <w:t>NOx</w:t>
      </w:r>
      <w:r>
        <w:rPr>
          <w:rFonts w:hint="eastAsia" w:ascii="仿宋_GB2312" w:hAnsi="宋体" w:eastAsia="仿宋_GB2312"/>
        </w:rPr>
        <w:t>≤1.25t/a</w:t>
      </w:r>
      <w:r>
        <w:rPr>
          <w:rFonts w:hint="eastAsia" w:ascii="仿宋_GB2312" w:hAnsi="宋体" w:eastAsia="仿宋_GB2312"/>
          <w:lang w:eastAsia="zh-CN"/>
        </w:rPr>
        <w:t>，挥发性有机物：0.0048t/a</w:t>
      </w:r>
      <w:r>
        <w:rPr>
          <w:rFonts w:hint="eastAsia" w:ascii="仿宋_GB2312" w:hAnsi="宋体" w:eastAsia="仿宋_GB2312"/>
        </w:rPr>
        <w:t>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4"/>
        <w:spacing w:line="5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四、建设项目的日常环境监管工作由华容县局环境监察大队负责。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你公司应在收到本批复后7个工作日内，将批复及批准的环评报告文本送至华容县环境保护局监察大队备案。</w:t>
      </w: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rPr>
          <w:rFonts w:ascii="仿宋_GB2312" w:hAnsi="宋体" w:eastAsia="仿宋_GB2312"/>
        </w:rPr>
      </w:pPr>
    </w:p>
    <w:p>
      <w:pPr>
        <w:pStyle w:val="14"/>
        <w:spacing w:line="360" w:lineRule="auto"/>
        <w:ind w:firstLine="4800" w:firstLineChars="1500"/>
        <w:jc w:val="left"/>
        <w:rPr>
          <w:rFonts w:ascii="仿宋_GB2312" w:hAnsi="宋体" w:eastAsia="仿宋_GB2312"/>
          <w:bCs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/>
          <w:bCs/>
        </w:rPr>
        <w:t>〇</w:t>
      </w:r>
      <w:r>
        <w:rPr>
          <w:rFonts w:hint="eastAsia" w:ascii="仿宋_GB2312" w:hAnsi="宋体" w:eastAsia="仿宋_GB2312"/>
          <w:bCs/>
        </w:rPr>
        <w:t>一八年</w:t>
      </w:r>
      <w:r>
        <w:rPr>
          <w:rFonts w:hint="eastAsia" w:ascii="仿宋_GB2312" w:hAnsi="宋体" w:eastAsia="仿宋_GB2312"/>
          <w:bCs/>
          <w:lang w:eastAsia="zh-CN"/>
        </w:rPr>
        <w:t>九</w:t>
      </w:r>
      <w:r>
        <w:rPr>
          <w:rFonts w:hint="eastAsia" w:ascii="仿宋_GB2312" w:hAnsi="宋体" w:eastAsia="仿宋_GB2312"/>
          <w:bCs/>
        </w:rPr>
        <w:t>月十二日</w:t>
      </w: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  <w:bookmarkStart w:id="0" w:name="_GoBack"/>
      <w:bookmarkEnd w:id="0"/>
    </w:p>
    <w:p>
      <w:pPr>
        <w:pStyle w:val="14"/>
        <w:spacing w:line="360" w:lineRule="auto"/>
        <w:ind w:firstLine="4960" w:firstLineChars="1550"/>
        <w:jc w:val="left"/>
        <w:rPr>
          <w:rFonts w:ascii="仿宋_GB2312" w:hAnsi="宋体" w:eastAsia="仿宋_GB2312"/>
          <w:bCs/>
        </w:rPr>
      </w:pPr>
    </w:p>
    <w:p>
      <w:pPr>
        <w:pStyle w:val="14"/>
        <w:spacing w:line="360" w:lineRule="auto"/>
        <w:jc w:val="left"/>
        <w:rPr>
          <w:rFonts w:ascii="仿宋_GB2312" w:hAnsi="宋体" w:eastAsia="仿宋_GB2312"/>
          <w:bCs/>
        </w:rPr>
      </w:pPr>
    </w:p>
    <w:p>
      <w:pPr>
        <w:ind w:firstLine="19" w:firstLineChars="6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widowControl/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ascii="宋体" w:hAnsi="宋体"/>
          <w:bCs/>
          <w:sz w:val="32"/>
          <w:szCs w:val="32"/>
        </w:rPr>
        <w:t>江西景瑞祥环保科技有限公司</w:t>
      </w:r>
    </w:p>
    <w:p>
      <w:pPr>
        <w:widowControl/>
        <w:spacing w:line="180" w:lineRule="exact"/>
        <w:ind w:firstLine="19" w:firstLineChars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                                          </w:t>
      </w:r>
    </w:p>
    <w:p>
      <w:pPr>
        <w:pStyle w:val="19"/>
        <w:jc w:val="both"/>
        <w:textAlignment w:val="top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850" w:gutter="0"/>
      <w:cols w:space="720" w:num="1"/>
      <w:titlePg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0B3A"/>
    <w:rsid w:val="000137A5"/>
    <w:rsid w:val="00014D3F"/>
    <w:rsid w:val="0001691C"/>
    <w:rsid w:val="00016AF0"/>
    <w:rsid w:val="00017516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83A2D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A7BED"/>
    <w:rsid w:val="000B1126"/>
    <w:rsid w:val="000B1B00"/>
    <w:rsid w:val="000B3DCC"/>
    <w:rsid w:val="000C22CD"/>
    <w:rsid w:val="000C37A6"/>
    <w:rsid w:val="000C56C8"/>
    <w:rsid w:val="000C7135"/>
    <w:rsid w:val="000C71F5"/>
    <w:rsid w:val="000D1E16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4664"/>
    <w:rsid w:val="00107548"/>
    <w:rsid w:val="00107DF0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1E30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2074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1100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5CEF"/>
    <w:rsid w:val="00196595"/>
    <w:rsid w:val="00197327"/>
    <w:rsid w:val="00197499"/>
    <w:rsid w:val="001979BD"/>
    <w:rsid w:val="00197E1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E7B75"/>
    <w:rsid w:val="001F076F"/>
    <w:rsid w:val="001F0C95"/>
    <w:rsid w:val="001F0DF3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2F3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2AC7"/>
    <w:rsid w:val="00274510"/>
    <w:rsid w:val="00275964"/>
    <w:rsid w:val="00277B56"/>
    <w:rsid w:val="00280848"/>
    <w:rsid w:val="00281177"/>
    <w:rsid w:val="0028288E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2B8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5D3B"/>
    <w:rsid w:val="003279BA"/>
    <w:rsid w:val="00331A0C"/>
    <w:rsid w:val="0033220D"/>
    <w:rsid w:val="00332C41"/>
    <w:rsid w:val="003336B0"/>
    <w:rsid w:val="0033729C"/>
    <w:rsid w:val="0033741B"/>
    <w:rsid w:val="00343276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768C1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D7BBC"/>
    <w:rsid w:val="003E1292"/>
    <w:rsid w:val="003E12FD"/>
    <w:rsid w:val="003E2F8E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0FBF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979AD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182D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30B5"/>
    <w:rsid w:val="006656C6"/>
    <w:rsid w:val="00665BA6"/>
    <w:rsid w:val="00666EFC"/>
    <w:rsid w:val="0067092F"/>
    <w:rsid w:val="00672534"/>
    <w:rsid w:val="00675620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87FF4"/>
    <w:rsid w:val="00690708"/>
    <w:rsid w:val="00692A6A"/>
    <w:rsid w:val="00692A77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547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31B6"/>
    <w:rsid w:val="007F43AC"/>
    <w:rsid w:val="007F4638"/>
    <w:rsid w:val="007F527B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1113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769CF"/>
    <w:rsid w:val="00881BD7"/>
    <w:rsid w:val="00882908"/>
    <w:rsid w:val="0088453D"/>
    <w:rsid w:val="00884615"/>
    <w:rsid w:val="00885D34"/>
    <w:rsid w:val="00893569"/>
    <w:rsid w:val="008939DB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612F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0FCB"/>
    <w:rsid w:val="0096222C"/>
    <w:rsid w:val="0096279E"/>
    <w:rsid w:val="00964948"/>
    <w:rsid w:val="00964AEA"/>
    <w:rsid w:val="0096578B"/>
    <w:rsid w:val="00966AE7"/>
    <w:rsid w:val="00966B48"/>
    <w:rsid w:val="00970034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250E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E703C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56836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7207B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173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5186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3B03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D009B"/>
    <w:rsid w:val="00BD1EB9"/>
    <w:rsid w:val="00BD1FFE"/>
    <w:rsid w:val="00BD54CD"/>
    <w:rsid w:val="00BD5BDD"/>
    <w:rsid w:val="00BD644B"/>
    <w:rsid w:val="00BE31C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3BAF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71EA9"/>
    <w:rsid w:val="00C758B8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0D29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6168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6269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25AC4"/>
    <w:rsid w:val="00D302D2"/>
    <w:rsid w:val="00D30B81"/>
    <w:rsid w:val="00D352C8"/>
    <w:rsid w:val="00D42E89"/>
    <w:rsid w:val="00D459DB"/>
    <w:rsid w:val="00D45AF8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848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4A0F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3E47"/>
    <w:rsid w:val="00E641A3"/>
    <w:rsid w:val="00E65483"/>
    <w:rsid w:val="00E6591F"/>
    <w:rsid w:val="00E70482"/>
    <w:rsid w:val="00E71446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0127"/>
    <w:rsid w:val="00EF1F5B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2BB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67108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A5F81"/>
    <w:rsid w:val="00FB2F9B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2D42"/>
    <w:rsid w:val="00FF337A"/>
    <w:rsid w:val="00FF76C6"/>
    <w:rsid w:val="00FF7DA8"/>
    <w:rsid w:val="0467653E"/>
    <w:rsid w:val="04D26F4A"/>
    <w:rsid w:val="06707EA1"/>
    <w:rsid w:val="06B256A4"/>
    <w:rsid w:val="06FA57B8"/>
    <w:rsid w:val="084F7E0D"/>
    <w:rsid w:val="08CA584F"/>
    <w:rsid w:val="0ABA668A"/>
    <w:rsid w:val="0CEA34BE"/>
    <w:rsid w:val="0DED7349"/>
    <w:rsid w:val="0ECA7DB6"/>
    <w:rsid w:val="0F467859"/>
    <w:rsid w:val="0FD80B91"/>
    <w:rsid w:val="10764AB6"/>
    <w:rsid w:val="11F4561E"/>
    <w:rsid w:val="125F21AF"/>
    <w:rsid w:val="185D635C"/>
    <w:rsid w:val="1A423908"/>
    <w:rsid w:val="1A97792D"/>
    <w:rsid w:val="1B8511A9"/>
    <w:rsid w:val="1E7F7F65"/>
    <w:rsid w:val="1F43379E"/>
    <w:rsid w:val="1F4402BA"/>
    <w:rsid w:val="1F474791"/>
    <w:rsid w:val="200C40E1"/>
    <w:rsid w:val="203E7C42"/>
    <w:rsid w:val="20533996"/>
    <w:rsid w:val="20F747C9"/>
    <w:rsid w:val="2170546E"/>
    <w:rsid w:val="232912D3"/>
    <w:rsid w:val="23532B5A"/>
    <w:rsid w:val="242747BD"/>
    <w:rsid w:val="27326FCA"/>
    <w:rsid w:val="27A56B9C"/>
    <w:rsid w:val="27C10F03"/>
    <w:rsid w:val="28D20FF8"/>
    <w:rsid w:val="28E50368"/>
    <w:rsid w:val="2C2A4B75"/>
    <w:rsid w:val="2C3E5AF5"/>
    <w:rsid w:val="2CA538AE"/>
    <w:rsid w:val="2CD9218D"/>
    <w:rsid w:val="2D727CB7"/>
    <w:rsid w:val="2E4575D4"/>
    <w:rsid w:val="2E606EDD"/>
    <w:rsid w:val="2F600CC5"/>
    <w:rsid w:val="306E779A"/>
    <w:rsid w:val="309A5E06"/>
    <w:rsid w:val="31C64CB7"/>
    <w:rsid w:val="321E1C0A"/>
    <w:rsid w:val="329C5D1E"/>
    <w:rsid w:val="33633683"/>
    <w:rsid w:val="34344BBB"/>
    <w:rsid w:val="34D7463B"/>
    <w:rsid w:val="365C7FC5"/>
    <w:rsid w:val="3844626B"/>
    <w:rsid w:val="387A5EEE"/>
    <w:rsid w:val="39AD28A3"/>
    <w:rsid w:val="3B60506E"/>
    <w:rsid w:val="3BAA6E55"/>
    <w:rsid w:val="3BEC78D2"/>
    <w:rsid w:val="3D3959C3"/>
    <w:rsid w:val="3D541EB5"/>
    <w:rsid w:val="3D5C28EE"/>
    <w:rsid w:val="3DCE0CA6"/>
    <w:rsid w:val="3DD26FEE"/>
    <w:rsid w:val="40B94D18"/>
    <w:rsid w:val="410D52EE"/>
    <w:rsid w:val="424F1B07"/>
    <w:rsid w:val="43EF108E"/>
    <w:rsid w:val="44112E0E"/>
    <w:rsid w:val="44B979E2"/>
    <w:rsid w:val="479C7CC9"/>
    <w:rsid w:val="4849018B"/>
    <w:rsid w:val="4BB53EEF"/>
    <w:rsid w:val="4C0B5B72"/>
    <w:rsid w:val="4C2F3CA3"/>
    <w:rsid w:val="4C4404A3"/>
    <w:rsid w:val="4C7F5D76"/>
    <w:rsid w:val="50C636EF"/>
    <w:rsid w:val="511527A3"/>
    <w:rsid w:val="51FB2537"/>
    <w:rsid w:val="52753E57"/>
    <w:rsid w:val="54A57A1D"/>
    <w:rsid w:val="54AC14F8"/>
    <w:rsid w:val="558C0F7F"/>
    <w:rsid w:val="576D191F"/>
    <w:rsid w:val="581A5EDF"/>
    <w:rsid w:val="58FF3A11"/>
    <w:rsid w:val="590A31F8"/>
    <w:rsid w:val="5B8A4B10"/>
    <w:rsid w:val="5C54677E"/>
    <w:rsid w:val="5CE83339"/>
    <w:rsid w:val="5D5B4572"/>
    <w:rsid w:val="5DFF18C5"/>
    <w:rsid w:val="5E0B76F8"/>
    <w:rsid w:val="5E5A0790"/>
    <w:rsid w:val="5E5F3796"/>
    <w:rsid w:val="5EB94577"/>
    <w:rsid w:val="60A83B9E"/>
    <w:rsid w:val="60AE20CA"/>
    <w:rsid w:val="63D645E7"/>
    <w:rsid w:val="63EF4758"/>
    <w:rsid w:val="654B03D7"/>
    <w:rsid w:val="660D4935"/>
    <w:rsid w:val="66A8187D"/>
    <w:rsid w:val="678F4639"/>
    <w:rsid w:val="68B12FC9"/>
    <w:rsid w:val="6949431B"/>
    <w:rsid w:val="6A2008FA"/>
    <w:rsid w:val="6B7F70AB"/>
    <w:rsid w:val="6EA41295"/>
    <w:rsid w:val="6EA66B82"/>
    <w:rsid w:val="6F3808CB"/>
    <w:rsid w:val="6F6F4F94"/>
    <w:rsid w:val="702B0545"/>
    <w:rsid w:val="713009CC"/>
    <w:rsid w:val="748619D2"/>
    <w:rsid w:val="74A01AE7"/>
    <w:rsid w:val="785228BD"/>
    <w:rsid w:val="7A6E5421"/>
    <w:rsid w:val="7BA012E9"/>
    <w:rsid w:val="7BC4481A"/>
    <w:rsid w:val="7E6670AE"/>
    <w:rsid w:val="7E8506F2"/>
    <w:rsid w:val="7F7B3917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p0 Char"/>
    <w:basedOn w:val="9"/>
    <w:link w:val="14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4">
    <w:name w:val="p0"/>
    <w:basedOn w:val="1"/>
    <w:link w:val="13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5">
    <w:name w:val="正文首行缩进 Char"/>
    <w:basedOn w:val="9"/>
    <w:link w:val="2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16">
    <w:name w:val="表格文字 Char"/>
    <w:link w:val="17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17">
    <w:name w:val="表格文字"/>
    <w:basedOn w:val="1"/>
    <w:link w:val="16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18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1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2">
    <w:name w:val="样式1"/>
    <w:next w:val="2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24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5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26">
    <w:name w:val="List Paragraph"/>
    <w:basedOn w:val="1"/>
    <w:qFormat/>
    <w:uiPriority w:val="99"/>
    <w:pPr>
      <w:ind w:firstLine="420"/>
    </w:pPr>
  </w:style>
  <w:style w:type="paragraph" w:customStyle="1" w:styleId="27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28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11613-DC97-4E62-8F9F-596EB4410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309</Words>
  <Characters>1766</Characters>
  <Lines>14</Lines>
  <Paragraphs>4</Paragraphs>
  <TotalTime>6</TotalTime>
  <ScaleCrop>false</ScaleCrop>
  <LinksUpToDate>false</LinksUpToDate>
  <CharactersWithSpaces>2071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2018-08-08T07:29:00Z</cp:lastPrinted>
  <dcterms:modified xsi:type="dcterms:W3CDTF">2018-09-10T06:01:36Z</dcterms:modified>
  <dc:title>1、省道1825线湘阴至长沙公路岳阳段改建工程总投资12300万元</dc:title>
  <cp:revision>568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