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36" w:lineRule="auto"/>
        <w:jc w:val="center"/>
        <w:rPr>
          <w:rFonts w:ascii="宋体"/>
          <w:b/>
          <w:w w:val="90"/>
          <w:sz w:val="46"/>
          <w:szCs w:val="36"/>
        </w:rPr>
      </w:pPr>
      <w:r>
        <w:pict>
          <v:line id="_x0000_s2050" o:spid="_x0000_s2050" o:spt="20" style="position:absolute;left:0pt;margin-left:-1pt;margin-top:96.15pt;height:0pt;width:432pt;z-index:251659264;mso-width-relative:page;mso-height-relative:page;" coordsize="21600,21600">
            <v:path arrowok="t"/>
            <v:fill focussize="0,0"/>
            <v:stroke weight="3pt" color="#FF0000"/>
            <v:imagedata o:title=""/>
            <o:lock v:ext="edit"/>
          </v:line>
        </w:pict>
      </w:r>
      <w:r>
        <w:pict>
          <v:shape id="_x0000_s2051" o:spid="_x0000_s2051" o:spt="202" type="#_x0000_t202" style="position:absolute;left:0pt;margin-left:12.75pt;margin-top:2.55pt;height:85.8pt;width:400.2pt;z-index:251658240;mso-width-relative:page;mso-height-relative:page;" filled="f" stroked="f" coordsize="21600,21600">
            <v:path/>
            <v:fill on="f" focussize="0,0"/>
            <v:stroke on="f"/>
            <v:imagedata o:title=""/>
            <o:lock v:ext="edit"/>
            <v:textbox>
              <w:txbxContent>
                <w:p>
                  <w:pPr>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w:r>
    </w:p>
    <w:p>
      <w:pPr>
        <w:snapToGrid w:val="0"/>
        <w:spacing w:line="336" w:lineRule="auto"/>
        <w:jc w:val="both"/>
        <w:rPr>
          <w:rFonts w:ascii="宋体"/>
          <w:b/>
          <w:w w:val="90"/>
          <w:sz w:val="46"/>
          <w:szCs w:val="36"/>
        </w:rPr>
      </w:pPr>
    </w:p>
    <w:p>
      <w:pPr>
        <w:snapToGrid w:val="0"/>
        <w:spacing w:line="336" w:lineRule="auto"/>
        <w:jc w:val="both"/>
        <w:rPr>
          <w:rFonts w:ascii="宋体"/>
          <w:b/>
          <w:w w:val="90"/>
          <w:sz w:val="24"/>
          <w:szCs w:val="20"/>
        </w:rPr>
      </w:pPr>
    </w:p>
    <w:p>
      <w:pPr>
        <w:wordWrap w:val="0"/>
        <w:snapToGrid w:val="0"/>
        <w:jc w:val="right"/>
        <w:rPr>
          <w:rFonts w:ascii="仿宋" w:hAnsi="仿宋" w:eastAsia="仿宋"/>
          <w:sz w:val="18"/>
          <w:szCs w:val="18"/>
        </w:rPr>
      </w:pPr>
    </w:p>
    <w:p>
      <w:pPr>
        <w:snapToGrid w:val="0"/>
        <w:spacing w:line="336" w:lineRule="auto"/>
        <w:jc w:val="right"/>
        <w:rPr>
          <w:rFonts w:ascii="仿宋" w:hAnsi="仿宋" w:eastAsia="仿宋"/>
          <w:sz w:val="32"/>
          <w:szCs w:val="32"/>
        </w:rPr>
      </w:pPr>
      <w:bookmarkStart w:id="0" w:name="_GoBack"/>
      <w:bookmarkEnd w:id="0"/>
      <w:r>
        <w:rPr>
          <w:rFonts w:hint="eastAsia" w:ascii="仿宋" w:hAnsi="仿宋" w:eastAsia="仿宋"/>
          <w:sz w:val="32"/>
          <w:szCs w:val="32"/>
        </w:rPr>
        <w:t>华教体通〔</w:t>
      </w:r>
      <w:r>
        <w:rPr>
          <w:rFonts w:ascii="仿宋" w:hAnsi="仿宋" w:eastAsia="仿宋"/>
          <w:sz w:val="32"/>
          <w:szCs w:val="32"/>
        </w:rPr>
        <w:t>2017</w:t>
      </w:r>
      <w:r>
        <w:rPr>
          <w:rFonts w:hint="eastAsia" w:ascii="仿宋" w:hAnsi="仿宋" w:eastAsia="仿宋"/>
          <w:sz w:val="32"/>
          <w:szCs w:val="32"/>
        </w:rPr>
        <w:t>〕</w:t>
      </w:r>
      <w:r>
        <w:rPr>
          <w:rFonts w:ascii="仿宋" w:hAnsi="仿宋" w:eastAsia="仿宋"/>
          <w:sz w:val="32"/>
          <w:szCs w:val="32"/>
        </w:rPr>
        <w:t xml:space="preserve">25 </w:t>
      </w:r>
      <w:r>
        <w:rPr>
          <w:rFonts w:hint="eastAsia" w:ascii="仿宋" w:hAnsi="仿宋" w:eastAsia="仿宋"/>
          <w:sz w:val="32"/>
          <w:szCs w:val="32"/>
        </w:rPr>
        <w:t>号</w:t>
      </w:r>
    </w:p>
    <w:p>
      <w:pPr>
        <w:snapToGrid w:val="0"/>
        <w:spacing w:line="336" w:lineRule="auto"/>
        <w:ind w:right="560" w:firstLine="2200" w:firstLineChars="500"/>
        <w:rPr>
          <w:rFonts w:ascii="宋体"/>
          <w:sz w:val="44"/>
          <w:szCs w:val="44"/>
        </w:rPr>
      </w:pPr>
    </w:p>
    <w:p>
      <w:pPr>
        <w:snapToGrid w:val="0"/>
        <w:spacing w:line="336" w:lineRule="auto"/>
        <w:jc w:val="center"/>
        <w:rPr>
          <w:rFonts w:ascii="宋体"/>
          <w:b/>
          <w:w w:val="90"/>
          <w:sz w:val="44"/>
          <w:szCs w:val="44"/>
        </w:rPr>
      </w:pPr>
      <w:r>
        <w:rPr>
          <w:rFonts w:hint="eastAsia" w:ascii="宋体" w:hAnsi="宋体"/>
          <w:b/>
          <w:w w:val="90"/>
          <w:sz w:val="44"/>
          <w:szCs w:val="44"/>
        </w:rPr>
        <w:t>华容县教育体育局</w:t>
      </w:r>
    </w:p>
    <w:p>
      <w:pPr>
        <w:snapToGrid w:val="0"/>
        <w:spacing w:line="336" w:lineRule="auto"/>
        <w:jc w:val="center"/>
        <w:rPr>
          <w:rFonts w:ascii="宋体"/>
          <w:b/>
          <w:w w:val="90"/>
          <w:sz w:val="40"/>
          <w:szCs w:val="36"/>
        </w:rPr>
      </w:pPr>
      <w:r>
        <w:rPr>
          <w:rFonts w:hint="eastAsia" w:ascii="宋体" w:hAnsi="宋体"/>
          <w:b/>
          <w:w w:val="90"/>
          <w:sz w:val="40"/>
          <w:szCs w:val="36"/>
        </w:rPr>
        <w:t>关于下达中职学校</w:t>
      </w:r>
      <w:r>
        <w:rPr>
          <w:rFonts w:ascii="宋体" w:hAnsi="宋体"/>
          <w:b/>
          <w:w w:val="90"/>
          <w:sz w:val="40"/>
          <w:szCs w:val="36"/>
        </w:rPr>
        <w:t>2017</w:t>
      </w:r>
      <w:r>
        <w:rPr>
          <w:rFonts w:hint="eastAsia" w:ascii="宋体" w:hAnsi="宋体"/>
          <w:b/>
          <w:w w:val="90"/>
          <w:sz w:val="40"/>
          <w:szCs w:val="36"/>
        </w:rPr>
        <w:t>年春季学期免学费计划和</w:t>
      </w:r>
    </w:p>
    <w:p>
      <w:pPr>
        <w:snapToGrid w:val="0"/>
        <w:spacing w:line="336" w:lineRule="auto"/>
        <w:jc w:val="center"/>
        <w:rPr>
          <w:rFonts w:ascii="宋体"/>
          <w:b/>
          <w:w w:val="90"/>
          <w:sz w:val="40"/>
          <w:szCs w:val="36"/>
        </w:rPr>
      </w:pPr>
      <w:r>
        <w:rPr>
          <w:rFonts w:hint="eastAsia" w:ascii="宋体" w:hAnsi="宋体"/>
          <w:b/>
          <w:w w:val="90"/>
          <w:sz w:val="40"/>
          <w:szCs w:val="36"/>
        </w:rPr>
        <w:t>国家助学金计划的通知</w:t>
      </w:r>
    </w:p>
    <w:p>
      <w:pPr>
        <w:snapToGrid w:val="0"/>
        <w:spacing w:line="336" w:lineRule="auto"/>
        <w:jc w:val="center"/>
        <w:rPr>
          <w:rFonts w:ascii="宋体"/>
          <w:b/>
          <w:w w:val="90"/>
          <w:sz w:val="40"/>
          <w:szCs w:val="36"/>
        </w:rPr>
      </w:pPr>
    </w:p>
    <w:p>
      <w:pPr>
        <w:snapToGrid w:val="0"/>
        <w:spacing w:line="348" w:lineRule="auto"/>
        <w:rPr>
          <w:rFonts w:ascii="仿宋_GB2312" w:eastAsia="仿宋_GB2312"/>
          <w:sz w:val="32"/>
          <w:szCs w:val="32"/>
        </w:rPr>
      </w:pPr>
      <w:r>
        <w:rPr>
          <w:rFonts w:hint="eastAsia" w:ascii="仿宋_GB2312" w:eastAsia="仿宋_GB2312"/>
          <w:sz w:val="32"/>
          <w:szCs w:val="32"/>
        </w:rPr>
        <w:t>各相关学校：</w:t>
      </w:r>
    </w:p>
    <w:p>
      <w:pPr>
        <w:snapToGrid w:val="0"/>
        <w:spacing w:line="348" w:lineRule="auto"/>
        <w:ind w:firstLine="555"/>
        <w:rPr>
          <w:rFonts w:ascii="仿宋_GB2312" w:eastAsia="仿宋_GB2312"/>
          <w:sz w:val="32"/>
          <w:szCs w:val="32"/>
        </w:rPr>
      </w:pPr>
      <w:r>
        <w:rPr>
          <w:rFonts w:hint="eastAsia" w:ascii="仿宋_GB2312" w:eastAsia="仿宋_GB2312"/>
          <w:sz w:val="32"/>
          <w:szCs w:val="32"/>
        </w:rPr>
        <w:t>根据上级文件精神，现下达我县中职学校</w:t>
      </w:r>
      <w:r>
        <w:rPr>
          <w:rFonts w:ascii="仿宋_GB2312" w:eastAsia="仿宋_GB2312"/>
          <w:sz w:val="32"/>
          <w:szCs w:val="32"/>
        </w:rPr>
        <w:t>2017</w:t>
      </w:r>
      <w:r>
        <w:rPr>
          <w:rFonts w:hint="eastAsia" w:ascii="仿宋_GB2312" w:eastAsia="仿宋_GB2312"/>
          <w:sz w:val="32"/>
          <w:szCs w:val="32"/>
        </w:rPr>
        <w:t>年春季学期免学费计划和国家助学金计划，并就有关事项通知如下：</w:t>
      </w:r>
      <w:r>
        <w:rPr>
          <w:rFonts w:ascii="仿宋_GB2312" w:eastAsia="仿宋_GB2312"/>
          <w:sz w:val="32"/>
          <w:szCs w:val="32"/>
        </w:rPr>
        <w:t xml:space="preserve">                                                                                                                                                                                                                                                                                                                                                                                                                                                                                                                                                                                                                                                                                                                                                                                                                                                                                                                                                                                                                                                                                                                                                                                                                                                                                                                                                                                                                                                                                                                                                                                                                                                                                                                                                                                                                                                                                                                                                                                                                                                                 </w:t>
      </w:r>
    </w:p>
    <w:p>
      <w:pPr>
        <w:tabs>
          <w:tab w:val="left" w:pos="1620"/>
        </w:tabs>
        <w:snapToGrid w:val="0"/>
        <w:spacing w:line="348" w:lineRule="auto"/>
        <w:ind w:firstLine="640" w:firstLineChars="200"/>
        <w:rPr>
          <w:rFonts w:ascii="仿宋_GB2312" w:eastAsia="仿宋_GB2312"/>
          <w:sz w:val="32"/>
          <w:szCs w:val="32"/>
        </w:rPr>
      </w:pPr>
      <w:r>
        <w:rPr>
          <w:rFonts w:hint="eastAsia" w:ascii="仿宋_GB2312" w:eastAsia="仿宋_GB2312"/>
          <w:sz w:val="32"/>
          <w:szCs w:val="32"/>
        </w:rPr>
        <w:t>一、本次下达</w:t>
      </w:r>
      <w:r>
        <w:rPr>
          <w:rFonts w:ascii="仿宋_GB2312" w:eastAsia="仿宋_GB2312"/>
          <w:sz w:val="32"/>
          <w:szCs w:val="32"/>
        </w:rPr>
        <w:t>2017</w:t>
      </w:r>
      <w:r>
        <w:rPr>
          <w:rFonts w:hint="eastAsia" w:ascii="仿宋_GB2312" w:eastAsia="仿宋_GB2312"/>
          <w:sz w:val="32"/>
          <w:szCs w:val="32"/>
        </w:rPr>
        <w:t>年春季免学费计划</w:t>
      </w:r>
      <w:r>
        <w:rPr>
          <w:rFonts w:ascii="仿宋_GB2312" w:eastAsia="仿宋_GB2312"/>
          <w:sz w:val="32"/>
          <w:szCs w:val="32"/>
        </w:rPr>
        <w:t>326.64</w:t>
      </w:r>
      <w:r>
        <w:rPr>
          <w:rFonts w:hint="eastAsia" w:ascii="仿宋_GB2312" w:eastAsia="仿宋_GB2312"/>
          <w:sz w:val="32"/>
          <w:szCs w:val="32"/>
        </w:rPr>
        <w:t>万元，免学费人数为</w:t>
      </w:r>
      <w:r>
        <w:rPr>
          <w:rFonts w:ascii="仿宋_GB2312" w:eastAsia="仿宋_GB2312"/>
          <w:sz w:val="32"/>
          <w:szCs w:val="32"/>
        </w:rPr>
        <w:t>2722</w:t>
      </w:r>
      <w:r>
        <w:rPr>
          <w:rFonts w:hint="eastAsia" w:ascii="仿宋_GB2312" w:eastAsia="仿宋_GB2312"/>
          <w:sz w:val="32"/>
          <w:szCs w:val="32"/>
        </w:rPr>
        <w:t>人，标准为每生</w:t>
      </w:r>
      <w:r>
        <w:rPr>
          <w:rFonts w:ascii="仿宋_GB2312" w:eastAsia="仿宋_GB2312"/>
          <w:sz w:val="32"/>
          <w:szCs w:val="32"/>
        </w:rPr>
        <w:t>1200</w:t>
      </w:r>
      <w:r>
        <w:rPr>
          <w:rFonts w:hint="eastAsia" w:ascii="仿宋_GB2312" w:eastAsia="仿宋_GB2312"/>
          <w:sz w:val="32"/>
          <w:szCs w:val="32"/>
        </w:rPr>
        <w:t>元，含中职学校一、二、三年级学生。经费来源为湘财教指〔</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231</w:t>
      </w:r>
      <w:r>
        <w:rPr>
          <w:rFonts w:hint="eastAsia" w:ascii="仿宋_GB2312" w:eastAsia="仿宋_GB2312"/>
          <w:sz w:val="32"/>
          <w:szCs w:val="32"/>
        </w:rPr>
        <w:t>号文件精神中的中央资金</w:t>
      </w:r>
      <w:r>
        <w:rPr>
          <w:rFonts w:ascii="仿宋_GB2312" w:eastAsia="仿宋_GB2312"/>
          <w:sz w:val="32"/>
          <w:szCs w:val="32"/>
        </w:rPr>
        <w:t>260</w:t>
      </w:r>
      <w:r>
        <w:rPr>
          <w:rFonts w:hint="eastAsia" w:ascii="仿宋_GB2312" w:eastAsia="仿宋_GB2312"/>
          <w:sz w:val="32"/>
          <w:szCs w:val="32"/>
        </w:rPr>
        <w:t>万元，省级资金</w:t>
      </w:r>
      <w:r>
        <w:rPr>
          <w:rFonts w:ascii="仿宋_GB2312" w:eastAsia="仿宋_GB2312"/>
          <w:sz w:val="32"/>
          <w:szCs w:val="32"/>
        </w:rPr>
        <w:t>66.64</w:t>
      </w:r>
      <w:r>
        <w:rPr>
          <w:rFonts w:hint="eastAsia" w:ascii="仿宋_GB2312" w:eastAsia="仿宋_GB2312"/>
          <w:sz w:val="32"/>
          <w:szCs w:val="32"/>
        </w:rPr>
        <w:t>万元。</w:t>
      </w:r>
    </w:p>
    <w:p>
      <w:pPr>
        <w:snapToGrid w:val="0"/>
        <w:spacing w:line="348" w:lineRule="auto"/>
        <w:ind w:firstLine="640" w:firstLineChars="200"/>
        <w:rPr>
          <w:rFonts w:ascii="仿宋_GB2312" w:eastAsia="仿宋_GB2312"/>
          <w:sz w:val="32"/>
          <w:szCs w:val="32"/>
        </w:rPr>
      </w:pPr>
      <w:r>
        <w:rPr>
          <w:rFonts w:hint="eastAsia" w:ascii="仿宋_GB2312" w:eastAsia="仿宋_GB2312"/>
          <w:sz w:val="32"/>
          <w:szCs w:val="32"/>
        </w:rPr>
        <w:t>二、本次下达</w:t>
      </w:r>
      <w:r>
        <w:rPr>
          <w:rFonts w:ascii="仿宋_GB2312" w:eastAsia="仿宋_GB2312"/>
          <w:sz w:val="32"/>
          <w:szCs w:val="32"/>
        </w:rPr>
        <w:t>2017</w:t>
      </w:r>
      <w:r>
        <w:rPr>
          <w:rFonts w:hint="eastAsia" w:ascii="仿宋_GB2312" w:eastAsia="仿宋_GB2312"/>
          <w:sz w:val="32"/>
          <w:szCs w:val="32"/>
        </w:rPr>
        <w:t>年春季国家助学金计划为</w:t>
      </w:r>
      <w:r>
        <w:rPr>
          <w:rFonts w:ascii="仿宋_GB2312" w:eastAsia="仿宋_GB2312"/>
          <w:sz w:val="32"/>
          <w:szCs w:val="32"/>
        </w:rPr>
        <w:t>33</w:t>
      </w:r>
      <w:r>
        <w:rPr>
          <w:rFonts w:hint="eastAsia" w:ascii="仿宋_GB2312" w:eastAsia="仿宋_GB2312"/>
          <w:sz w:val="32"/>
          <w:szCs w:val="32"/>
        </w:rPr>
        <w:t>万元，补助人数为</w:t>
      </w:r>
      <w:r>
        <w:rPr>
          <w:rFonts w:ascii="仿宋_GB2312" w:eastAsia="仿宋_GB2312"/>
          <w:sz w:val="32"/>
          <w:szCs w:val="32"/>
        </w:rPr>
        <w:t>330</w:t>
      </w:r>
      <w:r>
        <w:rPr>
          <w:rFonts w:hint="eastAsia" w:ascii="仿宋_GB2312" w:eastAsia="仿宋_GB2312"/>
          <w:sz w:val="32"/>
          <w:szCs w:val="32"/>
        </w:rPr>
        <w:t>人，补助标准为每生</w:t>
      </w:r>
      <w:r>
        <w:rPr>
          <w:rFonts w:ascii="仿宋_GB2312" w:eastAsia="仿宋_GB2312"/>
          <w:sz w:val="32"/>
          <w:szCs w:val="32"/>
        </w:rPr>
        <w:t>1000</w:t>
      </w:r>
      <w:r>
        <w:rPr>
          <w:rFonts w:hint="eastAsia" w:ascii="仿宋_GB2312" w:eastAsia="仿宋_GB2312"/>
          <w:sz w:val="32"/>
          <w:szCs w:val="32"/>
        </w:rPr>
        <w:t>元，补助原则是按一、</w:t>
      </w:r>
      <w:r>
        <w:rPr>
          <w:rFonts w:hint="eastAsia" w:ascii="仿宋_GB2312" w:eastAsia="仿宋_GB2312"/>
          <w:spacing w:val="-8"/>
          <w:sz w:val="32"/>
          <w:szCs w:val="32"/>
        </w:rPr>
        <w:t>二年级在校学生</w:t>
      </w:r>
      <w:r>
        <w:rPr>
          <w:rFonts w:ascii="仿宋_GB2312" w:eastAsia="仿宋_GB2312"/>
          <w:spacing w:val="-8"/>
          <w:sz w:val="32"/>
          <w:szCs w:val="32"/>
        </w:rPr>
        <w:t>15%</w:t>
      </w:r>
      <w:r>
        <w:rPr>
          <w:rFonts w:hint="eastAsia" w:ascii="仿宋_GB2312" w:eastAsia="仿宋_GB2312"/>
          <w:spacing w:val="-8"/>
          <w:sz w:val="32"/>
          <w:szCs w:val="32"/>
        </w:rPr>
        <w:t>的比例享受，经费来源为湘财教指〔</w:t>
      </w:r>
      <w:r>
        <w:rPr>
          <w:rFonts w:ascii="仿宋_GB2312" w:eastAsia="仿宋_GB2312"/>
          <w:spacing w:val="-8"/>
          <w:sz w:val="32"/>
          <w:szCs w:val="32"/>
        </w:rPr>
        <w:t>2016</w:t>
      </w:r>
      <w:r>
        <w:rPr>
          <w:rFonts w:hint="eastAsia" w:ascii="仿宋_GB2312" w:eastAsia="仿宋_GB2312"/>
          <w:spacing w:val="-8"/>
          <w:sz w:val="32"/>
          <w:szCs w:val="32"/>
        </w:rPr>
        <w:t>〕</w:t>
      </w:r>
      <w:r>
        <w:rPr>
          <w:rFonts w:ascii="仿宋_GB2312" w:eastAsia="仿宋_GB2312"/>
          <w:spacing w:val="-8"/>
          <w:sz w:val="32"/>
          <w:szCs w:val="32"/>
        </w:rPr>
        <w:t>232</w:t>
      </w:r>
      <w:r>
        <w:rPr>
          <w:rFonts w:hint="eastAsia" w:ascii="仿宋_GB2312" w:eastAsia="仿宋_GB2312"/>
          <w:spacing w:val="-8"/>
          <w:sz w:val="32"/>
          <w:szCs w:val="32"/>
        </w:rPr>
        <w:t>号</w:t>
      </w:r>
      <w:r>
        <w:rPr>
          <w:rFonts w:hint="eastAsia" w:ascii="仿宋_GB2312" w:eastAsia="仿宋_GB2312"/>
          <w:sz w:val="32"/>
          <w:szCs w:val="32"/>
        </w:rPr>
        <w:t>文件精神中的中央资金</w:t>
      </w:r>
      <w:r>
        <w:rPr>
          <w:rFonts w:ascii="仿宋_GB2312" w:eastAsia="仿宋_GB2312"/>
          <w:sz w:val="32"/>
          <w:szCs w:val="32"/>
        </w:rPr>
        <w:t>30</w:t>
      </w:r>
      <w:r>
        <w:rPr>
          <w:rFonts w:hint="eastAsia" w:ascii="仿宋_GB2312" w:eastAsia="仿宋_GB2312"/>
          <w:sz w:val="32"/>
          <w:szCs w:val="32"/>
        </w:rPr>
        <w:t>万元，省级资金</w:t>
      </w:r>
      <w:r>
        <w:rPr>
          <w:rFonts w:ascii="仿宋_GB2312" w:eastAsia="仿宋_GB2312"/>
          <w:sz w:val="32"/>
          <w:szCs w:val="32"/>
        </w:rPr>
        <w:t>3</w:t>
      </w:r>
      <w:r>
        <w:rPr>
          <w:rFonts w:hint="eastAsia" w:ascii="仿宋_GB2312" w:eastAsia="仿宋_GB2312"/>
          <w:sz w:val="32"/>
          <w:szCs w:val="32"/>
        </w:rPr>
        <w:t>万元。</w:t>
      </w:r>
    </w:p>
    <w:p>
      <w:pPr>
        <w:snapToGrid w:val="0"/>
        <w:spacing w:line="336" w:lineRule="auto"/>
        <w:ind w:firstLine="630"/>
        <w:rPr>
          <w:rFonts w:ascii="仿宋_GB2312" w:eastAsia="仿宋_GB2312"/>
          <w:sz w:val="30"/>
          <w:szCs w:val="32"/>
        </w:rPr>
      </w:pPr>
      <w:r>
        <w:rPr>
          <w:rFonts w:hint="eastAsia" w:ascii="仿宋_GB2312" w:eastAsia="仿宋_GB2312"/>
          <w:sz w:val="32"/>
          <w:szCs w:val="32"/>
        </w:rPr>
        <w:t>三、本次发放的免学费资金直接打入学校账号，相关学校要造好免学费学生花名册；本次发放的国家助学金由财政直接打入学生的中职卡。</w:t>
      </w:r>
      <w:r>
        <w:rPr>
          <w:rFonts w:hint="eastAsia" w:ascii="仿宋_GB2312" w:eastAsia="仿宋_GB2312"/>
          <w:sz w:val="30"/>
          <w:szCs w:val="32"/>
        </w:rPr>
        <w:t>相关学校要根据实际情况，按照公开、公正、公平的原则对受助对象进行核定，对新增对象按程序按要求申报，对所有受助对象认真做好相关评定公示工作，提高资助精准度，优先将建档立卡的家庭经济困难学生和治河受灾学生全部纳入资助范围，切实将指标落实到家庭经济困难学生手中。按程序确认后，及时完成有关信息采集及申报工作，尽早将本学期的助学金发放到学生手中。</w:t>
      </w:r>
    </w:p>
    <w:p>
      <w:pPr>
        <w:snapToGrid w:val="0"/>
        <w:spacing w:line="336" w:lineRule="auto"/>
        <w:ind w:firstLine="555"/>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t xml:space="preserve"> </w:t>
      </w:r>
      <w:r>
        <w:rPr>
          <w:rFonts w:hint="eastAsia" w:ascii="仿宋_GB2312" w:eastAsia="仿宋_GB2312"/>
          <w:sz w:val="32"/>
          <w:szCs w:val="32"/>
        </w:rPr>
        <w:t>华容县中职学校</w:t>
      </w:r>
      <w:r>
        <w:rPr>
          <w:rFonts w:ascii="仿宋_GB2312" w:eastAsia="仿宋_GB2312"/>
          <w:sz w:val="32"/>
          <w:szCs w:val="32"/>
        </w:rPr>
        <w:t>2017</w:t>
      </w:r>
      <w:r>
        <w:rPr>
          <w:rFonts w:hint="eastAsia" w:ascii="仿宋_GB2312" w:eastAsia="仿宋_GB2312"/>
          <w:sz w:val="32"/>
          <w:szCs w:val="32"/>
        </w:rPr>
        <w:t>年春季学期免学费分配表</w:t>
      </w:r>
    </w:p>
    <w:p>
      <w:pPr>
        <w:snapToGrid w:val="0"/>
        <w:spacing w:line="336" w:lineRule="auto"/>
        <w:ind w:firstLine="1513" w:firstLineChars="473"/>
        <w:rPr>
          <w:rFonts w:ascii="仿宋_GB2312" w:eastAsia="仿宋_GB2312"/>
          <w:sz w:val="32"/>
          <w:szCs w:val="32"/>
        </w:rPr>
      </w:pPr>
      <w:r>
        <w:rPr>
          <w:rFonts w:ascii="仿宋_GB2312" w:eastAsia="仿宋_GB2312"/>
          <w:sz w:val="32"/>
          <w:szCs w:val="32"/>
        </w:rPr>
        <w:t>2.</w:t>
      </w:r>
      <w:r>
        <w:t xml:space="preserve"> </w:t>
      </w:r>
      <w:r>
        <w:rPr>
          <w:rFonts w:hint="eastAsia" w:ascii="仿宋_GB2312" w:eastAsia="仿宋_GB2312"/>
          <w:sz w:val="32"/>
          <w:szCs w:val="32"/>
        </w:rPr>
        <w:t>华容县中职学校</w:t>
      </w:r>
      <w:r>
        <w:rPr>
          <w:rFonts w:ascii="仿宋_GB2312" w:eastAsia="仿宋_GB2312"/>
          <w:sz w:val="32"/>
          <w:szCs w:val="32"/>
        </w:rPr>
        <w:t>2017</w:t>
      </w:r>
      <w:r>
        <w:rPr>
          <w:rFonts w:hint="eastAsia" w:ascii="仿宋_GB2312" w:eastAsia="仿宋_GB2312"/>
          <w:sz w:val="32"/>
          <w:szCs w:val="32"/>
        </w:rPr>
        <w:t>年春季学期助学金分配表</w:t>
      </w:r>
    </w:p>
    <w:p>
      <w:pPr>
        <w:snapToGrid w:val="0"/>
        <w:spacing w:line="336" w:lineRule="auto"/>
        <w:ind w:firstLine="555"/>
        <w:rPr>
          <w:rFonts w:ascii="仿宋_GB2312" w:eastAsia="仿宋_GB2312"/>
          <w:sz w:val="32"/>
          <w:szCs w:val="32"/>
        </w:rPr>
      </w:pPr>
    </w:p>
    <w:p>
      <w:pPr>
        <w:snapToGrid w:val="0"/>
        <w:spacing w:line="336" w:lineRule="auto"/>
        <w:ind w:firstLine="555"/>
        <w:rPr>
          <w:rFonts w:ascii="仿宋_GB2312" w:eastAsia="仿宋_GB2312"/>
          <w:sz w:val="32"/>
          <w:szCs w:val="32"/>
        </w:rPr>
      </w:pPr>
    </w:p>
    <w:p>
      <w:pPr>
        <w:snapToGrid w:val="0"/>
        <w:spacing w:line="336" w:lineRule="auto"/>
        <w:ind w:firstLine="4713" w:firstLineChars="1473"/>
        <w:rPr>
          <w:rFonts w:ascii="仿宋_GB2312" w:eastAsia="仿宋_GB2312"/>
          <w:sz w:val="32"/>
          <w:szCs w:val="32"/>
        </w:rPr>
      </w:pP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03</w:t>
      </w:r>
      <w:r>
        <w:rPr>
          <w:rFonts w:hint="eastAsia" w:ascii="仿宋_GB2312" w:eastAsia="仿宋_GB2312"/>
          <w:sz w:val="32"/>
          <w:szCs w:val="32"/>
        </w:rPr>
        <w:t>月</w:t>
      </w:r>
      <w:r>
        <w:rPr>
          <w:rFonts w:ascii="仿宋_GB2312" w:eastAsia="仿宋_GB2312"/>
          <w:sz w:val="32"/>
          <w:szCs w:val="32"/>
        </w:rPr>
        <w:t>17</w:t>
      </w:r>
      <w:r>
        <w:rPr>
          <w:rFonts w:hint="eastAsia" w:ascii="仿宋_GB2312" w:eastAsia="仿宋_GB2312"/>
          <w:sz w:val="32"/>
          <w:szCs w:val="32"/>
        </w:rPr>
        <w:t>日</w:t>
      </w:r>
    </w:p>
    <w:p>
      <w:pPr>
        <w:snapToGrid w:val="0"/>
        <w:spacing w:line="336" w:lineRule="auto"/>
        <w:rPr>
          <w:sz w:val="26"/>
        </w:rPr>
      </w:pPr>
      <w:r>
        <w:rPr>
          <w:sz w:val="26"/>
        </w:rPr>
        <w:br w:type="page"/>
      </w:r>
    </w:p>
    <w:p>
      <w:pPr>
        <w:snapToGrid w:val="0"/>
        <w:spacing w:line="336" w:lineRule="auto"/>
        <w:rPr>
          <w:sz w:val="26"/>
        </w:rPr>
      </w:pPr>
      <w:r>
        <w:rPr>
          <w:rFonts w:hint="eastAsia"/>
          <w:sz w:val="26"/>
        </w:rPr>
        <w:t>附件</w:t>
      </w:r>
      <w:r>
        <w:rPr>
          <w:sz w:val="26"/>
        </w:rPr>
        <w:t>1</w:t>
      </w:r>
      <w:r>
        <w:rPr>
          <w:rFonts w:hint="eastAsia"/>
          <w:sz w:val="26"/>
        </w:rPr>
        <w:t>：</w:t>
      </w:r>
    </w:p>
    <w:p>
      <w:pPr>
        <w:snapToGrid w:val="0"/>
        <w:spacing w:line="336" w:lineRule="auto"/>
        <w:jc w:val="center"/>
        <w:rPr>
          <w:b/>
          <w:w w:val="90"/>
          <w:sz w:val="24"/>
          <w:szCs w:val="36"/>
        </w:rPr>
      </w:pPr>
    </w:p>
    <w:p>
      <w:pPr>
        <w:snapToGrid w:val="0"/>
        <w:spacing w:line="336" w:lineRule="auto"/>
        <w:jc w:val="center"/>
        <w:rPr>
          <w:b/>
          <w:w w:val="90"/>
          <w:sz w:val="40"/>
          <w:szCs w:val="36"/>
        </w:rPr>
      </w:pPr>
      <w:r>
        <w:rPr>
          <w:rFonts w:hint="eastAsia"/>
          <w:b/>
          <w:w w:val="90"/>
          <w:sz w:val="40"/>
          <w:szCs w:val="36"/>
        </w:rPr>
        <w:t>华容县中职学校</w:t>
      </w:r>
      <w:r>
        <w:rPr>
          <w:b/>
          <w:w w:val="90"/>
          <w:sz w:val="40"/>
          <w:szCs w:val="36"/>
        </w:rPr>
        <w:t>2017</w:t>
      </w:r>
      <w:r>
        <w:rPr>
          <w:rFonts w:hint="eastAsia"/>
          <w:b/>
          <w:w w:val="90"/>
          <w:sz w:val="40"/>
          <w:szCs w:val="36"/>
        </w:rPr>
        <w:t>年春季学期免学费分配表</w:t>
      </w:r>
    </w:p>
    <w:p>
      <w:pPr>
        <w:snapToGrid w:val="0"/>
        <w:spacing w:line="336" w:lineRule="auto"/>
        <w:jc w:val="right"/>
        <w:rPr>
          <w:sz w:val="14"/>
        </w:rPr>
      </w:pPr>
    </w:p>
    <w:p>
      <w:pPr>
        <w:snapToGrid w:val="0"/>
        <w:spacing w:line="336" w:lineRule="auto"/>
        <w:jc w:val="right"/>
        <w:rPr>
          <w:sz w:val="26"/>
        </w:rPr>
      </w:pPr>
      <w:r>
        <w:rPr>
          <w:sz w:val="26"/>
        </w:rPr>
        <w:t>2017</w:t>
      </w:r>
      <w:r>
        <w:rPr>
          <w:rFonts w:hint="eastAsia"/>
          <w:sz w:val="26"/>
        </w:rPr>
        <w:t>年</w:t>
      </w:r>
      <w:r>
        <w:rPr>
          <w:sz w:val="26"/>
        </w:rPr>
        <w:t>3</w:t>
      </w:r>
      <w:r>
        <w:rPr>
          <w:rFonts w:hint="eastAsia"/>
          <w:sz w:val="26"/>
        </w:rPr>
        <w:t>月</w:t>
      </w:r>
    </w:p>
    <w:tbl>
      <w:tblPr>
        <w:tblStyle w:val="6"/>
        <w:tblW w:w="8769" w:type="dxa"/>
        <w:jc w:val="center"/>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977"/>
        <w:gridCol w:w="1145"/>
        <w:gridCol w:w="1145"/>
        <w:gridCol w:w="1145"/>
        <w:gridCol w:w="1512"/>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1551" w:type="dxa"/>
            <w:vMerge w:val="restart"/>
            <w:vAlign w:val="center"/>
          </w:tcPr>
          <w:p>
            <w:pPr>
              <w:widowControl/>
              <w:jc w:val="center"/>
              <w:rPr>
                <w:rFonts w:ascii="宋体" w:cs="宋体"/>
                <w:kern w:val="0"/>
                <w:sz w:val="24"/>
              </w:rPr>
            </w:pPr>
            <w:r>
              <w:rPr>
                <w:rFonts w:hint="eastAsia" w:ascii="宋体" w:hAnsi="宋体" w:cs="宋体"/>
                <w:kern w:val="0"/>
                <w:sz w:val="24"/>
              </w:rPr>
              <w:t>单位</w:t>
            </w:r>
          </w:p>
        </w:tc>
        <w:tc>
          <w:tcPr>
            <w:tcW w:w="4412" w:type="dxa"/>
            <w:gridSpan w:val="4"/>
            <w:vAlign w:val="center"/>
          </w:tcPr>
          <w:p>
            <w:pPr>
              <w:widowControl/>
              <w:jc w:val="center"/>
              <w:rPr>
                <w:rFonts w:ascii="宋体" w:cs="宋体"/>
                <w:kern w:val="0"/>
                <w:sz w:val="24"/>
              </w:rPr>
            </w:pPr>
            <w:r>
              <w:rPr>
                <w:rFonts w:hint="eastAsia" w:ascii="宋体" w:hAnsi="宋体" w:cs="宋体"/>
                <w:kern w:val="0"/>
                <w:sz w:val="24"/>
              </w:rPr>
              <w:t>人数</w:t>
            </w:r>
          </w:p>
        </w:tc>
        <w:tc>
          <w:tcPr>
            <w:tcW w:w="1512" w:type="dxa"/>
            <w:vMerge w:val="restart"/>
            <w:vAlign w:val="center"/>
          </w:tcPr>
          <w:p>
            <w:pPr>
              <w:widowControl/>
              <w:jc w:val="center"/>
              <w:rPr>
                <w:rFonts w:ascii="宋体" w:cs="宋体"/>
                <w:kern w:val="0"/>
                <w:sz w:val="24"/>
              </w:rPr>
            </w:pPr>
            <w:r>
              <w:rPr>
                <w:rFonts w:hint="eastAsia" w:ascii="宋体" w:hAnsi="宋体" w:cs="宋体"/>
                <w:kern w:val="0"/>
                <w:sz w:val="24"/>
              </w:rPr>
              <w:t>补助标准</w:t>
            </w:r>
          </w:p>
        </w:tc>
        <w:tc>
          <w:tcPr>
            <w:tcW w:w="1294" w:type="dxa"/>
            <w:vMerge w:val="restart"/>
            <w:vAlign w:val="center"/>
          </w:tcPr>
          <w:p>
            <w:pPr>
              <w:widowControl/>
              <w:jc w:val="center"/>
              <w:rPr>
                <w:rFonts w:ascii="宋体" w:cs="宋体"/>
                <w:kern w:val="0"/>
                <w:sz w:val="24"/>
              </w:rPr>
            </w:pPr>
            <w:r>
              <w:rPr>
                <w:rFonts w:hint="eastAsia" w:ascii="宋体" w:hAnsi="宋体" w:cs="宋体"/>
                <w:kern w:val="0"/>
                <w:sz w:val="24"/>
              </w:rPr>
              <w:t>金额</w:t>
            </w:r>
            <w:r>
              <w:rPr>
                <w:rFonts w:ascii="宋体" w:hAnsi="宋体" w:cs="宋体"/>
                <w:kern w:val="0"/>
                <w:sz w:val="24"/>
              </w:rPr>
              <w:t>(</w:t>
            </w:r>
            <w:r>
              <w:rPr>
                <w:rFonts w:hint="eastAsia" w:ascii="宋体" w:hAnsi="宋体" w:cs="宋体"/>
                <w:kern w:val="0"/>
                <w:sz w:val="24"/>
              </w:rPr>
              <w:t>元</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1551" w:type="dxa"/>
            <w:vMerge w:val="continue"/>
            <w:vAlign w:val="center"/>
          </w:tcPr>
          <w:p>
            <w:pPr>
              <w:widowControl/>
              <w:jc w:val="left"/>
              <w:rPr>
                <w:rFonts w:ascii="宋体" w:cs="宋体"/>
                <w:kern w:val="0"/>
                <w:sz w:val="24"/>
              </w:rPr>
            </w:pPr>
          </w:p>
        </w:tc>
        <w:tc>
          <w:tcPr>
            <w:tcW w:w="977" w:type="dxa"/>
            <w:vAlign w:val="center"/>
          </w:tcPr>
          <w:p>
            <w:pPr>
              <w:widowControl/>
              <w:jc w:val="center"/>
              <w:rPr>
                <w:rFonts w:ascii="宋体" w:cs="宋体"/>
                <w:kern w:val="0"/>
                <w:sz w:val="24"/>
              </w:rPr>
            </w:pPr>
            <w:r>
              <w:rPr>
                <w:rFonts w:hint="eastAsia" w:ascii="宋体" w:hAnsi="宋体" w:cs="宋体"/>
                <w:kern w:val="0"/>
                <w:sz w:val="24"/>
              </w:rPr>
              <w:t>合计</w:t>
            </w:r>
          </w:p>
        </w:tc>
        <w:tc>
          <w:tcPr>
            <w:tcW w:w="1145" w:type="dxa"/>
            <w:vAlign w:val="center"/>
          </w:tcPr>
          <w:p>
            <w:pPr>
              <w:widowControl/>
              <w:jc w:val="center"/>
              <w:rPr>
                <w:rFonts w:ascii="宋体" w:cs="宋体"/>
                <w:kern w:val="0"/>
                <w:sz w:val="24"/>
              </w:rPr>
            </w:pPr>
            <w:r>
              <w:rPr>
                <w:rFonts w:hint="eastAsia" w:ascii="宋体" w:hAnsi="宋体" w:cs="宋体"/>
                <w:kern w:val="0"/>
                <w:sz w:val="24"/>
              </w:rPr>
              <w:t>一年级</w:t>
            </w:r>
          </w:p>
        </w:tc>
        <w:tc>
          <w:tcPr>
            <w:tcW w:w="1145" w:type="dxa"/>
            <w:vAlign w:val="center"/>
          </w:tcPr>
          <w:p>
            <w:pPr>
              <w:widowControl/>
              <w:jc w:val="center"/>
              <w:rPr>
                <w:rFonts w:ascii="宋体" w:cs="宋体"/>
                <w:kern w:val="0"/>
                <w:sz w:val="24"/>
              </w:rPr>
            </w:pPr>
            <w:r>
              <w:rPr>
                <w:rFonts w:hint="eastAsia" w:ascii="宋体" w:hAnsi="宋体" w:cs="宋体"/>
                <w:kern w:val="0"/>
                <w:sz w:val="24"/>
              </w:rPr>
              <w:t>二年级</w:t>
            </w:r>
          </w:p>
        </w:tc>
        <w:tc>
          <w:tcPr>
            <w:tcW w:w="1145" w:type="dxa"/>
            <w:vAlign w:val="center"/>
          </w:tcPr>
          <w:p>
            <w:pPr>
              <w:widowControl/>
              <w:jc w:val="center"/>
              <w:rPr>
                <w:rFonts w:ascii="宋体" w:cs="宋体"/>
                <w:kern w:val="0"/>
                <w:sz w:val="24"/>
              </w:rPr>
            </w:pPr>
            <w:r>
              <w:rPr>
                <w:rFonts w:hint="eastAsia" w:ascii="宋体" w:hAnsi="宋体" w:cs="宋体"/>
                <w:kern w:val="0"/>
                <w:sz w:val="24"/>
              </w:rPr>
              <w:t>三年级</w:t>
            </w:r>
          </w:p>
        </w:tc>
        <w:tc>
          <w:tcPr>
            <w:tcW w:w="1512" w:type="dxa"/>
            <w:vMerge w:val="continue"/>
            <w:vAlign w:val="center"/>
          </w:tcPr>
          <w:p>
            <w:pPr>
              <w:widowControl/>
              <w:jc w:val="left"/>
              <w:rPr>
                <w:rFonts w:ascii="宋体" w:cs="宋体"/>
                <w:kern w:val="0"/>
                <w:sz w:val="24"/>
              </w:rPr>
            </w:pPr>
          </w:p>
        </w:tc>
        <w:tc>
          <w:tcPr>
            <w:tcW w:w="1294" w:type="dxa"/>
            <w:vMerge w:val="continue"/>
            <w:vAlign w:val="center"/>
          </w:tcPr>
          <w:p>
            <w:pPr>
              <w:widowControl/>
              <w:jc w:val="lef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551" w:type="dxa"/>
            <w:vAlign w:val="center"/>
          </w:tcPr>
          <w:p>
            <w:pPr>
              <w:widowControl/>
              <w:jc w:val="center"/>
              <w:rPr>
                <w:rFonts w:ascii="宋体" w:cs="宋体"/>
                <w:kern w:val="0"/>
                <w:sz w:val="24"/>
              </w:rPr>
            </w:pPr>
            <w:r>
              <w:rPr>
                <w:rFonts w:hint="eastAsia" w:ascii="宋体" w:hAnsi="宋体" w:cs="宋体"/>
                <w:kern w:val="0"/>
                <w:sz w:val="24"/>
              </w:rPr>
              <w:t>职业中专</w:t>
            </w:r>
          </w:p>
        </w:tc>
        <w:tc>
          <w:tcPr>
            <w:tcW w:w="977" w:type="dxa"/>
            <w:vAlign w:val="center"/>
          </w:tcPr>
          <w:p>
            <w:pPr>
              <w:widowControl/>
              <w:jc w:val="center"/>
              <w:rPr>
                <w:rFonts w:ascii="宋体" w:cs="宋体"/>
                <w:kern w:val="0"/>
                <w:sz w:val="24"/>
              </w:rPr>
            </w:pPr>
            <w:r>
              <w:rPr>
                <w:rFonts w:ascii="宋体" w:hAnsi="宋体" w:cs="宋体"/>
                <w:kern w:val="0"/>
                <w:sz w:val="24"/>
              </w:rPr>
              <w:t>2722</w:t>
            </w:r>
          </w:p>
        </w:tc>
        <w:tc>
          <w:tcPr>
            <w:tcW w:w="1145" w:type="dxa"/>
            <w:vAlign w:val="center"/>
          </w:tcPr>
          <w:p>
            <w:pPr>
              <w:widowControl/>
              <w:jc w:val="center"/>
              <w:rPr>
                <w:rFonts w:ascii="宋体" w:cs="宋体"/>
                <w:kern w:val="0"/>
                <w:sz w:val="24"/>
              </w:rPr>
            </w:pPr>
            <w:r>
              <w:rPr>
                <w:rFonts w:ascii="宋体" w:hAnsi="宋体" w:cs="宋体"/>
                <w:kern w:val="0"/>
                <w:sz w:val="24"/>
              </w:rPr>
              <w:t>911</w:t>
            </w:r>
          </w:p>
        </w:tc>
        <w:tc>
          <w:tcPr>
            <w:tcW w:w="1145" w:type="dxa"/>
            <w:vAlign w:val="center"/>
          </w:tcPr>
          <w:p>
            <w:pPr>
              <w:widowControl/>
              <w:jc w:val="center"/>
              <w:rPr>
                <w:rFonts w:ascii="宋体" w:cs="宋体"/>
                <w:kern w:val="0"/>
                <w:sz w:val="24"/>
              </w:rPr>
            </w:pPr>
            <w:r>
              <w:rPr>
                <w:rFonts w:ascii="宋体" w:hAnsi="宋体" w:cs="宋体"/>
                <w:kern w:val="0"/>
                <w:sz w:val="24"/>
              </w:rPr>
              <w:t>1013</w:t>
            </w:r>
          </w:p>
        </w:tc>
        <w:tc>
          <w:tcPr>
            <w:tcW w:w="1145" w:type="dxa"/>
            <w:vAlign w:val="center"/>
          </w:tcPr>
          <w:p>
            <w:pPr>
              <w:widowControl/>
              <w:jc w:val="center"/>
              <w:rPr>
                <w:rFonts w:ascii="宋体" w:cs="宋体"/>
                <w:kern w:val="0"/>
                <w:sz w:val="24"/>
              </w:rPr>
            </w:pPr>
            <w:r>
              <w:rPr>
                <w:rFonts w:ascii="宋体" w:hAnsi="宋体" w:cs="宋体"/>
                <w:kern w:val="0"/>
                <w:sz w:val="24"/>
              </w:rPr>
              <w:t>798</w:t>
            </w:r>
          </w:p>
        </w:tc>
        <w:tc>
          <w:tcPr>
            <w:tcW w:w="1512" w:type="dxa"/>
            <w:vAlign w:val="center"/>
          </w:tcPr>
          <w:p>
            <w:pPr>
              <w:widowControl/>
              <w:jc w:val="center"/>
              <w:rPr>
                <w:rFonts w:ascii="宋体" w:cs="宋体"/>
                <w:kern w:val="0"/>
                <w:sz w:val="24"/>
              </w:rPr>
            </w:pPr>
            <w:r>
              <w:rPr>
                <w:rFonts w:ascii="宋体" w:hAnsi="宋体" w:cs="宋体"/>
                <w:kern w:val="0"/>
                <w:sz w:val="24"/>
              </w:rPr>
              <w:t>1200</w:t>
            </w:r>
            <w:r>
              <w:rPr>
                <w:rFonts w:hint="eastAsia" w:ascii="宋体" w:hAnsi="宋体" w:cs="宋体"/>
                <w:kern w:val="0"/>
                <w:sz w:val="24"/>
              </w:rPr>
              <w:t>元</w:t>
            </w:r>
            <w:r>
              <w:rPr>
                <w:rFonts w:ascii="宋体" w:hAnsi="宋体" w:cs="宋体"/>
                <w:kern w:val="0"/>
                <w:sz w:val="24"/>
              </w:rPr>
              <w:t>/</w:t>
            </w:r>
            <w:r>
              <w:rPr>
                <w:rFonts w:hint="eastAsia" w:ascii="宋体" w:hAnsi="宋体" w:cs="宋体"/>
                <w:kern w:val="0"/>
                <w:sz w:val="24"/>
              </w:rPr>
              <w:t>人</w:t>
            </w:r>
          </w:p>
        </w:tc>
        <w:tc>
          <w:tcPr>
            <w:tcW w:w="1294" w:type="dxa"/>
            <w:vAlign w:val="center"/>
          </w:tcPr>
          <w:p>
            <w:pPr>
              <w:widowControl/>
              <w:jc w:val="center"/>
              <w:rPr>
                <w:rFonts w:ascii="宋体" w:cs="宋体"/>
                <w:kern w:val="0"/>
                <w:sz w:val="24"/>
              </w:rPr>
            </w:pPr>
            <w:r>
              <w:rPr>
                <w:rFonts w:ascii="宋体" w:hAnsi="宋体" w:cs="宋体"/>
                <w:kern w:val="0"/>
                <w:sz w:val="24"/>
              </w:rPr>
              <w:t>3266400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551" w:type="dxa"/>
            <w:vAlign w:val="center"/>
          </w:tcPr>
          <w:p>
            <w:pPr>
              <w:widowControl/>
              <w:jc w:val="center"/>
              <w:rPr>
                <w:rFonts w:ascii="宋体" w:cs="宋体"/>
                <w:kern w:val="0"/>
                <w:sz w:val="24"/>
              </w:rP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977" w:type="dxa"/>
            <w:vAlign w:val="center"/>
          </w:tcPr>
          <w:p>
            <w:pPr>
              <w:widowControl/>
              <w:jc w:val="center"/>
              <w:rPr>
                <w:rFonts w:ascii="宋体" w:cs="宋体"/>
                <w:kern w:val="0"/>
                <w:sz w:val="24"/>
              </w:rPr>
            </w:pPr>
          </w:p>
        </w:tc>
        <w:tc>
          <w:tcPr>
            <w:tcW w:w="1145" w:type="dxa"/>
            <w:vAlign w:val="center"/>
          </w:tcPr>
          <w:p>
            <w:pPr>
              <w:widowControl/>
              <w:jc w:val="center"/>
              <w:rPr>
                <w:rFonts w:ascii="宋体" w:cs="宋体"/>
                <w:kern w:val="0"/>
                <w:sz w:val="24"/>
              </w:rPr>
            </w:pPr>
          </w:p>
        </w:tc>
        <w:tc>
          <w:tcPr>
            <w:tcW w:w="1145" w:type="dxa"/>
            <w:vAlign w:val="center"/>
          </w:tcPr>
          <w:p>
            <w:pPr>
              <w:widowControl/>
              <w:jc w:val="center"/>
              <w:rPr>
                <w:rFonts w:ascii="宋体" w:cs="宋体"/>
                <w:kern w:val="0"/>
                <w:sz w:val="24"/>
              </w:rPr>
            </w:pPr>
          </w:p>
        </w:tc>
        <w:tc>
          <w:tcPr>
            <w:tcW w:w="1145" w:type="dxa"/>
            <w:vAlign w:val="center"/>
          </w:tcPr>
          <w:p>
            <w:pPr>
              <w:widowControl/>
              <w:jc w:val="center"/>
              <w:rPr>
                <w:rFonts w:ascii="宋体" w:cs="宋体"/>
                <w:kern w:val="0"/>
                <w:sz w:val="24"/>
              </w:rPr>
            </w:pPr>
          </w:p>
        </w:tc>
        <w:tc>
          <w:tcPr>
            <w:tcW w:w="1512" w:type="dxa"/>
            <w:vAlign w:val="center"/>
          </w:tcPr>
          <w:p>
            <w:pPr>
              <w:widowControl/>
              <w:jc w:val="center"/>
              <w:rPr>
                <w:rFonts w:ascii="宋体" w:cs="宋体"/>
                <w:kern w:val="0"/>
                <w:sz w:val="24"/>
              </w:rPr>
            </w:pPr>
          </w:p>
        </w:tc>
        <w:tc>
          <w:tcPr>
            <w:tcW w:w="1294" w:type="dxa"/>
            <w:vAlign w:val="center"/>
          </w:tcPr>
          <w:p>
            <w:pPr>
              <w:widowControl/>
              <w:jc w:val="center"/>
              <w:rPr>
                <w:rFonts w:ascii="宋体" w:cs="宋体"/>
                <w:kern w:val="0"/>
                <w:sz w:val="24"/>
              </w:rPr>
            </w:pPr>
            <w:r>
              <w:rPr>
                <w:rFonts w:ascii="宋体" w:hAnsi="宋体" w:cs="宋体"/>
                <w:kern w:val="0"/>
                <w:sz w:val="24"/>
              </w:rPr>
              <w:t>3266400</w:t>
            </w:r>
          </w:p>
        </w:tc>
      </w:tr>
    </w:tbl>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p>
    <w:p>
      <w:pPr>
        <w:snapToGrid w:val="0"/>
        <w:spacing w:line="336" w:lineRule="auto"/>
        <w:rPr>
          <w:sz w:val="26"/>
        </w:rPr>
      </w:pPr>
      <w:r>
        <w:rPr>
          <w:rFonts w:hint="eastAsia"/>
          <w:sz w:val="26"/>
        </w:rPr>
        <w:t>附件</w:t>
      </w:r>
      <w:r>
        <w:rPr>
          <w:sz w:val="26"/>
        </w:rPr>
        <w:t>2</w:t>
      </w:r>
      <w:r>
        <w:rPr>
          <w:rFonts w:hint="eastAsia"/>
          <w:sz w:val="26"/>
        </w:rPr>
        <w:t>：</w:t>
      </w:r>
    </w:p>
    <w:p>
      <w:pPr>
        <w:snapToGrid w:val="0"/>
        <w:spacing w:line="336" w:lineRule="auto"/>
        <w:rPr>
          <w:sz w:val="26"/>
        </w:rPr>
      </w:pPr>
    </w:p>
    <w:p>
      <w:pPr>
        <w:snapToGrid w:val="0"/>
        <w:spacing w:line="336" w:lineRule="auto"/>
        <w:jc w:val="center"/>
        <w:rPr>
          <w:b/>
          <w:w w:val="90"/>
          <w:sz w:val="40"/>
          <w:szCs w:val="44"/>
        </w:rPr>
      </w:pPr>
      <w:r>
        <w:rPr>
          <w:rFonts w:hint="eastAsia"/>
          <w:b/>
          <w:w w:val="90"/>
          <w:sz w:val="40"/>
          <w:szCs w:val="44"/>
        </w:rPr>
        <w:t>华容县中职学校</w:t>
      </w:r>
      <w:r>
        <w:rPr>
          <w:b/>
          <w:w w:val="90"/>
          <w:sz w:val="40"/>
          <w:szCs w:val="44"/>
        </w:rPr>
        <w:t>2017</w:t>
      </w:r>
      <w:r>
        <w:rPr>
          <w:rFonts w:hint="eastAsia"/>
          <w:b/>
          <w:w w:val="90"/>
          <w:sz w:val="40"/>
          <w:szCs w:val="44"/>
        </w:rPr>
        <w:t>年春季学期助学金分配表</w:t>
      </w:r>
    </w:p>
    <w:p>
      <w:pPr>
        <w:snapToGrid w:val="0"/>
        <w:spacing w:line="336" w:lineRule="auto"/>
        <w:jc w:val="right"/>
        <w:rPr>
          <w:sz w:val="26"/>
        </w:rPr>
      </w:pPr>
    </w:p>
    <w:p>
      <w:pPr>
        <w:snapToGrid w:val="0"/>
        <w:spacing w:line="336" w:lineRule="auto"/>
        <w:jc w:val="right"/>
        <w:rPr>
          <w:sz w:val="26"/>
        </w:rPr>
      </w:pPr>
      <w:r>
        <w:rPr>
          <w:sz w:val="26"/>
        </w:rPr>
        <w:t>2017</w:t>
      </w:r>
      <w:r>
        <w:rPr>
          <w:rFonts w:hint="eastAsia"/>
          <w:sz w:val="26"/>
        </w:rPr>
        <w:t>年</w:t>
      </w:r>
      <w:r>
        <w:rPr>
          <w:sz w:val="26"/>
        </w:rPr>
        <w:t>3</w:t>
      </w:r>
      <w:r>
        <w:rPr>
          <w:rFonts w:hint="eastAsia"/>
          <w:sz w:val="26"/>
        </w:rPr>
        <w:t>月</w:t>
      </w:r>
    </w:p>
    <w:tbl>
      <w:tblPr>
        <w:tblStyle w:val="6"/>
        <w:tblW w:w="8655" w:type="dxa"/>
        <w:tblInd w:w="93" w:type="dxa"/>
        <w:tblLayout w:type="fixed"/>
        <w:tblCellMar>
          <w:top w:w="0" w:type="dxa"/>
          <w:left w:w="108" w:type="dxa"/>
          <w:bottom w:w="0" w:type="dxa"/>
          <w:right w:w="108" w:type="dxa"/>
        </w:tblCellMar>
      </w:tblPr>
      <w:tblGrid>
        <w:gridCol w:w="2163"/>
        <w:gridCol w:w="2164"/>
        <w:gridCol w:w="2164"/>
        <w:gridCol w:w="2164"/>
      </w:tblGrid>
      <w:tr>
        <w:tblPrEx>
          <w:tblLayout w:type="fixed"/>
          <w:tblCellMar>
            <w:top w:w="0" w:type="dxa"/>
            <w:left w:w="108" w:type="dxa"/>
            <w:bottom w:w="0" w:type="dxa"/>
            <w:right w:w="108" w:type="dxa"/>
          </w:tblCellMar>
        </w:tblPrEx>
        <w:trPr>
          <w:trHeight w:val="1320" w:hRule="atLeast"/>
        </w:trPr>
        <w:tc>
          <w:tcPr>
            <w:tcW w:w="2163" w:type="dxa"/>
            <w:tcBorders>
              <w:top w:val="single" w:color="auto" w:sz="4" w:space="0"/>
              <w:left w:val="single" w:color="auto" w:sz="4" w:space="0"/>
              <w:bottom w:val="nil"/>
              <w:right w:val="single" w:color="auto" w:sz="4" w:space="0"/>
            </w:tcBorders>
            <w:vAlign w:val="center"/>
          </w:tcPr>
          <w:p>
            <w:pPr>
              <w:widowControl/>
              <w:jc w:val="center"/>
              <w:rPr>
                <w:rFonts w:ascii="宋体" w:cs="宋体"/>
                <w:kern w:val="0"/>
                <w:sz w:val="26"/>
                <w:szCs w:val="26"/>
              </w:rPr>
            </w:pPr>
            <w:r>
              <w:rPr>
                <w:rFonts w:hint="eastAsia" w:ascii="宋体" w:hAnsi="宋体" w:cs="宋体"/>
                <w:kern w:val="0"/>
                <w:sz w:val="26"/>
                <w:szCs w:val="26"/>
              </w:rPr>
              <w:t>单</w:t>
            </w:r>
            <w:r>
              <w:rPr>
                <w:rFonts w:ascii="宋体" w:hAnsi="宋体" w:cs="宋体"/>
                <w:kern w:val="0"/>
                <w:sz w:val="26"/>
                <w:szCs w:val="26"/>
              </w:rPr>
              <w:t xml:space="preserve"> </w:t>
            </w:r>
            <w:r>
              <w:rPr>
                <w:rFonts w:hint="eastAsia" w:ascii="宋体" w:hAnsi="宋体" w:cs="宋体"/>
                <w:kern w:val="0"/>
                <w:sz w:val="26"/>
                <w:szCs w:val="26"/>
              </w:rPr>
              <w:t>位</w:t>
            </w:r>
          </w:p>
        </w:tc>
        <w:tc>
          <w:tcPr>
            <w:tcW w:w="2164" w:type="dxa"/>
            <w:tcBorders>
              <w:top w:val="single" w:color="auto" w:sz="4" w:space="0"/>
              <w:left w:val="nil"/>
              <w:bottom w:val="nil"/>
              <w:right w:val="single" w:color="auto" w:sz="4" w:space="0"/>
            </w:tcBorders>
            <w:vAlign w:val="center"/>
          </w:tcPr>
          <w:p>
            <w:pPr>
              <w:widowControl/>
              <w:jc w:val="center"/>
              <w:rPr>
                <w:rFonts w:ascii="宋体" w:cs="宋体"/>
                <w:kern w:val="0"/>
                <w:sz w:val="26"/>
                <w:szCs w:val="26"/>
              </w:rPr>
            </w:pPr>
            <w:r>
              <w:rPr>
                <w:rFonts w:hint="eastAsia" w:ascii="宋体" w:hAnsi="宋体" w:cs="宋体"/>
                <w:kern w:val="0"/>
                <w:sz w:val="26"/>
                <w:szCs w:val="26"/>
              </w:rPr>
              <w:t>人数</w:t>
            </w:r>
          </w:p>
        </w:tc>
        <w:tc>
          <w:tcPr>
            <w:tcW w:w="2164" w:type="dxa"/>
            <w:tcBorders>
              <w:top w:val="single" w:color="auto" w:sz="4" w:space="0"/>
              <w:left w:val="nil"/>
              <w:bottom w:val="nil"/>
              <w:right w:val="single" w:color="auto" w:sz="4" w:space="0"/>
            </w:tcBorders>
            <w:vAlign w:val="center"/>
          </w:tcPr>
          <w:p>
            <w:pPr>
              <w:widowControl/>
              <w:jc w:val="center"/>
              <w:rPr>
                <w:rFonts w:ascii="宋体" w:cs="宋体"/>
                <w:kern w:val="0"/>
                <w:sz w:val="26"/>
                <w:szCs w:val="26"/>
              </w:rPr>
            </w:pPr>
            <w:r>
              <w:rPr>
                <w:rFonts w:hint="eastAsia" w:ascii="宋体" w:hAnsi="宋体" w:cs="宋体"/>
                <w:kern w:val="0"/>
                <w:sz w:val="26"/>
                <w:szCs w:val="26"/>
              </w:rPr>
              <w:t>补助标准</w:t>
            </w:r>
          </w:p>
        </w:tc>
        <w:tc>
          <w:tcPr>
            <w:tcW w:w="2164" w:type="dxa"/>
            <w:tcBorders>
              <w:top w:val="single" w:color="auto" w:sz="4" w:space="0"/>
              <w:left w:val="nil"/>
              <w:bottom w:val="nil"/>
              <w:right w:val="single" w:color="auto" w:sz="4" w:space="0"/>
            </w:tcBorders>
            <w:vAlign w:val="center"/>
          </w:tcPr>
          <w:p>
            <w:pPr>
              <w:widowControl/>
              <w:jc w:val="center"/>
              <w:rPr>
                <w:rFonts w:ascii="宋体" w:cs="宋体"/>
                <w:kern w:val="0"/>
                <w:sz w:val="26"/>
                <w:szCs w:val="26"/>
              </w:rPr>
            </w:pPr>
            <w:r>
              <w:rPr>
                <w:rFonts w:hint="eastAsia" w:ascii="宋体" w:hAnsi="宋体" w:cs="宋体"/>
                <w:kern w:val="0"/>
                <w:sz w:val="26"/>
                <w:szCs w:val="26"/>
              </w:rPr>
              <w:t>金额（元）</w:t>
            </w:r>
          </w:p>
        </w:tc>
      </w:tr>
      <w:tr>
        <w:tblPrEx>
          <w:tblLayout w:type="fixed"/>
          <w:tblCellMar>
            <w:top w:w="0" w:type="dxa"/>
            <w:left w:w="108" w:type="dxa"/>
            <w:bottom w:w="0" w:type="dxa"/>
            <w:right w:w="108" w:type="dxa"/>
          </w:tblCellMar>
        </w:tblPrEx>
        <w:trPr>
          <w:trHeight w:val="1320"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6"/>
                <w:szCs w:val="26"/>
              </w:rPr>
            </w:pPr>
            <w:r>
              <w:rPr>
                <w:rFonts w:hint="eastAsia" w:ascii="宋体" w:hAnsi="宋体" w:cs="宋体"/>
                <w:kern w:val="0"/>
                <w:sz w:val="26"/>
                <w:szCs w:val="26"/>
              </w:rPr>
              <w:t>职业中专</w:t>
            </w:r>
          </w:p>
        </w:tc>
        <w:tc>
          <w:tcPr>
            <w:tcW w:w="2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6"/>
                <w:szCs w:val="26"/>
              </w:rPr>
            </w:pPr>
            <w:r>
              <w:rPr>
                <w:rFonts w:ascii="宋体" w:hAnsi="宋体" w:cs="宋体"/>
                <w:kern w:val="0"/>
                <w:sz w:val="26"/>
                <w:szCs w:val="26"/>
              </w:rPr>
              <w:t>330</w:t>
            </w:r>
          </w:p>
        </w:tc>
        <w:tc>
          <w:tcPr>
            <w:tcW w:w="2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6"/>
                <w:szCs w:val="26"/>
              </w:rPr>
            </w:pPr>
            <w:r>
              <w:rPr>
                <w:rFonts w:ascii="宋体" w:hAnsi="宋体" w:cs="宋体"/>
                <w:kern w:val="0"/>
                <w:sz w:val="26"/>
                <w:szCs w:val="26"/>
              </w:rPr>
              <w:t>100</w:t>
            </w:r>
            <w:r>
              <w:rPr>
                <w:rFonts w:ascii="宋体" w:cs="宋体"/>
                <w:kern w:val="0"/>
                <w:sz w:val="26"/>
                <w:szCs w:val="26"/>
              </w:rPr>
              <w:t>0</w:t>
            </w:r>
            <w:r>
              <w:rPr>
                <w:rFonts w:hint="eastAsia" w:ascii="宋体" w:hAnsi="宋体" w:cs="宋体"/>
                <w:kern w:val="0"/>
                <w:sz w:val="26"/>
                <w:szCs w:val="26"/>
              </w:rPr>
              <w:t>元</w:t>
            </w:r>
            <w:r>
              <w:rPr>
                <w:rFonts w:ascii="宋体" w:hAnsi="宋体" w:cs="宋体"/>
                <w:kern w:val="0"/>
                <w:sz w:val="26"/>
                <w:szCs w:val="26"/>
              </w:rPr>
              <w:t>/</w:t>
            </w:r>
            <w:r>
              <w:rPr>
                <w:rFonts w:hint="eastAsia" w:ascii="宋体" w:hAnsi="宋体" w:cs="宋体"/>
                <w:kern w:val="0"/>
                <w:sz w:val="26"/>
                <w:szCs w:val="26"/>
              </w:rPr>
              <w:t>人</w:t>
            </w:r>
          </w:p>
        </w:tc>
        <w:tc>
          <w:tcPr>
            <w:tcW w:w="216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6"/>
                <w:szCs w:val="26"/>
              </w:rPr>
            </w:pPr>
            <w:r>
              <w:rPr>
                <w:rFonts w:ascii="宋体" w:hAnsi="宋体" w:cs="宋体"/>
                <w:kern w:val="0"/>
                <w:sz w:val="26"/>
                <w:szCs w:val="26"/>
              </w:rPr>
              <w:t>330000</w:t>
            </w:r>
          </w:p>
        </w:tc>
      </w:tr>
      <w:tr>
        <w:tblPrEx>
          <w:tblLayout w:type="fixed"/>
          <w:tblCellMar>
            <w:top w:w="0" w:type="dxa"/>
            <w:left w:w="108" w:type="dxa"/>
            <w:bottom w:w="0" w:type="dxa"/>
            <w:right w:w="108" w:type="dxa"/>
          </w:tblCellMar>
        </w:tblPrEx>
        <w:trPr>
          <w:trHeight w:val="1320" w:hRule="atLeast"/>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6"/>
                <w:szCs w:val="26"/>
              </w:rPr>
            </w:pPr>
            <w:r>
              <w:rPr>
                <w:rFonts w:hint="eastAsia" w:ascii="宋体" w:hAnsi="宋体" w:cs="宋体"/>
                <w:kern w:val="0"/>
                <w:sz w:val="26"/>
                <w:szCs w:val="26"/>
              </w:rPr>
              <w:t>合</w:t>
            </w:r>
            <w:r>
              <w:rPr>
                <w:rFonts w:ascii="宋体" w:hAnsi="宋体" w:cs="宋体"/>
                <w:kern w:val="0"/>
                <w:sz w:val="26"/>
                <w:szCs w:val="26"/>
              </w:rPr>
              <w:t xml:space="preserve"> </w:t>
            </w:r>
            <w:r>
              <w:rPr>
                <w:rFonts w:hint="eastAsia" w:ascii="宋体" w:hAnsi="宋体" w:cs="宋体"/>
                <w:kern w:val="0"/>
                <w:sz w:val="26"/>
                <w:szCs w:val="26"/>
              </w:rPr>
              <w:t>计</w:t>
            </w:r>
          </w:p>
        </w:tc>
        <w:tc>
          <w:tcPr>
            <w:tcW w:w="2164" w:type="dxa"/>
            <w:tcBorders>
              <w:top w:val="nil"/>
              <w:left w:val="nil"/>
              <w:bottom w:val="single" w:color="auto" w:sz="4" w:space="0"/>
              <w:right w:val="single" w:color="auto" w:sz="4" w:space="0"/>
            </w:tcBorders>
            <w:vAlign w:val="center"/>
          </w:tcPr>
          <w:p>
            <w:pPr>
              <w:widowControl/>
              <w:jc w:val="center"/>
              <w:rPr>
                <w:rFonts w:ascii="宋体" w:cs="宋体"/>
                <w:kern w:val="0"/>
                <w:sz w:val="26"/>
                <w:szCs w:val="26"/>
              </w:rPr>
            </w:pPr>
            <w:r>
              <w:rPr>
                <w:rFonts w:ascii="宋体" w:hAnsi="宋体" w:cs="宋体"/>
                <w:kern w:val="0"/>
                <w:sz w:val="26"/>
                <w:szCs w:val="26"/>
              </w:rPr>
              <w:t>330</w:t>
            </w:r>
          </w:p>
        </w:tc>
        <w:tc>
          <w:tcPr>
            <w:tcW w:w="2164" w:type="dxa"/>
            <w:tcBorders>
              <w:top w:val="nil"/>
              <w:left w:val="nil"/>
              <w:bottom w:val="single" w:color="auto" w:sz="4" w:space="0"/>
              <w:right w:val="single" w:color="auto" w:sz="4" w:space="0"/>
            </w:tcBorders>
            <w:vAlign w:val="center"/>
          </w:tcPr>
          <w:p>
            <w:pPr>
              <w:widowControl/>
              <w:jc w:val="center"/>
              <w:rPr>
                <w:rFonts w:ascii="宋体" w:cs="宋体"/>
                <w:kern w:val="0"/>
                <w:sz w:val="26"/>
                <w:szCs w:val="26"/>
              </w:rPr>
            </w:pPr>
          </w:p>
        </w:tc>
        <w:tc>
          <w:tcPr>
            <w:tcW w:w="2164" w:type="dxa"/>
            <w:tcBorders>
              <w:top w:val="nil"/>
              <w:left w:val="nil"/>
              <w:bottom w:val="single" w:color="auto" w:sz="4" w:space="0"/>
              <w:right w:val="single" w:color="auto" w:sz="4" w:space="0"/>
            </w:tcBorders>
            <w:vAlign w:val="center"/>
          </w:tcPr>
          <w:p>
            <w:pPr>
              <w:widowControl/>
              <w:jc w:val="center"/>
              <w:rPr>
                <w:rFonts w:ascii="宋体" w:cs="宋体"/>
                <w:kern w:val="0"/>
                <w:sz w:val="26"/>
                <w:szCs w:val="26"/>
              </w:rPr>
            </w:pPr>
            <w:r>
              <w:rPr>
                <w:rFonts w:ascii="宋体" w:hAnsi="宋体" w:cs="宋体"/>
                <w:kern w:val="0"/>
                <w:sz w:val="26"/>
                <w:szCs w:val="26"/>
              </w:rPr>
              <w:t>330000</w:t>
            </w:r>
          </w:p>
        </w:tc>
      </w:tr>
    </w:tbl>
    <w:p>
      <w:pPr>
        <w:snapToGrid w:val="0"/>
        <w:spacing w:line="336" w:lineRule="auto"/>
        <w:rPr>
          <w:sz w:val="26"/>
        </w:rPr>
      </w:pPr>
    </w:p>
    <w:sectPr>
      <w:headerReference r:id="rId3" w:type="default"/>
      <w:footerReference r:id="rId4" w:type="default"/>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6"/>
      </w:rPr>
    </w:pPr>
    <w:r>
      <w:rPr>
        <w:sz w:val="26"/>
      </w:rPr>
      <w:t>-</w:t>
    </w:r>
    <w:r>
      <w:rPr>
        <w:sz w:val="26"/>
      </w:rPr>
      <w:fldChar w:fldCharType="begin"/>
    </w:r>
    <w:r>
      <w:rPr>
        <w:sz w:val="26"/>
      </w:rPr>
      <w:instrText xml:space="preserve"> page </w:instrText>
    </w:r>
    <w:r>
      <w:rPr>
        <w:sz w:val="26"/>
      </w:rPr>
      <w:fldChar w:fldCharType="separate"/>
    </w:r>
    <w:r>
      <w:rPr>
        <w:sz w:val="26"/>
      </w:rPr>
      <w:t>2</w:t>
    </w:r>
    <w:r>
      <w:rPr>
        <w:sz w:val="26"/>
      </w:rPr>
      <w:fldChar w:fldCharType="end"/>
    </w:r>
    <w:r>
      <w:rPr>
        <w:sz w:val="26"/>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6E1FFD"/>
    <w:rsid w:val="00013C1F"/>
    <w:rsid w:val="0001704E"/>
    <w:rsid w:val="00025AAE"/>
    <w:rsid w:val="00031676"/>
    <w:rsid w:val="000550D3"/>
    <w:rsid w:val="00061BD0"/>
    <w:rsid w:val="00065971"/>
    <w:rsid w:val="000A4CAF"/>
    <w:rsid w:val="000B51CA"/>
    <w:rsid w:val="000C1219"/>
    <w:rsid w:val="000C12E6"/>
    <w:rsid w:val="000D0558"/>
    <w:rsid w:val="00105796"/>
    <w:rsid w:val="00107738"/>
    <w:rsid w:val="00141449"/>
    <w:rsid w:val="00142BEC"/>
    <w:rsid w:val="00147116"/>
    <w:rsid w:val="0014715A"/>
    <w:rsid w:val="0015728C"/>
    <w:rsid w:val="00161F87"/>
    <w:rsid w:val="001800F3"/>
    <w:rsid w:val="001934B1"/>
    <w:rsid w:val="001A1179"/>
    <w:rsid w:val="001A6F8B"/>
    <w:rsid w:val="001C711B"/>
    <w:rsid w:val="001F1D5D"/>
    <w:rsid w:val="001F3BE9"/>
    <w:rsid w:val="00234660"/>
    <w:rsid w:val="002378D0"/>
    <w:rsid w:val="002834AE"/>
    <w:rsid w:val="0029487F"/>
    <w:rsid w:val="002A217C"/>
    <w:rsid w:val="002A6BBF"/>
    <w:rsid w:val="002C5830"/>
    <w:rsid w:val="002D58D8"/>
    <w:rsid w:val="0030686C"/>
    <w:rsid w:val="003567EF"/>
    <w:rsid w:val="00366D3C"/>
    <w:rsid w:val="00375616"/>
    <w:rsid w:val="003846AA"/>
    <w:rsid w:val="00397318"/>
    <w:rsid w:val="003B427D"/>
    <w:rsid w:val="003C5D43"/>
    <w:rsid w:val="003D398E"/>
    <w:rsid w:val="003E0A77"/>
    <w:rsid w:val="003F1726"/>
    <w:rsid w:val="003F3C33"/>
    <w:rsid w:val="00400BC4"/>
    <w:rsid w:val="00401C50"/>
    <w:rsid w:val="00410167"/>
    <w:rsid w:val="00413A03"/>
    <w:rsid w:val="00420ECB"/>
    <w:rsid w:val="00433A5A"/>
    <w:rsid w:val="00453F13"/>
    <w:rsid w:val="00496313"/>
    <w:rsid w:val="004B4EDD"/>
    <w:rsid w:val="004C7E45"/>
    <w:rsid w:val="005203FA"/>
    <w:rsid w:val="0052582E"/>
    <w:rsid w:val="00541256"/>
    <w:rsid w:val="00554D26"/>
    <w:rsid w:val="00566242"/>
    <w:rsid w:val="00575BE0"/>
    <w:rsid w:val="005C026D"/>
    <w:rsid w:val="006129AC"/>
    <w:rsid w:val="00625BFB"/>
    <w:rsid w:val="0063280F"/>
    <w:rsid w:val="00634B26"/>
    <w:rsid w:val="00636E5B"/>
    <w:rsid w:val="00667609"/>
    <w:rsid w:val="00674ED0"/>
    <w:rsid w:val="00675C04"/>
    <w:rsid w:val="00682BBA"/>
    <w:rsid w:val="006C425F"/>
    <w:rsid w:val="006C427D"/>
    <w:rsid w:val="006D2AE7"/>
    <w:rsid w:val="006E1430"/>
    <w:rsid w:val="006E1FFD"/>
    <w:rsid w:val="006F7286"/>
    <w:rsid w:val="00700676"/>
    <w:rsid w:val="00700C21"/>
    <w:rsid w:val="00707A23"/>
    <w:rsid w:val="0073256E"/>
    <w:rsid w:val="00753D61"/>
    <w:rsid w:val="007850BD"/>
    <w:rsid w:val="007A78A6"/>
    <w:rsid w:val="007F408B"/>
    <w:rsid w:val="00804850"/>
    <w:rsid w:val="00821B12"/>
    <w:rsid w:val="0086596B"/>
    <w:rsid w:val="008754EB"/>
    <w:rsid w:val="00875817"/>
    <w:rsid w:val="008951AA"/>
    <w:rsid w:val="008A45C3"/>
    <w:rsid w:val="008A7B7D"/>
    <w:rsid w:val="008E1B3F"/>
    <w:rsid w:val="008E405E"/>
    <w:rsid w:val="008E550A"/>
    <w:rsid w:val="008E6996"/>
    <w:rsid w:val="008F3B2E"/>
    <w:rsid w:val="009032BC"/>
    <w:rsid w:val="00904350"/>
    <w:rsid w:val="009050D1"/>
    <w:rsid w:val="00911407"/>
    <w:rsid w:val="00950F9E"/>
    <w:rsid w:val="00976E66"/>
    <w:rsid w:val="00991830"/>
    <w:rsid w:val="00994B79"/>
    <w:rsid w:val="009A3E7B"/>
    <w:rsid w:val="009B1D7E"/>
    <w:rsid w:val="00A03A7D"/>
    <w:rsid w:val="00A3019F"/>
    <w:rsid w:val="00A30FD5"/>
    <w:rsid w:val="00A32463"/>
    <w:rsid w:val="00A4381F"/>
    <w:rsid w:val="00A65943"/>
    <w:rsid w:val="00A65ACF"/>
    <w:rsid w:val="00A746FB"/>
    <w:rsid w:val="00A87759"/>
    <w:rsid w:val="00AB2696"/>
    <w:rsid w:val="00AD571E"/>
    <w:rsid w:val="00AE6FD2"/>
    <w:rsid w:val="00B11B19"/>
    <w:rsid w:val="00B15186"/>
    <w:rsid w:val="00B1590F"/>
    <w:rsid w:val="00B20B26"/>
    <w:rsid w:val="00B25EB5"/>
    <w:rsid w:val="00B3329E"/>
    <w:rsid w:val="00B34896"/>
    <w:rsid w:val="00B36378"/>
    <w:rsid w:val="00B73A32"/>
    <w:rsid w:val="00B80CFB"/>
    <w:rsid w:val="00B90FAF"/>
    <w:rsid w:val="00BC4577"/>
    <w:rsid w:val="00BE04CF"/>
    <w:rsid w:val="00BE6E06"/>
    <w:rsid w:val="00C02E9F"/>
    <w:rsid w:val="00C21BCF"/>
    <w:rsid w:val="00C32792"/>
    <w:rsid w:val="00C63F3C"/>
    <w:rsid w:val="00C8689E"/>
    <w:rsid w:val="00CD5554"/>
    <w:rsid w:val="00CE044D"/>
    <w:rsid w:val="00D05DFA"/>
    <w:rsid w:val="00D3534C"/>
    <w:rsid w:val="00D47BF1"/>
    <w:rsid w:val="00D504A5"/>
    <w:rsid w:val="00D74256"/>
    <w:rsid w:val="00DA6A7A"/>
    <w:rsid w:val="00DC2407"/>
    <w:rsid w:val="00DD1CB8"/>
    <w:rsid w:val="00DD1F9C"/>
    <w:rsid w:val="00DD6063"/>
    <w:rsid w:val="00DD7BDE"/>
    <w:rsid w:val="00DF0E1A"/>
    <w:rsid w:val="00E34790"/>
    <w:rsid w:val="00E8177E"/>
    <w:rsid w:val="00EA7751"/>
    <w:rsid w:val="00EB7D4C"/>
    <w:rsid w:val="00F03CD9"/>
    <w:rsid w:val="00F17E0C"/>
    <w:rsid w:val="00F53915"/>
    <w:rsid w:val="00F563BD"/>
    <w:rsid w:val="00F8711B"/>
    <w:rsid w:val="00F91F70"/>
    <w:rsid w:val="00F95CDB"/>
    <w:rsid w:val="00FB00C2"/>
    <w:rsid w:val="00FC304E"/>
    <w:rsid w:val="4D0E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uiPriority w:val="99"/>
    <w:rPr>
      <w:sz w:val="18"/>
      <w:szCs w:val="18"/>
    </w:rPr>
  </w:style>
  <w:style w:type="character" w:customStyle="1" w:styleId="10">
    <w:name w:val="批注框文本 Char"/>
    <w:basedOn w:val="5"/>
    <w:link w:val="2"/>
    <w:semiHidden/>
    <w:uiPriority w:val="99"/>
    <w:rPr>
      <w:sz w:val="0"/>
      <w:sz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431</Words>
  <Characters>2460</Characters>
  <Lines>20</Lines>
  <Paragraphs>5</Paragraphs>
  <TotalTime>0</TotalTime>
  <ScaleCrop>false</ScaleCrop>
  <LinksUpToDate>false</LinksUpToDate>
  <CharactersWithSpaces>2886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2017-12-14T03:51:00Z</dcterms:created>
  <dc:creator>微软用户</dc:creator>
  <cp:lastModifiedBy>Administrator</cp:lastModifiedBy>
  <cp:lastPrinted>2017-03-21T03:57:00Z</cp:lastPrinted>
  <dcterms:modified xsi:type="dcterms:W3CDTF">2017-12-14T08:36:48Z</dcterms:modified>
  <dc:title>关于追加2012年春季学期中职学校免学费计划的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