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12A020">
      <w:pPr>
        <w:ind w:left="0" w:leftChars="0" w:firstLine="0" w:firstLineChars="0"/>
        <w:jc w:val="center"/>
        <w:rPr>
          <w:rFonts w:hint="default"/>
          <w:lang w:val="en-US" w:eastAsia="zh-CN" w:bidi="en-US"/>
        </w:rPr>
      </w:pPr>
      <w:r>
        <w:rPr>
          <w:rFonts w:hint="eastAsia"/>
          <w:lang w:val="en-US" w:eastAsia="zh-CN" w:bidi="en-US"/>
        </w:rPr>
        <w:t>长沙绿色潇湘环保科普中心就《湘阴县人民政府关于禁止露天焚烧农作物秸秆区域、时段划定的通告》的建议反馈</w:t>
      </w:r>
    </w:p>
    <w:p w14:paraId="78C8813A">
      <w:pPr>
        <w:ind w:left="0" w:leftChars="0" w:firstLine="0" w:firstLineChars="0"/>
        <w:rPr>
          <w:rFonts w:hint="eastAsia"/>
          <w:lang w:val="en-US" w:eastAsia="zh-CN" w:bidi="en-US"/>
        </w:rPr>
      </w:pPr>
    </w:p>
    <w:p w14:paraId="72A3CF6A">
      <w:pPr>
        <w:ind w:left="0" w:leftChars="0" w:firstLine="0" w:firstLineChars="0"/>
        <w:rPr>
          <w:rFonts w:hint="eastAsia"/>
          <w:lang w:val="en-US" w:eastAsia="zh-CN" w:bidi="en-US"/>
        </w:rPr>
      </w:pPr>
      <w:r>
        <w:rPr>
          <w:rFonts w:hint="eastAsia"/>
          <w:lang w:val="en-US" w:eastAsia="zh-CN" w:bidi="en-US"/>
        </w:rPr>
        <w:t>建议一：</w:t>
      </w:r>
    </w:p>
    <w:p w14:paraId="7473D4F7">
      <w:pPr>
        <w:ind w:left="0" w:leftChars="0" w:firstLine="0" w:firstLineChars="0"/>
        <w:rPr>
          <w:rFonts w:hint="eastAsia"/>
          <w:lang w:bidi="en-US"/>
        </w:rPr>
      </w:pPr>
      <w:r>
        <w:rPr>
          <w:rFonts w:hint="eastAsia"/>
          <w:lang w:bidi="en-US"/>
        </w:rPr>
        <w:t>（二）限时禁烧区</w:t>
      </w:r>
    </w:p>
    <w:p w14:paraId="5C4F8B18">
      <w:pPr>
        <w:ind w:left="0" w:leftChars="0" w:firstLine="0" w:firstLineChars="0"/>
        <w:rPr>
          <w:rFonts w:hint="eastAsia"/>
          <w:lang w:bidi="en-US"/>
        </w:rPr>
      </w:pPr>
      <w:r>
        <w:rPr>
          <w:rFonts w:hint="eastAsia"/>
          <w:lang w:bidi="en-US"/>
        </w:rPr>
        <w:t>1、秸秆禁烧区以外的其他区域属于限烧区。限烧区内，在确保人民生命财产安全、防止大气污染、保护广大人民群众身体健康的前提下，充分考虑气象条件、焚烧地点和方式，可开展有序焚烧。</w:t>
      </w:r>
    </w:p>
    <w:p w14:paraId="4AC9DFFF">
      <w:pPr>
        <w:ind w:left="0" w:leftChars="0" w:firstLine="0" w:firstLineChars="0"/>
        <w:rPr>
          <w:rFonts w:hint="eastAsia"/>
          <w:lang w:bidi="en-US"/>
        </w:rPr>
      </w:pPr>
      <w:r>
        <w:rPr>
          <w:rFonts w:hint="eastAsia"/>
          <w:lang w:bidi="en-US"/>
        </w:rPr>
        <w:t>2、限烧区内，出现下列情形之一的，应当列入秸秆禁烧时段：</w:t>
      </w:r>
    </w:p>
    <w:p w14:paraId="5A588608">
      <w:pPr>
        <w:ind w:left="0" w:leftChars="0" w:firstLine="0" w:firstLineChars="0"/>
        <w:rPr>
          <w:rFonts w:hint="eastAsia"/>
          <w:lang w:bidi="en-US"/>
        </w:rPr>
      </w:pPr>
      <w:r>
        <w:rPr>
          <w:rFonts w:hint="eastAsia"/>
          <w:lang w:bidi="en-US"/>
        </w:rPr>
        <w:t>（1）风速小、静稳、逆温等不利于大气污染扩散的天气；</w:t>
      </w:r>
    </w:p>
    <w:p w14:paraId="07E09E56">
      <w:pPr>
        <w:ind w:left="0" w:leftChars="0" w:firstLine="0" w:firstLineChars="0"/>
        <w:rPr>
          <w:rFonts w:hint="default" w:eastAsia="宋体"/>
          <w:lang w:val="en-US" w:eastAsia="zh-CN" w:bidi="en-US"/>
        </w:rPr>
      </w:pPr>
      <w:r>
        <w:rPr>
          <w:rFonts w:hint="eastAsia"/>
          <w:lang w:val="en-US" w:eastAsia="zh-CN" w:bidi="en-US"/>
        </w:rPr>
        <w:t>我们的</w:t>
      </w:r>
      <w:r>
        <w:rPr>
          <w:rFonts w:hint="eastAsia"/>
          <w:lang w:bidi="en-US"/>
        </w:rPr>
        <w:t>建议：明确风速等级</w:t>
      </w:r>
      <w:r>
        <w:rPr>
          <w:rFonts w:hint="eastAsia"/>
          <w:lang w:eastAsia="zh-CN" w:bidi="en-US"/>
        </w:rPr>
        <w:t>，</w:t>
      </w:r>
      <w:r>
        <w:rPr>
          <w:rFonts w:hint="eastAsia"/>
          <w:lang w:val="en-US" w:eastAsia="zh-CN" w:bidi="en-US"/>
        </w:rPr>
        <w:t>这样方便相关部门和公众理解风速小的概念而进行具体操作。</w:t>
      </w:r>
    </w:p>
    <w:p w14:paraId="2490959E">
      <w:pPr>
        <w:ind w:left="0" w:leftChars="0" w:firstLine="0" w:firstLineChars="0"/>
        <w:rPr>
          <w:rFonts w:hint="eastAsia"/>
          <w:lang w:bidi="en-US"/>
        </w:rPr>
      </w:pPr>
    </w:p>
    <w:p w14:paraId="058B6896">
      <w:pPr>
        <w:ind w:left="0" w:leftChars="0" w:firstLine="0" w:firstLineChars="0"/>
        <w:rPr>
          <w:rFonts w:hint="default" w:eastAsia="宋体"/>
          <w:lang w:val="en-US" w:eastAsia="zh-CN" w:bidi="en-US"/>
        </w:rPr>
      </w:pPr>
      <w:r>
        <w:rPr>
          <w:rFonts w:hint="eastAsia"/>
          <w:lang w:val="en-US" w:eastAsia="zh-CN" w:bidi="en-US"/>
        </w:rPr>
        <w:t>建议二：</w:t>
      </w:r>
    </w:p>
    <w:p w14:paraId="287E74FC">
      <w:pPr>
        <w:ind w:left="0" w:leftChars="0" w:firstLine="0" w:firstLineChars="0"/>
        <w:rPr>
          <w:rFonts w:hint="eastAsia"/>
          <w:lang w:bidi="en-US"/>
        </w:rPr>
      </w:pPr>
      <w:r>
        <w:rPr>
          <w:rFonts w:hint="eastAsia"/>
          <w:lang w:bidi="en-US"/>
        </w:rPr>
        <w:t>（二）限时禁烧区在以下条件下可露天焚烧秸秆，除此之外禁止露天焚烧秸秆。</w:t>
      </w:r>
    </w:p>
    <w:p w14:paraId="0B151699">
      <w:pPr>
        <w:ind w:left="0" w:leftChars="0" w:firstLine="0" w:firstLineChars="0"/>
        <w:rPr>
          <w:rFonts w:hint="eastAsia"/>
          <w:lang w:bidi="en-US"/>
        </w:rPr>
      </w:pPr>
      <w:r>
        <w:rPr>
          <w:rFonts w:hint="eastAsia"/>
          <w:lang w:bidi="en-US"/>
        </w:rPr>
        <w:t>1、在符合特定条件下、按管控要求限时禁烧区范围内农作物秸秆允许分时段分片区露天焚烧，由县生态环境委员会办公室指导各乡镇人民政府（街道办事处）具体实施。</w:t>
      </w:r>
    </w:p>
    <w:p w14:paraId="3EC9D52E">
      <w:pPr>
        <w:ind w:left="0" w:leftChars="0" w:firstLine="0" w:firstLineChars="0"/>
        <w:rPr>
          <w:rFonts w:hint="eastAsia"/>
          <w:lang w:bidi="en-US"/>
        </w:rPr>
      </w:pPr>
      <w:r>
        <w:rPr>
          <w:rFonts w:hint="eastAsia"/>
          <w:b/>
          <w:bCs/>
          <w:lang w:val="en-US" w:eastAsia="zh-CN" w:bidi="en-US"/>
        </w:rPr>
        <w:t>我们的</w:t>
      </w:r>
      <w:r>
        <w:rPr>
          <w:rFonts w:hint="eastAsia"/>
          <w:b/>
          <w:bCs/>
          <w:lang w:bidi="en-US"/>
        </w:rPr>
        <w:t>建议</w:t>
      </w:r>
      <w:r>
        <w:rPr>
          <w:rFonts w:hint="eastAsia"/>
          <w:lang w:bidi="en-US"/>
        </w:rPr>
        <w:t>：目前很多种地的是中老年人，确定具体实施方案后，建议各乡镇人民政府（街道办事处）要及时通过各个村委会，由联络员微信群和短信或电话通知到每家每户，特别是各个村的种植户，确保信息能够及时传递到有焚烧需求的村民那里。</w:t>
      </w:r>
    </w:p>
    <w:p w14:paraId="15BE5FF3">
      <w:pPr>
        <w:ind w:left="0" w:leftChars="0" w:firstLine="0" w:firstLineChars="0"/>
        <w:rPr>
          <w:rFonts w:hint="eastAsia"/>
          <w:lang w:bidi="en-US"/>
        </w:rPr>
      </w:pPr>
    </w:p>
    <w:p w14:paraId="28D2D302">
      <w:pPr>
        <w:ind w:left="0" w:leftChars="0" w:firstLine="0" w:firstLineChars="0"/>
        <w:rPr>
          <w:rFonts w:hint="eastAsia"/>
          <w:lang w:bidi="en-US"/>
        </w:rPr>
      </w:pPr>
      <w:r>
        <w:rPr>
          <w:rFonts w:hint="eastAsia"/>
          <w:lang w:bidi="en-US"/>
        </w:rPr>
        <w:t>2、在其他时段，个人或单位需要在限时禁烧区焚烧秸秆的，需向县生态环境委员会办公室申请，待批准后方可按要求焚烧。</w:t>
      </w:r>
    </w:p>
    <w:p w14:paraId="13A106E8">
      <w:pPr>
        <w:ind w:left="0" w:leftChars="0" w:firstLine="0" w:firstLineChars="0"/>
        <w:rPr>
          <w:rFonts w:hint="eastAsia"/>
          <w:lang w:bidi="en-US"/>
        </w:rPr>
      </w:pPr>
      <w:r>
        <w:rPr>
          <w:rFonts w:hint="eastAsia"/>
          <w:b/>
          <w:bCs/>
          <w:lang w:val="en-US" w:eastAsia="zh-CN" w:bidi="en-US"/>
        </w:rPr>
        <w:t>我们的</w:t>
      </w:r>
      <w:r>
        <w:rPr>
          <w:rFonts w:hint="eastAsia"/>
          <w:b/>
          <w:bCs/>
          <w:lang w:bidi="en-US"/>
        </w:rPr>
        <w:t>建议</w:t>
      </w:r>
      <w:r>
        <w:rPr>
          <w:rFonts w:hint="eastAsia"/>
          <w:lang w:bidi="en-US"/>
        </w:rPr>
        <w:t>：个人需要在限时禁烧区焚烧秸秆的，通过什么方式向县生态环境委员会办公室申请，建议明确这个申请渠道和方式。</w:t>
      </w:r>
    </w:p>
    <w:p w14:paraId="6506B932">
      <w:pPr>
        <w:ind w:left="0" w:leftChars="0" w:firstLine="0" w:firstLineChars="0"/>
        <w:rPr>
          <w:rFonts w:hint="eastAsia"/>
          <w:lang w:bidi="en-US"/>
        </w:rPr>
      </w:pPr>
    </w:p>
    <w:p w14:paraId="536A4BEA">
      <w:pPr>
        <w:numPr>
          <w:ilvl w:val="0"/>
          <w:numId w:val="0"/>
        </w:numPr>
        <w:ind w:leftChars="0"/>
        <w:rPr>
          <w:rFonts w:hint="eastAsia"/>
          <w:lang w:bidi="en-US"/>
        </w:rPr>
      </w:pPr>
      <w:r>
        <w:rPr>
          <w:rFonts w:hint="eastAsia"/>
          <w:lang w:val="en-US" w:eastAsia="zh-CN" w:bidi="en-US"/>
        </w:rPr>
        <w:t>3、</w:t>
      </w:r>
      <w:r>
        <w:rPr>
          <w:rFonts w:hint="eastAsia"/>
          <w:lang w:bidi="en-US"/>
        </w:rPr>
        <w:t>气象部门发布的寒潮预警期间，为保护特殊农作物防御霜冻，需临时焚烧的，经县生态环境委员会批准后按要求焚烧。</w:t>
      </w:r>
    </w:p>
    <w:p w14:paraId="4A2C3B9B">
      <w:pPr>
        <w:ind w:left="0" w:leftChars="0" w:firstLine="0" w:firstLineChars="0"/>
        <w:rPr>
          <w:rFonts w:hint="default" w:eastAsia="宋体"/>
          <w:lang w:val="en-US" w:eastAsia="zh-CN" w:bidi="en-US"/>
        </w:rPr>
      </w:pPr>
      <w:r>
        <w:rPr>
          <w:rFonts w:hint="eastAsia"/>
          <w:b/>
          <w:bCs/>
          <w:lang w:val="en-US" w:eastAsia="zh-CN" w:bidi="en-US"/>
        </w:rPr>
        <w:t>我们的</w:t>
      </w:r>
      <w:r>
        <w:rPr>
          <w:rFonts w:hint="eastAsia"/>
          <w:b/>
          <w:bCs/>
          <w:lang w:bidi="en-US"/>
        </w:rPr>
        <w:t>建议</w:t>
      </w:r>
      <w:r>
        <w:rPr>
          <w:rFonts w:hint="eastAsia"/>
          <w:lang w:bidi="en-US"/>
        </w:rPr>
        <w:t>：</w:t>
      </w:r>
      <w:r>
        <w:rPr>
          <w:rFonts w:hint="eastAsia"/>
          <w:lang w:eastAsia="zh-CN" w:bidi="en-US"/>
        </w:rPr>
        <w:t>“</w:t>
      </w:r>
      <w:r>
        <w:rPr>
          <w:rFonts w:hint="eastAsia"/>
          <w:lang w:bidi="en-US"/>
        </w:rPr>
        <w:t>为保护特殊农作物防御霜冻，需临时焚烧的</w:t>
      </w:r>
      <w:r>
        <w:rPr>
          <w:rFonts w:hint="eastAsia"/>
          <w:lang w:eastAsia="zh-CN" w:bidi="en-US"/>
        </w:rPr>
        <w:t>”</w:t>
      </w:r>
      <w:r>
        <w:rPr>
          <w:rFonts w:hint="eastAsia"/>
          <w:lang w:val="en-US" w:eastAsia="zh-CN" w:bidi="en-US"/>
        </w:rPr>
        <w:t>防御时间紧任务重的情况下，</w:t>
      </w:r>
      <w:r>
        <w:rPr>
          <w:rFonts w:hint="eastAsia"/>
          <w:lang w:bidi="en-US"/>
        </w:rPr>
        <w:t>通过什么方式</w:t>
      </w:r>
      <w:r>
        <w:rPr>
          <w:rFonts w:hint="eastAsia"/>
          <w:lang w:val="en-US" w:eastAsia="zh-CN" w:bidi="en-US"/>
        </w:rPr>
        <w:t>可以更快捷地</w:t>
      </w:r>
      <w:r>
        <w:rPr>
          <w:rFonts w:hint="eastAsia"/>
          <w:lang w:bidi="en-US"/>
        </w:rPr>
        <w:t>向县生态环境委员会办公室申请，建议明确这个申请渠道和方式</w:t>
      </w:r>
      <w:r>
        <w:rPr>
          <w:rFonts w:hint="eastAsia"/>
          <w:lang w:val="en-US" w:eastAsia="zh-CN" w:bidi="en-US"/>
        </w:rPr>
        <w:t>以及批准的标准。</w:t>
      </w:r>
    </w:p>
    <w:p w14:paraId="3BBB455A">
      <w:pPr>
        <w:ind w:left="0" w:leftChars="0" w:firstLine="0" w:firstLineChars="0"/>
        <w:rPr>
          <w:rFonts w:hint="eastAsia"/>
          <w:lang w:bidi="en-US"/>
        </w:rPr>
      </w:pPr>
    </w:p>
    <w:p w14:paraId="203749DD">
      <w:pPr>
        <w:ind w:left="0" w:leftChars="0" w:firstLine="0" w:firstLineChars="0"/>
        <w:rPr>
          <w:rFonts w:hint="eastAsia"/>
          <w:lang w:val="en-US" w:eastAsia="zh-CN" w:bidi="en-US"/>
        </w:rPr>
      </w:pPr>
      <w:r>
        <w:rPr>
          <w:rFonts w:hint="eastAsia"/>
          <w:lang w:val="en-US" w:eastAsia="zh-CN" w:bidi="en-US"/>
        </w:rPr>
        <w:t>建议三：</w:t>
      </w:r>
    </w:p>
    <w:p w14:paraId="151F6B59">
      <w:pPr>
        <w:ind w:left="0" w:leftChars="0" w:firstLine="0" w:firstLineChars="0"/>
        <w:rPr>
          <w:rFonts w:hint="default" w:eastAsia="宋体"/>
          <w:lang w:val="en-US" w:eastAsia="zh-CN" w:bidi="en-US"/>
        </w:rPr>
      </w:pPr>
      <w:r>
        <w:rPr>
          <w:rFonts w:hint="eastAsia"/>
          <w:lang w:val="en-US" w:eastAsia="zh-CN" w:bidi="en-US"/>
        </w:rPr>
        <w:t>《湘阴县人民政府关于禁止露天焚烧农作物秸秆区域、时段划定的通告》</w:t>
      </w:r>
    </w:p>
    <w:p w14:paraId="258CF579">
      <w:pPr>
        <w:ind w:left="0" w:leftChars="0" w:firstLine="0" w:firstLineChars="0"/>
        <w:rPr>
          <w:rFonts w:hint="eastAsia"/>
          <w:lang w:bidi="en-US"/>
        </w:rPr>
      </w:pPr>
      <w:r>
        <w:rPr>
          <w:rFonts w:hint="eastAsia"/>
          <w:b/>
          <w:bCs/>
          <w:lang w:val="en-US" w:eastAsia="zh-CN" w:bidi="en-US"/>
        </w:rPr>
        <w:t>我们的建议</w:t>
      </w:r>
      <w:r>
        <w:rPr>
          <w:rFonts w:hint="eastAsia"/>
          <w:lang w:val="en-US" w:eastAsia="zh-CN" w:bidi="en-US"/>
        </w:rPr>
        <w:t>：</w:t>
      </w:r>
      <w:r>
        <w:rPr>
          <w:rFonts w:hint="eastAsia"/>
          <w:lang w:bidi="en-US"/>
        </w:rPr>
        <w:t>建议划分范围图是在通告中体现，或者通告发布后，制作划分范围进行张贴。</w:t>
      </w:r>
    </w:p>
    <w:p w14:paraId="6F843B2B">
      <w:pPr>
        <w:ind w:left="0" w:leftChars="0" w:firstLine="0" w:firstLineChars="0"/>
        <w:rPr>
          <w:rFonts w:hint="eastAsia"/>
          <w:lang w:bidi="en-US"/>
        </w:rPr>
      </w:pPr>
    </w:p>
    <w:p w14:paraId="2512D0A6">
      <w:pPr>
        <w:ind w:left="0" w:leftChars="0" w:firstLine="0" w:firstLineChars="0"/>
        <w:rPr>
          <w:rFonts w:hint="eastAsia"/>
          <w:lang w:bidi="en-US"/>
        </w:rPr>
      </w:pPr>
    </w:p>
    <w:p w14:paraId="7A7349C1">
      <w:pPr>
        <w:ind w:left="0" w:leftChars="0" w:firstLine="0" w:firstLineChars="0"/>
        <w:jc w:val="right"/>
        <w:rPr>
          <w:rFonts w:hint="eastAsia"/>
          <w:lang w:val="en-US" w:eastAsia="zh-CN" w:bidi="en-US"/>
        </w:rPr>
      </w:pPr>
      <w:r>
        <w:rPr>
          <w:rFonts w:hint="eastAsia"/>
          <w:lang w:val="en-US" w:eastAsia="zh-CN" w:bidi="en-US"/>
        </w:rPr>
        <w:t>长沙绿色潇湘环保科普中心</w:t>
      </w:r>
    </w:p>
    <w:p w14:paraId="7D64484F">
      <w:pPr>
        <w:ind w:left="0" w:leftChars="0" w:firstLine="0" w:firstLineChars="0"/>
        <w:jc w:val="right"/>
        <w:rPr>
          <w:rFonts w:hint="default"/>
          <w:lang w:val="en-US" w:eastAsia="zh-CN" w:bidi="en-US"/>
        </w:rPr>
      </w:pPr>
      <w:bookmarkStart w:id="0" w:name="_GoBack"/>
      <w:bookmarkEnd w:id="0"/>
      <w:r>
        <w:rPr>
          <w:rFonts w:hint="eastAsia"/>
          <w:lang w:val="en-US" w:eastAsia="zh-CN" w:bidi="en-US"/>
        </w:rPr>
        <w:t>2024年9月24日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CIDFont+F6">
    <w:altName w:val="苹方-简"/>
    <w:panose1 w:val="00000000000000000000"/>
    <w:charset w:val="00"/>
    <w:family w:val="roman"/>
    <w:pitch w:val="default"/>
    <w:sig w:usb0="00000000" w:usb1="00000000" w:usb2="00000000" w:usb3="00000000" w:csb0="00000000" w:csb1="00000000"/>
  </w:font>
  <w:font w:name="CIDFont+F1">
    <w:altName w:val="苹方-简"/>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C60A21">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A2EDC">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84230">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52757">
    <w:pPr>
      <w:pStyle w:val="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4225A3">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8CC54">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IyOTE3MzY5NjAwMTVjZTliOTUxMTdhODAyMjFhMTIifQ=="/>
    <w:docVar w:name="EN.InstantFormat" w:val="&lt;ENInstantFormat&gt;&lt;Enabled&gt;1&lt;/Enabled&gt;&lt;ScanUnformatted&gt;1&lt;/ScanUnformatted&gt;&lt;ScanChanges&gt;1&lt;/ScanChanges&gt;&lt;Suspended&gt;0&lt;/Suspended&gt;&lt;/ENInstantFormat&gt;"/>
    <w:docVar w:name="EN.Layout" w:val="&lt;ENLayout&gt;&lt;Style&gt;Chinese Std GBT7714 (numeric)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vpt5z9rsppztbesd28pp0ehz5wswezzdsvd&quot;&gt;My EndNote Library&lt;record-ids&gt;&lt;item&gt;264&lt;/item&gt;&lt;item&gt;266&lt;/item&gt;&lt;/record-ids&gt;&lt;/item&gt;&lt;/Libraries&gt;"/>
  </w:docVars>
  <w:rsids>
    <w:rsidRoot w:val="00F41D83"/>
    <w:rsid w:val="0000122A"/>
    <w:rsid w:val="00031BBA"/>
    <w:rsid w:val="00080759"/>
    <w:rsid w:val="000B26AC"/>
    <w:rsid w:val="001035DB"/>
    <w:rsid w:val="00123C3C"/>
    <w:rsid w:val="0025025C"/>
    <w:rsid w:val="002F3F49"/>
    <w:rsid w:val="00305FDE"/>
    <w:rsid w:val="003722E9"/>
    <w:rsid w:val="003A03E4"/>
    <w:rsid w:val="003C7201"/>
    <w:rsid w:val="003E01EC"/>
    <w:rsid w:val="003E1D7C"/>
    <w:rsid w:val="0041285D"/>
    <w:rsid w:val="00475B8E"/>
    <w:rsid w:val="004801BE"/>
    <w:rsid w:val="00491CE5"/>
    <w:rsid w:val="004C4A0D"/>
    <w:rsid w:val="004D0DEA"/>
    <w:rsid w:val="004D2382"/>
    <w:rsid w:val="00532CEC"/>
    <w:rsid w:val="00545DF6"/>
    <w:rsid w:val="0054657F"/>
    <w:rsid w:val="00595EC5"/>
    <w:rsid w:val="005C413E"/>
    <w:rsid w:val="006201CC"/>
    <w:rsid w:val="006224D7"/>
    <w:rsid w:val="006A4FA2"/>
    <w:rsid w:val="006D2AD8"/>
    <w:rsid w:val="007269D2"/>
    <w:rsid w:val="007276D1"/>
    <w:rsid w:val="00753067"/>
    <w:rsid w:val="00780652"/>
    <w:rsid w:val="00796BB0"/>
    <w:rsid w:val="007D12B1"/>
    <w:rsid w:val="007F7297"/>
    <w:rsid w:val="008837AC"/>
    <w:rsid w:val="008A39A2"/>
    <w:rsid w:val="008E041A"/>
    <w:rsid w:val="008E4B0B"/>
    <w:rsid w:val="008F4957"/>
    <w:rsid w:val="009B6EDD"/>
    <w:rsid w:val="009C5975"/>
    <w:rsid w:val="00B11E40"/>
    <w:rsid w:val="00B9406D"/>
    <w:rsid w:val="00B95940"/>
    <w:rsid w:val="00BA60B4"/>
    <w:rsid w:val="00BD3A02"/>
    <w:rsid w:val="00BD40BE"/>
    <w:rsid w:val="00BF77B5"/>
    <w:rsid w:val="00C575F8"/>
    <w:rsid w:val="00C87058"/>
    <w:rsid w:val="00CA53EA"/>
    <w:rsid w:val="00CA674F"/>
    <w:rsid w:val="00CF1D66"/>
    <w:rsid w:val="00D24481"/>
    <w:rsid w:val="00D875EC"/>
    <w:rsid w:val="00DA1DF3"/>
    <w:rsid w:val="00DE542D"/>
    <w:rsid w:val="00DF58DB"/>
    <w:rsid w:val="00E22921"/>
    <w:rsid w:val="00F01781"/>
    <w:rsid w:val="00F2541D"/>
    <w:rsid w:val="00F41D83"/>
    <w:rsid w:val="00F5423C"/>
    <w:rsid w:val="00FC6EEE"/>
    <w:rsid w:val="00FE4CBF"/>
    <w:rsid w:val="1FDF6518"/>
    <w:rsid w:val="4E190468"/>
    <w:rsid w:val="7FFFD592"/>
    <w:rsid w:val="BDF7135B"/>
    <w:rsid w:val="D35F7F69"/>
    <w:rsid w:val="F76D3A0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3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pPr>
    <w:rPr>
      <w:rFonts w:ascii="Times New Roman" w:hAnsi="Times New Roman" w:eastAsia="宋体" w:cstheme="minorBidi"/>
      <w:kern w:val="2"/>
      <w:sz w:val="24"/>
      <w:szCs w:val="22"/>
      <w:lang w:val="en-US" w:eastAsia="zh-CN" w:bidi="ar-SA"/>
    </w:rPr>
  </w:style>
  <w:style w:type="paragraph" w:styleId="2">
    <w:name w:val="heading 1"/>
    <w:basedOn w:val="1"/>
    <w:next w:val="1"/>
    <w:link w:val="12"/>
    <w:qFormat/>
    <w:uiPriority w:val="0"/>
    <w:pPr>
      <w:keepNext/>
      <w:keepLines/>
      <w:spacing w:before="50" w:beforeLines="50" w:after="50" w:afterLines="50"/>
      <w:ind w:firstLine="0" w:firstLineChars="0"/>
      <w:outlineLvl w:val="0"/>
    </w:pPr>
    <w:rPr>
      <w:rFonts w:cs="Times New Roman"/>
      <w:b/>
      <w:bCs/>
      <w:color w:val="000000"/>
      <w:kern w:val="44"/>
      <w:sz w:val="28"/>
      <w:szCs w:val="44"/>
      <w:lang w:bidi="en-US"/>
    </w:rPr>
  </w:style>
  <w:style w:type="paragraph" w:styleId="3">
    <w:name w:val="heading 2"/>
    <w:basedOn w:val="2"/>
    <w:next w:val="1"/>
    <w:link w:val="13"/>
    <w:unhideWhenUsed/>
    <w:qFormat/>
    <w:uiPriority w:val="0"/>
    <w:pPr>
      <w:outlineLvl w:val="1"/>
    </w:pPr>
  </w:style>
  <w:style w:type="paragraph" w:styleId="4">
    <w:name w:val="heading 3"/>
    <w:basedOn w:val="3"/>
    <w:next w:val="1"/>
    <w:link w:val="14"/>
    <w:unhideWhenUsed/>
    <w:qFormat/>
    <w:uiPriority w:val="0"/>
    <w:pPr>
      <w:outlineLvl w:val="2"/>
    </w:pPr>
  </w:style>
  <w:style w:type="paragraph" w:styleId="5">
    <w:name w:val="heading 4"/>
    <w:basedOn w:val="1"/>
    <w:next w:val="1"/>
    <w:link w:val="15"/>
    <w:unhideWhenUsed/>
    <w:qFormat/>
    <w:uiPriority w:val="0"/>
    <w:pPr>
      <w:keepNext/>
      <w:keepLines/>
      <w:outlineLvl w:val="3"/>
    </w:pPr>
    <w:rPr>
      <w:rFonts w:ascii="Arial" w:hAnsi="Arial" w:cs="Times New Roman"/>
      <w:b/>
      <w:color w:val="000000"/>
      <w:kern w:val="0"/>
      <w:sz w:val="30"/>
      <w:szCs w:val="24"/>
      <w:lang w:eastAsia="en-US" w:bidi="en-US"/>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6">
    <w:name w:val="footer"/>
    <w:basedOn w:val="1"/>
    <w:link w:val="17"/>
    <w:unhideWhenUsed/>
    <w:uiPriority w:val="99"/>
    <w:pPr>
      <w:tabs>
        <w:tab w:val="center" w:pos="4153"/>
        <w:tab w:val="right" w:pos="8306"/>
      </w:tabs>
      <w:snapToGrid w:val="0"/>
      <w:spacing w:line="240" w:lineRule="auto"/>
    </w:pPr>
    <w:rPr>
      <w:sz w:val="18"/>
      <w:szCs w:val="18"/>
    </w:rPr>
  </w:style>
  <w:style w:type="paragraph" w:styleId="7">
    <w:name w:val="header"/>
    <w:basedOn w:val="1"/>
    <w:link w:val="16"/>
    <w:unhideWhenUsed/>
    <w:uiPriority w:val="99"/>
    <w:pPr>
      <w:tabs>
        <w:tab w:val="center" w:pos="4153"/>
        <w:tab w:val="right" w:pos="8306"/>
      </w:tabs>
      <w:snapToGrid w:val="0"/>
      <w:spacing w:line="240" w:lineRule="auto"/>
      <w:jc w:val="center"/>
    </w:pPr>
    <w:rPr>
      <w:sz w:val="18"/>
      <w:szCs w:val="18"/>
    </w:rPr>
  </w:style>
  <w:style w:type="paragraph" w:styleId="8">
    <w:name w:val="Normal (Web)"/>
    <w:basedOn w:val="1"/>
    <w:semiHidden/>
    <w:unhideWhenUsed/>
    <w:uiPriority w:val="99"/>
    <w:pPr>
      <w:widowControl/>
      <w:spacing w:before="100" w:beforeAutospacing="1" w:after="100" w:afterAutospacing="1" w:line="240" w:lineRule="auto"/>
      <w:ind w:firstLine="0" w:firstLineChars="0"/>
    </w:pPr>
    <w:rPr>
      <w:rFonts w:ascii="宋体" w:hAnsi="宋体" w:cs="宋体"/>
      <w:kern w:val="0"/>
      <w:szCs w:val="24"/>
    </w:rPr>
  </w:style>
  <w:style w:type="character" w:styleId="11">
    <w:name w:val="Strong"/>
    <w:basedOn w:val="10"/>
    <w:qFormat/>
    <w:uiPriority w:val="22"/>
    <w:rPr>
      <w:b/>
      <w:bCs/>
    </w:rPr>
  </w:style>
  <w:style w:type="character" w:customStyle="1" w:styleId="12">
    <w:name w:val="标题 1 字符"/>
    <w:basedOn w:val="10"/>
    <w:link w:val="2"/>
    <w:uiPriority w:val="0"/>
    <w:rPr>
      <w:rFonts w:ascii="Times New Roman" w:hAnsi="Times New Roman" w:eastAsia="宋体" w:cs="Times New Roman"/>
      <w:b/>
      <w:bCs/>
      <w:color w:val="000000"/>
      <w:kern w:val="44"/>
      <w:sz w:val="28"/>
      <w:szCs w:val="44"/>
      <w:lang w:bidi="en-US"/>
    </w:rPr>
  </w:style>
  <w:style w:type="character" w:customStyle="1" w:styleId="13">
    <w:name w:val="标题 2 字符"/>
    <w:basedOn w:val="10"/>
    <w:link w:val="3"/>
    <w:uiPriority w:val="0"/>
    <w:rPr>
      <w:rFonts w:ascii="Times New Roman" w:hAnsi="Times New Roman" w:eastAsia="宋体" w:cs="Times New Roman"/>
      <w:b/>
      <w:bCs/>
      <w:color w:val="000000"/>
      <w:kern w:val="44"/>
      <w:sz w:val="32"/>
      <w:szCs w:val="44"/>
      <w:lang w:bidi="en-US"/>
    </w:rPr>
  </w:style>
  <w:style w:type="character" w:customStyle="1" w:styleId="14">
    <w:name w:val="标题 3 字符"/>
    <w:basedOn w:val="10"/>
    <w:link w:val="4"/>
    <w:uiPriority w:val="0"/>
    <w:rPr>
      <w:rFonts w:ascii="Times New Roman" w:hAnsi="Times New Roman" w:eastAsia="宋体" w:cs="Times New Roman"/>
      <w:b/>
      <w:bCs/>
      <w:color w:val="000000"/>
      <w:kern w:val="44"/>
      <w:sz w:val="32"/>
      <w:szCs w:val="44"/>
      <w:lang w:bidi="en-US"/>
    </w:rPr>
  </w:style>
  <w:style w:type="character" w:customStyle="1" w:styleId="15">
    <w:name w:val="标题 4 字符"/>
    <w:basedOn w:val="10"/>
    <w:link w:val="5"/>
    <w:uiPriority w:val="0"/>
    <w:rPr>
      <w:rFonts w:ascii="Arial" w:hAnsi="Arial" w:eastAsia="宋体" w:cs="Times New Roman"/>
      <w:b/>
      <w:color w:val="000000"/>
      <w:kern w:val="0"/>
      <w:sz w:val="30"/>
      <w:szCs w:val="24"/>
      <w:lang w:eastAsia="en-US" w:bidi="en-US"/>
    </w:rPr>
  </w:style>
  <w:style w:type="character" w:customStyle="1" w:styleId="16">
    <w:name w:val="页眉 字符"/>
    <w:basedOn w:val="10"/>
    <w:link w:val="7"/>
    <w:uiPriority w:val="99"/>
    <w:rPr>
      <w:rFonts w:ascii="Times New Roman" w:hAnsi="Times New Roman" w:eastAsia="宋体"/>
      <w:sz w:val="18"/>
      <w:szCs w:val="18"/>
    </w:rPr>
  </w:style>
  <w:style w:type="character" w:customStyle="1" w:styleId="17">
    <w:name w:val="页脚 字符"/>
    <w:basedOn w:val="10"/>
    <w:link w:val="6"/>
    <w:uiPriority w:val="99"/>
    <w:rPr>
      <w:rFonts w:ascii="Times New Roman" w:hAnsi="Times New Roman" w:eastAsia="宋体"/>
      <w:sz w:val="18"/>
      <w:szCs w:val="18"/>
    </w:rPr>
  </w:style>
  <w:style w:type="paragraph" w:customStyle="1" w:styleId="18">
    <w:name w:val="EndNote Bibliography Title"/>
    <w:basedOn w:val="1"/>
    <w:link w:val="19"/>
    <w:uiPriority w:val="0"/>
    <w:pPr>
      <w:jc w:val="center"/>
    </w:pPr>
    <w:rPr>
      <w:rFonts w:cs="Times New Roman"/>
    </w:rPr>
  </w:style>
  <w:style w:type="character" w:customStyle="1" w:styleId="19">
    <w:name w:val="EndNote Bibliography Title 字符"/>
    <w:basedOn w:val="10"/>
    <w:link w:val="18"/>
    <w:uiPriority w:val="0"/>
    <w:rPr>
      <w:rFonts w:ascii="Times New Roman" w:hAnsi="Times New Roman" w:eastAsia="宋体" w:cs="Times New Roman"/>
      <w:sz w:val="24"/>
    </w:rPr>
  </w:style>
  <w:style w:type="paragraph" w:customStyle="1" w:styleId="20">
    <w:name w:val="EndNote Bibliography"/>
    <w:basedOn w:val="1"/>
    <w:link w:val="21"/>
    <w:uiPriority w:val="0"/>
    <w:pPr>
      <w:spacing w:line="240" w:lineRule="auto"/>
    </w:pPr>
    <w:rPr>
      <w:rFonts w:cs="Times New Roman"/>
    </w:rPr>
  </w:style>
  <w:style w:type="character" w:customStyle="1" w:styleId="21">
    <w:name w:val="EndNote Bibliography 字符"/>
    <w:basedOn w:val="10"/>
    <w:link w:val="20"/>
    <w:uiPriority w:val="0"/>
    <w:rPr>
      <w:rFonts w:ascii="Times New Roman" w:hAnsi="Times New Roman" w:eastAsia="宋体" w:cs="Times New Roman"/>
      <w:sz w:val="24"/>
    </w:rPr>
  </w:style>
  <w:style w:type="character" w:customStyle="1" w:styleId="22">
    <w:name w:val="fontstyle01"/>
    <w:basedOn w:val="10"/>
    <w:uiPriority w:val="0"/>
    <w:rPr>
      <w:rFonts w:hint="default" w:ascii="CIDFont+F6" w:hAnsi="CIDFont+F6"/>
      <w:color w:val="000000"/>
      <w:sz w:val="24"/>
      <w:szCs w:val="24"/>
    </w:rPr>
  </w:style>
  <w:style w:type="character" w:customStyle="1" w:styleId="23">
    <w:name w:val="fontstyle11"/>
    <w:basedOn w:val="10"/>
    <w:uiPriority w:val="0"/>
    <w:rPr>
      <w:rFonts w:hint="default" w:ascii="CIDFont+F1" w:hAnsi="CIDFont+F1"/>
      <w:color w:val="000000"/>
      <w:sz w:val="24"/>
      <w:szCs w:val="24"/>
    </w:rPr>
  </w:style>
  <w:style w:type="character" w:customStyle="1" w:styleId="24">
    <w:name w:val="fontstyle21"/>
    <w:basedOn w:val="10"/>
    <w:uiPriority w:val="0"/>
    <w:rPr>
      <w:rFonts w:hint="default" w:ascii="CIDFont+F1" w:hAnsi="CIDFont+F1"/>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603</Words>
  <Characters>3439</Characters>
  <Lines>28</Lines>
  <Paragraphs>8</Paragraphs>
  <TotalTime>0</TotalTime>
  <ScaleCrop>false</ScaleCrop>
  <LinksUpToDate>false</LinksUpToDate>
  <CharactersWithSpaces>4034</CharactersWithSpaces>
  <Application>WPS Office_6.11.0.8885_F1E327BC-269C-435d-A152-05C5408002CA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2024-06-14T00:46:00Z</dcterms:created>
  <dc:creator>倩兰 李</dc:creator>
  <cp:lastModifiedBy>思难</cp:lastModifiedBy>
  <dcterms:modified xsi:type="dcterms:W3CDTF">2024-09-24T10:47:44Z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56F8D63B12CDB299BB19F266BFA00FEC_42</vt:lpwstr>
  </property>
</Properties>
</file>