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600" w:lineRule="exact"/>
        <w:jc w:val="both"/>
        <w:rPr>
          <w:rFonts w:hint="eastAsia" w:ascii="黑体" w:hAnsi="黑体" w:eastAsia="黑体" w:cs="黑体"/>
          <w:sz w:val="32"/>
          <w:szCs w:val="32"/>
          <w:lang w:val="en-US" w:eastAsia="zh-CN"/>
        </w:rPr>
      </w:pPr>
      <w:bookmarkStart w:id="0" w:name="_GoBack"/>
      <w:bookmarkEnd w:id="0"/>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年度部门整体支出绩效评价基础数据表</w:t>
      </w:r>
    </w:p>
    <w:tbl>
      <w:tblPr>
        <w:tblStyle w:val="7"/>
        <w:tblW w:w="4994" w:type="pct"/>
        <w:jc w:val="center"/>
        <w:tblLayout w:type="autofit"/>
        <w:tblCellMar>
          <w:top w:w="0" w:type="dxa"/>
          <w:left w:w="108" w:type="dxa"/>
          <w:bottom w:w="0" w:type="dxa"/>
          <w:right w:w="108" w:type="dxa"/>
        </w:tblCellMar>
      </w:tblPr>
      <w:tblGrid>
        <w:gridCol w:w="3019"/>
        <w:gridCol w:w="1835"/>
        <w:gridCol w:w="2286"/>
        <w:gridCol w:w="1570"/>
      </w:tblGrid>
      <w:tr>
        <w:tblPrEx>
          <w:tblCellMar>
            <w:top w:w="0" w:type="dxa"/>
            <w:left w:w="108" w:type="dxa"/>
            <w:bottom w:w="0" w:type="dxa"/>
            <w:right w:w="108" w:type="dxa"/>
          </w:tblCellMar>
        </w:tblPrEx>
        <w:trPr>
          <w:trHeight w:val="539" w:hRule="atLeast"/>
          <w:jc w:val="center"/>
        </w:trPr>
        <w:tc>
          <w:tcPr>
            <w:tcW w:w="173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90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CellMar>
            <w:top w:w="0" w:type="dxa"/>
            <w:left w:w="108" w:type="dxa"/>
            <w:bottom w:w="0" w:type="dxa"/>
            <w:right w:w="108" w:type="dxa"/>
          </w:tblCellMar>
        </w:tblPrEx>
        <w:trPr>
          <w:trHeight w:val="244" w:hRule="atLeast"/>
          <w:jc w:val="center"/>
        </w:trPr>
        <w:tc>
          <w:tcPr>
            <w:tcW w:w="173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19</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23</w:t>
            </w:r>
          </w:p>
        </w:tc>
        <w:tc>
          <w:tcPr>
            <w:tcW w:w="90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121%</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CellMar>
            <w:top w:w="0" w:type="dxa"/>
            <w:left w:w="108" w:type="dxa"/>
            <w:bottom w:w="0" w:type="dxa"/>
            <w:right w:w="108" w:type="dxa"/>
          </w:tblCellMar>
        </w:tblPrEx>
        <w:trPr>
          <w:trHeight w:val="44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428.96</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388.61</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388.61</w:t>
            </w:r>
          </w:p>
        </w:tc>
      </w:tr>
      <w:tr>
        <w:tblPrEx>
          <w:tblCellMar>
            <w:top w:w="0" w:type="dxa"/>
            <w:left w:w="108" w:type="dxa"/>
            <w:bottom w:w="0" w:type="dxa"/>
            <w:right w:w="108" w:type="dxa"/>
          </w:tblCellMar>
        </w:tblPrEx>
        <w:trPr>
          <w:trHeight w:val="44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3.28</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3.22</w:t>
            </w:r>
          </w:p>
        </w:tc>
      </w:tr>
      <w:tr>
        <w:tblPrEx>
          <w:tblCellMar>
            <w:top w:w="0" w:type="dxa"/>
            <w:left w:w="108" w:type="dxa"/>
            <w:bottom w:w="0" w:type="dxa"/>
            <w:right w:w="108" w:type="dxa"/>
          </w:tblCellMar>
        </w:tblPrEx>
        <w:trPr>
          <w:trHeight w:val="434"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1.74</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1.71</w:t>
            </w:r>
          </w:p>
        </w:tc>
      </w:tr>
      <w:tr>
        <w:tblPrEx>
          <w:tblCellMar>
            <w:top w:w="0" w:type="dxa"/>
            <w:left w:w="108" w:type="dxa"/>
            <w:bottom w:w="0" w:type="dxa"/>
            <w:right w:w="108" w:type="dxa"/>
          </w:tblCellMar>
        </w:tblPrEx>
        <w:trPr>
          <w:trHeight w:val="44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44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1.74</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1.71</w:t>
            </w:r>
          </w:p>
        </w:tc>
      </w:tr>
      <w:tr>
        <w:tblPrEx>
          <w:tblCellMar>
            <w:top w:w="0" w:type="dxa"/>
            <w:left w:w="108" w:type="dxa"/>
            <w:bottom w:w="0" w:type="dxa"/>
            <w:right w:w="108" w:type="dxa"/>
          </w:tblCellMar>
        </w:tblPrEx>
        <w:trPr>
          <w:trHeight w:val="44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44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1.54</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1.51</w:t>
            </w:r>
          </w:p>
        </w:tc>
      </w:tr>
      <w:tr>
        <w:tblPrEx>
          <w:tblCellMar>
            <w:top w:w="0" w:type="dxa"/>
            <w:left w:w="108" w:type="dxa"/>
            <w:bottom w:w="0" w:type="dxa"/>
            <w:right w:w="108" w:type="dxa"/>
          </w:tblCellMar>
        </w:tblPrEx>
        <w:trPr>
          <w:trHeight w:val="434"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239.36</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355.28</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355.28</w:t>
            </w:r>
          </w:p>
        </w:tc>
      </w:tr>
      <w:tr>
        <w:tblPrEx>
          <w:tblCellMar>
            <w:top w:w="0" w:type="dxa"/>
            <w:left w:w="108" w:type="dxa"/>
            <w:bottom w:w="0" w:type="dxa"/>
            <w:right w:w="108" w:type="dxa"/>
          </w:tblCellMar>
        </w:tblPrEx>
        <w:trPr>
          <w:trHeight w:val="615"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lang w:eastAsia="zh-CN"/>
              </w:rPr>
              <w:t>县级</w:t>
            </w:r>
            <w:r>
              <w:rPr>
                <w:rFonts w:hint="eastAsia" w:ascii="新宋体" w:hAnsi="新宋体" w:eastAsia="新宋体" w:cs="新宋体"/>
                <w:sz w:val="21"/>
                <w:szCs w:val="21"/>
              </w:rPr>
              <w:t>专项资金</w:t>
            </w:r>
          </w:p>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（一个专项一行）</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494"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.森林管护项目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16.43</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r>
      <w:tr>
        <w:tblPrEx>
          <w:tblCellMar>
            <w:top w:w="0" w:type="dxa"/>
            <w:left w:w="108" w:type="dxa"/>
            <w:bottom w:w="0" w:type="dxa"/>
            <w:right w:w="108" w:type="dxa"/>
          </w:tblCellMar>
        </w:tblPrEx>
        <w:trPr>
          <w:trHeight w:val="404"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3森林资源培育项目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148</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148</w:t>
            </w:r>
          </w:p>
        </w:tc>
      </w:tr>
      <w:tr>
        <w:tblPrEx>
          <w:tblCellMar>
            <w:top w:w="0" w:type="dxa"/>
            <w:left w:w="108" w:type="dxa"/>
            <w:bottom w:w="0" w:type="dxa"/>
            <w:right w:w="108" w:type="dxa"/>
          </w:tblCellMar>
        </w:tblPrEx>
        <w:trPr>
          <w:trHeight w:val="44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4、森林生态效益补偿项目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20.93</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27.28</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469" w:hRule="atLeast"/>
          <w:jc w:val="center"/>
        </w:trPr>
        <w:tc>
          <w:tcPr>
            <w:tcW w:w="17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5、产业园建设项目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120</w:t>
            </w:r>
          </w:p>
        </w:tc>
      </w:tr>
      <w:tr>
        <w:tblPrEx>
          <w:tblCellMar>
            <w:top w:w="0" w:type="dxa"/>
            <w:left w:w="108" w:type="dxa"/>
            <w:bottom w:w="0" w:type="dxa"/>
            <w:right w:w="108" w:type="dxa"/>
          </w:tblCellMar>
        </w:tblPrEx>
        <w:trPr>
          <w:trHeight w:val="439" w:hRule="atLeast"/>
          <w:jc w:val="center"/>
        </w:trPr>
        <w:tc>
          <w:tcPr>
            <w:tcW w:w="17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6、林区公共支出项目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469" w:hRule="atLeast"/>
          <w:jc w:val="center"/>
        </w:trPr>
        <w:tc>
          <w:tcPr>
            <w:tcW w:w="17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其他林业和草原支出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50</w:t>
            </w:r>
          </w:p>
        </w:tc>
      </w:tr>
      <w:tr>
        <w:tblPrEx>
          <w:tblCellMar>
            <w:top w:w="0" w:type="dxa"/>
            <w:left w:w="108" w:type="dxa"/>
            <w:bottom w:w="0" w:type="dxa"/>
            <w:right w:w="108" w:type="dxa"/>
          </w:tblCellMar>
        </w:tblPrEx>
        <w:trPr>
          <w:trHeight w:val="449" w:hRule="atLeast"/>
          <w:jc w:val="center"/>
        </w:trPr>
        <w:tc>
          <w:tcPr>
            <w:tcW w:w="17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厉行节约保障措施</w:t>
            </w:r>
          </w:p>
        </w:tc>
        <w:tc>
          <w:tcPr>
            <w:tcW w:w="3266" w:type="pct"/>
            <w:gridSpan w:val="3"/>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bl>
    <w:p>
      <w:pPr>
        <w:widowControl/>
        <w:spacing w:afterLines="0" w:line="400" w:lineRule="exact"/>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eastAsia" w:ascii="Times New Roman" w:hAnsi="Times New Roman" w:eastAsia="黑体" w:cs="Times New Roman"/>
          <w:sz w:val="32"/>
          <w:szCs w:val="32"/>
          <w:lang w:eastAsia="zh-CN"/>
        </w:rPr>
      </w:pPr>
      <w:r>
        <w:rPr>
          <w:rFonts w:hint="default" w:ascii="Times New Roman" w:hAnsi="Times New Roman" w:eastAsia="仿宋_GB2312" w:cs="Times New Roman"/>
          <w:sz w:val="22"/>
        </w:rPr>
        <w:t xml:space="preserve">填表人： </w:t>
      </w:r>
      <w:r>
        <w:rPr>
          <w:rFonts w:hint="eastAsia" w:eastAsia="仿宋_GB2312" w:cs="Times New Roman"/>
          <w:sz w:val="22"/>
          <w:lang w:val="en-US" w:eastAsia="zh-CN"/>
        </w:rPr>
        <w:t>吴珊</w:t>
      </w:r>
      <w:r>
        <w:rPr>
          <w:rFonts w:hint="default" w:ascii="Times New Roman" w:hAnsi="Times New Roman" w:eastAsia="仿宋_GB2312" w:cs="Times New Roman"/>
          <w:sz w:val="22"/>
        </w:rPr>
        <w:t xml:space="preserve">  填报日期：</w:t>
      </w:r>
      <w:r>
        <w:rPr>
          <w:rFonts w:hint="eastAsia" w:eastAsia="仿宋_GB2312" w:cs="Times New Roman"/>
          <w:sz w:val="22"/>
          <w:lang w:val="en-US" w:eastAsia="zh-CN"/>
        </w:rPr>
        <w:t>2022.7.13</w:t>
      </w:r>
      <w:r>
        <w:rPr>
          <w:rFonts w:hint="default" w:ascii="Times New Roman" w:hAnsi="Times New Roman" w:eastAsia="仿宋_GB2312" w:cs="Times New Roman"/>
          <w:sz w:val="22"/>
        </w:rPr>
        <w:t xml:space="preserve">  联系电话：</w:t>
      </w:r>
      <w:r>
        <w:rPr>
          <w:rFonts w:hint="eastAsia" w:eastAsia="仿宋_GB2312" w:cs="Times New Roman"/>
          <w:sz w:val="22"/>
          <w:lang w:val="en-US" w:eastAsia="zh-CN"/>
        </w:rPr>
        <w:t>12397066720</w:t>
      </w:r>
      <w:r>
        <w:rPr>
          <w:rFonts w:hint="default" w:ascii="Times New Roman" w:hAnsi="Times New Roman" w:eastAsia="仿宋_GB2312" w:cs="Times New Roman"/>
          <w:sz w:val="22"/>
        </w:rPr>
        <w:t xml:space="preserve"> </w:t>
      </w:r>
      <w:r>
        <w:rPr>
          <w:rFonts w:hint="eastAsia" w:eastAsia="仿宋_GB2312" w:cs="Times New Roman"/>
          <w:sz w:val="22"/>
          <w:lang w:val="en-US" w:eastAsia="zh-CN"/>
        </w:rPr>
        <w:t xml:space="preserve"> </w:t>
      </w:r>
      <w:r>
        <w:rPr>
          <w:rFonts w:hint="default" w:ascii="Times New Roman" w:hAnsi="Times New Roman" w:eastAsia="仿宋_GB2312" w:cs="Times New Roman"/>
          <w:sz w:val="22"/>
        </w:rPr>
        <w:t>单位负责人签字</w:t>
      </w:r>
      <w:r>
        <w:rPr>
          <w:rFonts w:hint="eastAsia" w:eastAsia="仿宋_GB2312" w:cs="Times New Roman"/>
          <w:sz w:val="22"/>
          <w:lang w:val="en-US" w:eastAsia="zh-CN"/>
        </w:rPr>
        <w:t>李军球</w:t>
      </w:r>
      <w:r>
        <w:rPr>
          <w:rFonts w:hint="default" w:ascii="Times New Roman" w:hAnsi="Times New Roman" w:eastAsia="仿宋_GB2312" w:cs="Times New Roman"/>
          <w:sz w:val="22"/>
        </w:rPr>
        <w:br w:type="page"/>
      </w:r>
      <w:r>
        <w:rPr>
          <w:rFonts w:hint="default"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年度部门整体支出绩效自评表</w:t>
      </w:r>
    </w:p>
    <w:tbl>
      <w:tblPr>
        <w:tblStyle w:val="7"/>
        <w:tblW w:w="5361" w:type="pct"/>
        <w:jc w:val="center"/>
        <w:tblLayout w:type="fixed"/>
        <w:tblCellMar>
          <w:top w:w="0" w:type="dxa"/>
          <w:left w:w="108" w:type="dxa"/>
          <w:bottom w:w="0" w:type="dxa"/>
          <w:right w:w="108" w:type="dxa"/>
        </w:tblCellMar>
      </w:tblPr>
      <w:tblGrid>
        <w:gridCol w:w="1024"/>
        <w:gridCol w:w="758"/>
        <w:gridCol w:w="755"/>
        <w:gridCol w:w="1753"/>
        <w:gridCol w:w="935"/>
        <w:gridCol w:w="805"/>
        <w:gridCol w:w="552"/>
        <w:gridCol w:w="956"/>
        <w:gridCol w:w="1812"/>
      </w:tblGrid>
      <w:tr>
        <w:tblPrEx>
          <w:tblCellMar>
            <w:top w:w="0" w:type="dxa"/>
            <w:left w:w="108" w:type="dxa"/>
            <w:bottom w:w="0" w:type="dxa"/>
            <w:right w:w="108" w:type="dxa"/>
          </w:tblCellMar>
        </w:tblPrEx>
        <w:trPr>
          <w:trHeight w:val="1003" w:hRule="atLeast"/>
          <w:jc w:val="center"/>
        </w:trPr>
        <w:tc>
          <w:tcPr>
            <w:tcW w:w="5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4452" w:type="pct"/>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华容县塔市国有林场</w:t>
            </w:r>
          </w:p>
        </w:tc>
      </w:tr>
      <w:tr>
        <w:tblPrEx>
          <w:tblCellMar>
            <w:top w:w="0" w:type="dxa"/>
            <w:left w:w="108" w:type="dxa"/>
            <w:bottom w:w="0" w:type="dxa"/>
            <w:right w:w="108" w:type="dxa"/>
          </w:tblCellMar>
        </w:tblPrEx>
        <w:trPr>
          <w:trHeight w:val="863" w:hRule="atLeast"/>
          <w:jc w:val="center"/>
        </w:trPr>
        <w:tc>
          <w:tcPr>
            <w:tcW w:w="547" w:type="pct"/>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809"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p>
        </w:tc>
        <w:tc>
          <w:tcPr>
            <w:tcW w:w="93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年初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500"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430"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执行数</w:t>
            </w:r>
          </w:p>
        </w:tc>
        <w:tc>
          <w:tcPr>
            <w:tcW w:w="29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分值</w:t>
            </w:r>
          </w:p>
        </w:tc>
        <w:tc>
          <w:tcPr>
            <w:tcW w:w="51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执行率</w:t>
            </w:r>
          </w:p>
        </w:tc>
        <w:tc>
          <w:tcPr>
            <w:tcW w:w="968"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得分</w:t>
            </w:r>
          </w:p>
        </w:tc>
      </w:tr>
      <w:tr>
        <w:tblPrEx>
          <w:tblCellMar>
            <w:top w:w="0" w:type="dxa"/>
            <w:left w:w="108" w:type="dxa"/>
            <w:bottom w:w="0" w:type="dxa"/>
            <w:right w:w="108" w:type="dxa"/>
          </w:tblCellMar>
        </w:tblPrEx>
        <w:trPr>
          <w:trHeight w:val="462" w:hRule="atLeast"/>
          <w:jc w:val="center"/>
        </w:trPr>
        <w:tc>
          <w:tcPr>
            <w:tcW w:w="547" w:type="pct"/>
            <w:vMerge w:val="continue"/>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809"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color w:val="000000"/>
                <w:sz w:val="21"/>
                <w:szCs w:val="21"/>
              </w:rPr>
              <w:t>年度资金总额</w:t>
            </w:r>
          </w:p>
        </w:tc>
        <w:tc>
          <w:tcPr>
            <w:tcW w:w="93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262</w:t>
            </w:r>
          </w:p>
        </w:tc>
        <w:tc>
          <w:tcPr>
            <w:tcW w:w="500"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743.89</w:t>
            </w:r>
          </w:p>
        </w:tc>
        <w:tc>
          <w:tcPr>
            <w:tcW w:w="430"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743.89</w:t>
            </w:r>
          </w:p>
        </w:tc>
        <w:tc>
          <w:tcPr>
            <w:tcW w:w="29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10</w:t>
            </w:r>
          </w:p>
        </w:tc>
        <w:tc>
          <w:tcPr>
            <w:tcW w:w="51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283.92%</w:t>
            </w:r>
          </w:p>
        </w:tc>
        <w:tc>
          <w:tcPr>
            <w:tcW w:w="968"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r>
      <w:tr>
        <w:tblPrEx>
          <w:tblCellMar>
            <w:top w:w="0" w:type="dxa"/>
            <w:left w:w="108" w:type="dxa"/>
            <w:bottom w:w="0" w:type="dxa"/>
            <w:right w:w="108" w:type="dxa"/>
          </w:tblCellMar>
        </w:tblPrEx>
        <w:trPr>
          <w:trHeight w:val="462" w:hRule="atLeast"/>
          <w:jc w:val="center"/>
        </w:trPr>
        <w:tc>
          <w:tcPr>
            <w:tcW w:w="547"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24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按收入性质分：</w:t>
            </w:r>
            <w:r>
              <w:rPr>
                <w:rFonts w:hint="eastAsia" w:ascii="新宋体" w:hAnsi="新宋体" w:eastAsia="新宋体" w:cs="新宋体"/>
                <w:i w:val="0"/>
                <w:iCs w:val="0"/>
                <w:color w:val="000000"/>
                <w:sz w:val="21"/>
                <w:szCs w:val="21"/>
                <w:lang w:val="en-US" w:eastAsia="zh-CN"/>
              </w:rPr>
              <w:t>743.89</w:t>
            </w:r>
          </w:p>
        </w:tc>
        <w:tc>
          <w:tcPr>
            <w:tcW w:w="2205"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按支出性质分：</w:t>
            </w:r>
            <w:r>
              <w:rPr>
                <w:rFonts w:hint="eastAsia" w:ascii="新宋体" w:hAnsi="新宋体" w:eastAsia="新宋体" w:cs="新宋体"/>
                <w:color w:val="000000"/>
                <w:sz w:val="21"/>
                <w:szCs w:val="21"/>
                <w:lang w:val="en-US" w:eastAsia="zh-CN"/>
              </w:rPr>
              <w:t>743.89</w:t>
            </w:r>
          </w:p>
        </w:tc>
      </w:tr>
      <w:tr>
        <w:tblPrEx>
          <w:tblCellMar>
            <w:top w:w="0" w:type="dxa"/>
            <w:left w:w="108" w:type="dxa"/>
            <w:bottom w:w="0" w:type="dxa"/>
            <w:right w:w="108" w:type="dxa"/>
          </w:tblCellMar>
        </w:tblPrEx>
        <w:trPr>
          <w:trHeight w:val="462" w:hRule="atLeast"/>
          <w:jc w:val="center"/>
        </w:trPr>
        <w:tc>
          <w:tcPr>
            <w:tcW w:w="547"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24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其中：</w:t>
            </w:r>
            <w:r>
              <w:rPr>
                <w:rFonts w:hint="eastAsia" w:ascii="新宋体" w:hAnsi="新宋体" w:eastAsia="新宋体" w:cs="新宋体"/>
                <w:i w:val="0"/>
                <w:iCs w:val="0"/>
                <w:color w:val="000000"/>
                <w:sz w:val="21"/>
                <w:szCs w:val="21"/>
                <w:lang w:val="en-US" w:eastAsia="zh-CN"/>
              </w:rPr>
              <w:t xml:space="preserve">  </w:t>
            </w:r>
            <w:r>
              <w:rPr>
                <w:rFonts w:hint="eastAsia" w:ascii="新宋体" w:hAnsi="新宋体" w:eastAsia="新宋体" w:cs="新宋体"/>
                <w:i w:val="0"/>
                <w:iCs w:val="0"/>
                <w:color w:val="000000"/>
                <w:sz w:val="21"/>
                <w:szCs w:val="21"/>
              </w:rPr>
              <w:t>一般公共预算：</w:t>
            </w:r>
            <w:r>
              <w:rPr>
                <w:rFonts w:hint="eastAsia" w:ascii="新宋体" w:hAnsi="新宋体" w:eastAsia="新宋体" w:cs="新宋体"/>
                <w:i w:val="0"/>
                <w:iCs w:val="0"/>
                <w:color w:val="000000"/>
                <w:sz w:val="21"/>
                <w:szCs w:val="21"/>
                <w:lang w:val="en-US" w:eastAsia="zh-CN"/>
              </w:rPr>
              <w:t>743.89</w:t>
            </w:r>
          </w:p>
        </w:tc>
        <w:tc>
          <w:tcPr>
            <w:tcW w:w="2205"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其中：基本支出：</w:t>
            </w:r>
            <w:r>
              <w:rPr>
                <w:rFonts w:hint="eastAsia" w:ascii="新宋体" w:hAnsi="新宋体" w:eastAsia="新宋体" w:cs="新宋体"/>
                <w:color w:val="000000"/>
                <w:sz w:val="21"/>
                <w:szCs w:val="21"/>
                <w:lang w:val="en-US" w:eastAsia="zh-CN"/>
              </w:rPr>
              <w:t>388.61</w:t>
            </w:r>
          </w:p>
        </w:tc>
      </w:tr>
      <w:tr>
        <w:tblPrEx>
          <w:tblCellMar>
            <w:top w:w="0" w:type="dxa"/>
            <w:left w:w="108" w:type="dxa"/>
            <w:bottom w:w="0" w:type="dxa"/>
            <w:right w:w="108" w:type="dxa"/>
          </w:tblCellMar>
        </w:tblPrEx>
        <w:trPr>
          <w:trHeight w:val="462" w:hRule="atLeast"/>
          <w:jc w:val="center"/>
        </w:trPr>
        <w:tc>
          <w:tcPr>
            <w:tcW w:w="547"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24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政府性基金拨款：</w:t>
            </w:r>
          </w:p>
        </w:tc>
        <w:tc>
          <w:tcPr>
            <w:tcW w:w="2205"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项目支出：</w:t>
            </w:r>
            <w:r>
              <w:rPr>
                <w:rFonts w:hint="eastAsia" w:ascii="新宋体" w:hAnsi="新宋体" w:eastAsia="新宋体" w:cs="新宋体"/>
                <w:color w:val="000000"/>
                <w:sz w:val="21"/>
                <w:szCs w:val="21"/>
                <w:lang w:val="en-US" w:eastAsia="zh-CN"/>
              </w:rPr>
              <w:t>355.28</w:t>
            </w:r>
          </w:p>
        </w:tc>
      </w:tr>
      <w:tr>
        <w:tblPrEx>
          <w:tblCellMar>
            <w:top w:w="0" w:type="dxa"/>
            <w:left w:w="108" w:type="dxa"/>
            <w:bottom w:w="0" w:type="dxa"/>
            <w:right w:w="108" w:type="dxa"/>
          </w:tblCellMar>
        </w:tblPrEx>
        <w:trPr>
          <w:trHeight w:val="462" w:hRule="atLeast"/>
          <w:jc w:val="center"/>
        </w:trPr>
        <w:tc>
          <w:tcPr>
            <w:tcW w:w="547"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24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纳入专户管理的非税收入拨款：</w:t>
            </w:r>
          </w:p>
        </w:tc>
        <w:tc>
          <w:tcPr>
            <w:tcW w:w="2205"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547" w:type="pct"/>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24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1260" w:firstLineChars="60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其他资金：</w:t>
            </w:r>
          </w:p>
        </w:tc>
        <w:tc>
          <w:tcPr>
            <w:tcW w:w="2205"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547" w:type="pct"/>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总体目标</w:t>
            </w:r>
          </w:p>
        </w:tc>
        <w:tc>
          <w:tcPr>
            <w:tcW w:w="2246"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预期目标</w:t>
            </w:r>
          </w:p>
        </w:tc>
        <w:tc>
          <w:tcPr>
            <w:tcW w:w="2205"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实际完成情况　</w:t>
            </w:r>
          </w:p>
        </w:tc>
      </w:tr>
      <w:tr>
        <w:tblPrEx>
          <w:tblCellMar>
            <w:top w:w="0" w:type="dxa"/>
            <w:left w:w="108" w:type="dxa"/>
            <w:bottom w:w="0" w:type="dxa"/>
            <w:right w:w="108" w:type="dxa"/>
          </w:tblCellMar>
        </w:tblPrEx>
        <w:trPr>
          <w:trHeight w:val="5641" w:hRule="atLeast"/>
          <w:jc w:val="center"/>
        </w:trPr>
        <w:tc>
          <w:tcPr>
            <w:tcW w:w="547"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246"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eastAsia"/>
                <w:lang w:val="en-US" w:eastAsia="zh-CN"/>
              </w:rPr>
            </w:pPr>
            <w:r>
              <w:rPr>
                <w:rFonts w:hint="eastAsia"/>
                <w:lang w:val="en-US" w:eastAsia="zh-CN"/>
              </w:rPr>
              <w:t>培育森林资源、提高森林覆盖率</w:t>
            </w:r>
          </w:p>
          <w:p>
            <w:pPr>
              <w:pStyle w:val="5"/>
              <w:keepNext w:val="0"/>
              <w:keepLines w:val="0"/>
              <w:numPr>
                <w:ilvl w:val="0"/>
                <w:numId w:val="1"/>
              </w:numPr>
              <w:suppressLineNumbers w:val="0"/>
              <w:spacing w:before="0" w:beforeAutospacing="0" w:after="0" w:afterAutospacing="0"/>
              <w:ind w:left="0" w:right="0"/>
              <w:rPr>
                <w:rFonts w:hint="default"/>
                <w:lang w:val="en-US" w:eastAsia="zh-CN"/>
              </w:rPr>
            </w:pPr>
            <w:r>
              <w:rPr>
                <w:rFonts w:hint="eastAsia"/>
                <w:lang w:val="en-US" w:eastAsia="zh-CN"/>
              </w:rPr>
              <w:t>保护森林资源、加大森林法的宣传力度，加强森林防火、防盗意识目标</w:t>
            </w:r>
          </w:p>
          <w:p>
            <w:pPr>
              <w:keepNext w:val="0"/>
              <w:keepLines w:val="0"/>
              <w:numPr>
                <w:ilvl w:val="0"/>
                <w:numId w:val="1"/>
              </w:numPr>
              <w:suppressLineNumbers w:val="0"/>
              <w:spacing w:before="0" w:beforeAutospacing="0" w:after="0" w:afterAutospacing="0"/>
              <w:ind w:left="0" w:leftChars="0" w:right="0" w:firstLine="0" w:firstLineChars="0"/>
              <w:rPr>
                <w:rFonts w:hint="eastAsia"/>
                <w:lang w:val="en-US" w:eastAsia="zh-CN"/>
              </w:rPr>
            </w:pPr>
            <w:r>
              <w:rPr>
                <w:rFonts w:hint="eastAsia"/>
                <w:lang w:val="en-US" w:eastAsia="zh-CN"/>
              </w:rPr>
              <w:t>为社会提供生态服务。</w:t>
            </w:r>
          </w:p>
          <w:p>
            <w:pPr>
              <w:pStyle w:val="5"/>
              <w:keepNext w:val="0"/>
              <w:keepLines w:val="0"/>
              <w:numPr>
                <w:ilvl w:val="0"/>
                <w:numId w:val="1"/>
              </w:numPr>
              <w:suppressLineNumbers w:val="0"/>
              <w:spacing w:before="0" w:beforeAutospacing="0" w:after="0" w:afterAutospacing="0"/>
              <w:ind w:left="0" w:leftChars="0" w:right="0" w:firstLine="0" w:firstLineChars="0"/>
              <w:rPr>
                <w:rFonts w:hint="default"/>
                <w:lang w:val="en-US" w:eastAsia="zh-CN"/>
              </w:rPr>
            </w:pPr>
            <w:r>
              <w:rPr>
                <w:rFonts w:hint="eastAsia"/>
                <w:lang w:val="en-US" w:eastAsia="zh-CN"/>
              </w:rPr>
              <w:t>提高职工生产、生活质量。</w:t>
            </w:r>
          </w:p>
        </w:tc>
        <w:tc>
          <w:tcPr>
            <w:tcW w:w="2205"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新宋体" w:hAnsi="新宋体" w:eastAsia="新宋体" w:cs="新宋体"/>
                <w:color w:val="000000"/>
                <w:sz w:val="21"/>
                <w:szCs w:val="21"/>
                <w:lang w:val="en-US" w:eastAsia="zh-CN"/>
              </w:rPr>
            </w:pPr>
            <w:r>
              <w:rPr>
                <w:rFonts w:hint="eastAsia" w:cs="Times New Roman"/>
                <w:kern w:val="2"/>
                <w:sz w:val="18"/>
                <w:szCs w:val="18"/>
                <w:lang w:val="en-US" w:eastAsia="zh-CN" w:bidi="ar-SA"/>
              </w:rPr>
              <w:t>1、</w:t>
            </w:r>
            <w:r>
              <w:rPr>
                <w:rFonts w:hint="eastAsia" w:ascii="Times New Roman" w:hAnsi="Times New Roman" w:eastAsia="宋体" w:cs="Times New Roman"/>
                <w:kern w:val="2"/>
                <w:sz w:val="18"/>
                <w:szCs w:val="18"/>
                <w:lang w:val="en-US" w:eastAsia="zh-CN" w:bidi="ar-SA"/>
              </w:rPr>
              <w:t>补植造林4000多亩，其中栽植楠木、赤皮青冈、麻栎、朴树10万多株。补造珍贵树种苗木，对林木进行了割灌除杂，共计抚育5000亩次。秉承绿水清山就是金山银山的宗旨如期完成年度预算目标。</w:t>
            </w:r>
            <w:r>
              <w:rPr>
                <w:rFonts w:hint="eastAsia" w:cs="Times New Roman"/>
                <w:kern w:val="2"/>
                <w:sz w:val="18"/>
                <w:szCs w:val="18"/>
                <w:lang w:val="en-US" w:eastAsia="zh-CN" w:bidi="ar-SA"/>
              </w:rPr>
              <w:t>2、</w:t>
            </w:r>
            <w:r>
              <w:rPr>
                <w:rFonts w:hint="eastAsia" w:ascii="Times New Roman" w:hAnsi="Times New Roman" w:eastAsia="宋体" w:cs="Times New Roman"/>
                <w:kern w:val="2"/>
                <w:sz w:val="18"/>
                <w:szCs w:val="18"/>
                <w:lang w:val="en-US" w:eastAsia="zh-CN" w:bidi="ar-SA"/>
              </w:rPr>
              <w:t>支援友邻单位村场扑救火5次，防火宣传车辆450辆次。</w:t>
            </w:r>
            <w:r>
              <w:rPr>
                <w:rFonts w:hint="eastAsia" w:cs="Times New Roman"/>
                <w:kern w:val="2"/>
                <w:sz w:val="18"/>
                <w:szCs w:val="18"/>
                <w:lang w:val="en-US" w:eastAsia="zh-CN" w:bidi="ar-SA"/>
              </w:rPr>
              <w:t>3、</w:t>
            </w:r>
            <w:r>
              <w:rPr>
                <w:rFonts w:hint="eastAsia" w:ascii="Times New Roman" w:hAnsi="Times New Roman" w:eastAsia="宋体" w:cs="Times New Roman"/>
                <w:kern w:val="2"/>
                <w:sz w:val="18"/>
                <w:szCs w:val="18"/>
                <w:lang w:val="en-US" w:eastAsia="zh-CN" w:bidi="ar-SA"/>
              </w:rPr>
              <w:t>硬化位于康养基地通往蛋子石标准道路1.5公里，新建2处生态停车场、800米导水沟等附属设施，完成了康养基地标识标牌设置安装，其中地名景点指示牌268块，地名景点指示牌32处，导览图3处，负养离子浓度标示牌5处，树种介绍牌108块，为森林康养及林业生产和林农生活提供方便。</w:t>
            </w:r>
            <w:r>
              <w:rPr>
                <w:rFonts w:hint="eastAsia" w:cs="Times New Roman"/>
                <w:kern w:val="2"/>
                <w:sz w:val="18"/>
                <w:szCs w:val="18"/>
                <w:lang w:val="en-US" w:eastAsia="zh-CN" w:bidi="ar-SA"/>
              </w:rPr>
              <w:t>4、</w:t>
            </w:r>
            <w:r>
              <w:rPr>
                <w:rFonts w:hint="eastAsia" w:ascii="Times New Roman" w:hAnsi="Times New Roman" w:eastAsia="宋体" w:cs="Times New Roman"/>
                <w:kern w:val="2"/>
                <w:sz w:val="18"/>
                <w:szCs w:val="18"/>
                <w:lang w:val="en-US" w:eastAsia="zh-CN" w:bidi="ar-SA"/>
              </w:rPr>
              <w:t>办理了2022年度工资调资、完成了特殊工种提前退休系统申报工作，完成了管理岗位晋级及管理岗位、专技岗位的档案清理等工作，企业职工养老保险缴纳不错不漏。林场居住环境改善出色的完成年初目标。</w:t>
            </w:r>
            <w:r>
              <w:rPr>
                <w:rFonts w:hint="eastAsia" w:cs="Times New Roman"/>
                <w:kern w:val="2"/>
                <w:sz w:val="18"/>
                <w:szCs w:val="18"/>
                <w:lang w:val="en-US" w:eastAsia="zh-CN" w:bidi="ar-SA"/>
              </w:rPr>
              <w:t>5、保证林场日常工作运转正常。</w:t>
            </w:r>
          </w:p>
        </w:tc>
      </w:tr>
      <w:tr>
        <w:tblPrEx>
          <w:tblCellMar>
            <w:top w:w="0" w:type="dxa"/>
            <w:left w:w="108" w:type="dxa"/>
            <w:bottom w:w="0" w:type="dxa"/>
            <w:right w:w="108" w:type="dxa"/>
          </w:tblCellMar>
        </w:tblPrEx>
        <w:trPr>
          <w:trHeight w:val="850" w:hRule="atLeast"/>
          <w:jc w:val="center"/>
        </w:trPr>
        <w:tc>
          <w:tcPr>
            <w:tcW w:w="54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9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4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2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54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5"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产出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(50分)</w:t>
            </w:r>
          </w:p>
        </w:tc>
        <w:tc>
          <w:tcPr>
            <w:tcW w:w="40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数量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9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rPr>
            </w:pPr>
            <w:r>
              <w:rPr>
                <w:rFonts w:hint="eastAsia" w:ascii="Times New Roman" w:hAnsi="Times New Roman" w:eastAsia="宋体" w:cs="Times New Roman"/>
                <w:kern w:val="2"/>
                <w:sz w:val="18"/>
                <w:szCs w:val="18"/>
                <w:lang w:val="en-US" w:eastAsia="zh-CN" w:bidi="ar-SA"/>
              </w:rPr>
              <w:t>补植造林4000多亩，</w:t>
            </w:r>
            <w:r>
              <w:rPr>
                <w:rFonts w:hint="eastAsia" w:cs="Times New Roman"/>
                <w:kern w:val="2"/>
                <w:sz w:val="18"/>
                <w:szCs w:val="18"/>
                <w:lang w:val="en-US" w:eastAsia="zh-CN" w:bidi="ar-SA"/>
              </w:rPr>
              <w:t>木材战略储备项目3000亩、森林质量精准改培项目2000亩。</w:t>
            </w:r>
          </w:p>
        </w:tc>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9000亩</w:t>
            </w:r>
          </w:p>
        </w:tc>
        <w:tc>
          <w:tcPr>
            <w:tcW w:w="4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2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p>
        </w:tc>
        <w:tc>
          <w:tcPr>
            <w:tcW w:w="5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4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9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Times New Roman" w:hAnsi="Times New Roman" w:eastAsia="宋体" w:cs="Times New Roman"/>
                <w:kern w:val="2"/>
                <w:sz w:val="18"/>
                <w:szCs w:val="18"/>
                <w:lang w:val="en-US" w:eastAsia="zh-CN" w:bidi="ar-SA"/>
              </w:rPr>
              <w:t>硬化位于康养基地通往蛋子石标准道路1.5公里，新建2处生态停车场、800米导水沟等附属设施</w:t>
            </w:r>
          </w:p>
        </w:tc>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1.5公里</w:t>
            </w:r>
          </w:p>
        </w:tc>
        <w:tc>
          <w:tcPr>
            <w:tcW w:w="4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100%</w:t>
            </w:r>
          </w:p>
        </w:tc>
        <w:tc>
          <w:tcPr>
            <w:tcW w:w="2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p>
        </w:tc>
        <w:tc>
          <w:tcPr>
            <w:tcW w:w="5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4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9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2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4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质量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9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按年初规划设计方案完成达到预期效果。</w:t>
            </w:r>
          </w:p>
        </w:tc>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100%</w:t>
            </w:r>
          </w:p>
        </w:tc>
        <w:tc>
          <w:tcPr>
            <w:tcW w:w="4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2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p>
        </w:tc>
        <w:tc>
          <w:tcPr>
            <w:tcW w:w="5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4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9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p>
        </w:tc>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p>
        </w:tc>
        <w:tc>
          <w:tcPr>
            <w:tcW w:w="4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p>
        </w:tc>
        <w:tc>
          <w:tcPr>
            <w:tcW w:w="2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p>
        </w:tc>
        <w:tc>
          <w:tcPr>
            <w:tcW w:w="5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p>
        </w:tc>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4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9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2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4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时效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9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当年任务完成率</w:t>
            </w:r>
          </w:p>
        </w:tc>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4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2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4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9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2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4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9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2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4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成本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9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抚育</w:t>
            </w:r>
          </w:p>
        </w:tc>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2400亩</w:t>
            </w:r>
          </w:p>
        </w:tc>
        <w:tc>
          <w:tcPr>
            <w:tcW w:w="4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2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4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9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木材战略储备</w:t>
            </w:r>
          </w:p>
        </w:tc>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3000亩</w:t>
            </w:r>
            <w:r>
              <w:rPr>
                <w:rFonts w:hint="eastAsia" w:ascii="新宋体" w:hAnsi="新宋体" w:eastAsia="新宋体" w:cs="新宋体"/>
                <w:color w:val="000000"/>
                <w:sz w:val="21"/>
                <w:szCs w:val="21"/>
              </w:rPr>
              <w:t>　</w:t>
            </w:r>
          </w:p>
        </w:tc>
        <w:tc>
          <w:tcPr>
            <w:tcW w:w="4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2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4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9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cs="Times New Roman"/>
                <w:kern w:val="2"/>
                <w:sz w:val="18"/>
                <w:szCs w:val="18"/>
                <w:lang w:val="en-US" w:eastAsia="zh-CN" w:bidi="ar-SA"/>
              </w:rPr>
              <w:t>森林质量精准改培项目</w:t>
            </w:r>
          </w:p>
        </w:tc>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2000亩</w:t>
            </w:r>
          </w:p>
        </w:tc>
        <w:tc>
          <w:tcPr>
            <w:tcW w:w="4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2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850" w:hRule="atLeast"/>
          <w:jc w:val="center"/>
        </w:trPr>
        <w:tc>
          <w:tcPr>
            <w:tcW w:w="547"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9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4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2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547"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5"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（30分）</w:t>
            </w:r>
          </w:p>
        </w:tc>
        <w:tc>
          <w:tcPr>
            <w:tcW w:w="40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9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宋体" w:hAnsi="宋体" w:eastAsia="宋体" w:cs="宋体"/>
                <w:sz w:val="21"/>
                <w:szCs w:val="21"/>
                <w:lang w:eastAsia="zh-CN"/>
              </w:rPr>
              <w:t>提供劳务</w:t>
            </w:r>
            <w:r>
              <w:rPr>
                <w:rFonts w:hint="eastAsia" w:ascii="宋体" w:hAnsi="宋体" w:cs="宋体"/>
                <w:sz w:val="21"/>
                <w:szCs w:val="21"/>
                <w:lang w:val="en-US" w:eastAsia="zh-CN"/>
              </w:rPr>
              <w:t>8000</w:t>
            </w:r>
            <w:r>
              <w:rPr>
                <w:rFonts w:hint="eastAsia" w:ascii="宋体" w:hAnsi="宋体" w:eastAsia="宋体" w:cs="宋体"/>
                <w:sz w:val="21"/>
                <w:szCs w:val="21"/>
                <w:lang w:val="en-US" w:eastAsia="zh-CN"/>
              </w:rPr>
              <w:t>个工日</w:t>
            </w:r>
          </w:p>
        </w:tc>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189万</w:t>
            </w:r>
          </w:p>
        </w:tc>
        <w:tc>
          <w:tcPr>
            <w:tcW w:w="4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95%</w:t>
            </w:r>
          </w:p>
        </w:tc>
        <w:tc>
          <w:tcPr>
            <w:tcW w:w="2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4</w:t>
            </w:r>
          </w:p>
        </w:tc>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22" w:hRule="atLeast"/>
          <w:jc w:val="center"/>
        </w:trPr>
        <w:tc>
          <w:tcPr>
            <w:tcW w:w="547"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9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color w:val="000000"/>
                <w:sz w:val="18"/>
                <w:szCs w:val="18"/>
              </w:rPr>
              <w:t>安排就业岗位</w:t>
            </w:r>
            <w:r>
              <w:rPr>
                <w:rFonts w:hint="eastAsia" w:ascii="宋体" w:hAnsi="宋体" w:cs="宋体"/>
                <w:color w:val="000000"/>
                <w:sz w:val="18"/>
                <w:szCs w:val="18"/>
                <w:lang w:val="en-US" w:eastAsia="zh-CN"/>
              </w:rPr>
              <w:t>25</w:t>
            </w:r>
            <w:r>
              <w:rPr>
                <w:rFonts w:hint="eastAsia" w:ascii="宋体" w:hAnsi="宋体" w:eastAsia="宋体" w:cs="宋体"/>
                <w:color w:val="000000"/>
                <w:sz w:val="18"/>
                <w:szCs w:val="18"/>
              </w:rPr>
              <w:t>个，带动地方三产业发展，</w:t>
            </w:r>
          </w:p>
        </w:tc>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75万</w:t>
            </w:r>
          </w:p>
        </w:tc>
        <w:tc>
          <w:tcPr>
            <w:tcW w:w="4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90%</w:t>
            </w:r>
          </w:p>
        </w:tc>
        <w:tc>
          <w:tcPr>
            <w:tcW w:w="2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p>
        </w:tc>
        <w:tc>
          <w:tcPr>
            <w:tcW w:w="5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p>
        </w:tc>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47"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5" w:type="pct"/>
            <w:vMerge w:val="continue"/>
            <w:tcBorders>
              <w:top w:val="single" w:color="auto" w:sz="4" w:space="0"/>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3"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937"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color w:val="000000"/>
                <w:sz w:val="18"/>
                <w:szCs w:val="18"/>
              </w:rPr>
              <w:t>带动旅游产业发展</w:t>
            </w:r>
          </w:p>
        </w:tc>
        <w:tc>
          <w:tcPr>
            <w:tcW w:w="50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10万</w:t>
            </w:r>
          </w:p>
        </w:tc>
        <w:tc>
          <w:tcPr>
            <w:tcW w:w="43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29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1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96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334" w:hRule="atLeast"/>
          <w:jc w:val="center"/>
        </w:trPr>
        <w:tc>
          <w:tcPr>
            <w:tcW w:w="547"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5"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3"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93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达到预期效益目标</w:t>
            </w:r>
          </w:p>
        </w:tc>
        <w:tc>
          <w:tcPr>
            <w:tcW w:w="50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43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29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1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96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47"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5"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3"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93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0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3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29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1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96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47"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5"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3"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93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0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3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29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1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96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47"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5"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3"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93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生态效益情况生态环境改善状况良好。</w:t>
            </w:r>
          </w:p>
        </w:tc>
        <w:tc>
          <w:tcPr>
            <w:tcW w:w="50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43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95%%</w:t>
            </w:r>
          </w:p>
        </w:tc>
        <w:tc>
          <w:tcPr>
            <w:tcW w:w="29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1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4</w:t>
            </w:r>
          </w:p>
        </w:tc>
        <w:tc>
          <w:tcPr>
            <w:tcW w:w="96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47"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5"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3"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937" w:type="pct"/>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jc w:val="both"/>
              <w:rPr>
                <w:rFonts w:hint="eastAsia" w:ascii="宋体" w:hAnsi="宋体" w:eastAsia="宋体" w:cs="宋体"/>
                <w:color w:val="000000"/>
                <w:sz w:val="18"/>
                <w:szCs w:val="18"/>
                <w:lang w:eastAsia="zh-CN"/>
              </w:rPr>
            </w:pPr>
            <w:r>
              <w:rPr>
                <w:rFonts w:hint="eastAsia" w:ascii="宋体" w:hAnsi="宋体" w:eastAsia="宋体" w:cs="宋体"/>
                <w:color w:val="000000"/>
                <w:sz w:val="18"/>
                <w:szCs w:val="18"/>
              </w:rPr>
              <w:t>提高林分质量，维护生态系</w:t>
            </w:r>
            <w:r>
              <w:rPr>
                <w:rFonts w:hint="eastAsia" w:ascii="宋体" w:hAnsi="宋体" w:eastAsia="宋体" w:cs="宋体"/>
                <w:color w:val="000000"/>
                <w:sz w:val="18"/>
                <w:szCs w:val="18"/>
                <w:lang w:eastAsia="zh-CN"/>
              </w:rPr>
              <w:t>统的完整性、自然性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0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43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95%</w:t>
            </w:r>
          </w:p>
        </w:tc>
        <w:tc>
          <w:tcPr>
            <w:tcW w:w="29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1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4</w:t>
            </w:r>
          </w:p>
        </w:tc>
        <w:tc>
          <w:tcPr>
            <w:tcW w:w="96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47"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5" w:type="pct"/>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3"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93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0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3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29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1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96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47"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5" w:type="pct"/>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3"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可持续影响指标</w:t>
            </w:r>
          </w:p>
        </w:tc>
        <w:tc>
          <w:tcPr>
            <w:tcW w:w="9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森林提质增效后可提供旅游服务</w:t>
            </w:r>
          </w:p>
        </w:tc>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500万</w:t>
            </w:r>
            <w:r>
              <w:rPr>
                <w:rFonts w:hint="eastAsia" w:ascii="新宋体" w:hAnsi="新宋体" w:eastAsia="新宋体" w:cs="新宋体"/>
                <w:color w:val="000000"/>
                <w:sz w:val="21"/>
                <w:szCs w:val="21"/>
              </w:rPr>
              <w:t>　</w:t>
            </w:r>
          </w:p>
        </w:tc>
        <w:tc>
          <w:tcPr>
            <w:tcW w:w="4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90%</w:t>
            </w:r>
          </w:p>
        </w:tc>
        <w:tc>
          <w:tcPr>
            <w:tcW w:w="2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47"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5"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3"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93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促进全县经济发展。</w:t>
            </w:r>
          </w:p>
        </w:tc>
        <w:tc>
          <w:tcPr>
            <w:tcW w:w="50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3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29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1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96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47"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5"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3"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93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0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3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29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1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4</w:t>
            </w:r>
          </w:p>
        </w:tc>
        <w:tc>
          <w:tcPr>
            <w:tcW w:w="96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47"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5"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（10分）</w:t>
            </w:r>
          </w:p>
        </w:tc>
        <w:tc>
          <w:tcPr>
            <w:tcW w:w="403"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服务对象满意度指标</w:t>
            </w:r>
          </w:p>
        </w:tc>
        <w:tc>
          <w:tcPr>
            <w:tcW w:w="93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提高群众生活幸福指数</w:t>
            </w:r>
          </w:p>
        </w:tc>
        <w:tc>
          <w:tcPr>
            <w:tcW w:w="50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43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90%</w:t>
            </w:r>
          </w:p>
        </w:tc>
        <w:tc>
          <w:tcPr>
            <w:tcW w:w="29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1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96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47"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5"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03"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93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职工生活质量提高</w:t>
            </w:r>
          </w:p>
        </w:tc>
        <w:tc>
          <w:tcPr>
            <w:tcW w:w="50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2000元/人年</w:t>
            </w:r>
          </w:p>
        </w:tc>
        <w:tc>
          <w:tcPr>
            <w:tcW w:w="43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90%</w:t>
            </w:r>
          </w:p>
        </w:tc>
        <w:tc>
          <w:tcPr>
            <w:tcW w:w="29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51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w:t>
            </w:r>
          </w:p>
        </w:tc>
        <w:tc>
          <w:tcPr>
            <w:tcW w:w="96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547" w:hRule="atLeast"/>
          <w:jc w:val="center"/>
        </w:trPr>
        <w:tc>
          <w:tcPr>
            <w:tcW w:w="547"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05"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03"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93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0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3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29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1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96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89" w:hRule="atLeast"/>
          <w:jc w:val="center"/>
        </w:trPr>
        <w:tc>
          <w:tcPr>
            <w:tcW w:w="3224" w:type="pct"/>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总分</w:t>
            </w:r>
          </w:p>
        </w:tc>
        <w:tc>
          <w:tcPr>
            <w:tcW w:w="29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100</w:t>
            </w:r>
          </w:p>
        </w:tc>
        <w:tc>
          <w:tcPr>
            <w:tcW w:w="51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95</w:t>
            </w:r>
          </w:p>
        </w:tc>
        <w:tc>
          <w:tcPr>
            <w:tcW w:w="96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bl>
    <w:p>
      <w:pPr>
        <w:rPr>
          <w:rFonts w:hint="eastAsia" w:eastAsia="仿宋_GB2312" w:cs="Times New Roman"/>
          <w:sz w:val="22"/>
          <w:lang w:val="en-US" w:eastAsia="zh-CN"/>
        </w:rPr>
      </w:pPr>
      <w:r>
        <w:rPr>
          <w:rFonts w:hint="default" w:ascii="Times New Roman" w:hAnsi="Times New Roman" w:eastAsia="仿宋_GB2312" w:cs="Times New Roman"/>
          <w:sz w:val="22"/>
        </w:rPr>
        <w:t>说明：</w:t>
      </w:r>
      <w:r>
        <w:rPr>
          <w:rFonts w:hint="eastAsia" w:eastAsia="仿宋_GB2312" w:cs="Times New Roman"/>
          <w:sz w:val="22"/>
          <w:lang w:eastAsia="zh-CN"/>
        </w:rPr>
        <w:t>以上数据参照</w:t>
      </w:r>
      <w:r>
        <w:rPr>
          <w:rFonts w:hint="eastAsia" w:eastAsia="仿宋_GB2312" w:cs="Times New Roman"/>
          <w:sz w:val="22"/>
          <w:lang w:val="en-US" w:eastAsia="zh-CN"/>
        </w:rPr>
        <w:t>2022年部门决算报表中的“收入支出决算总表”(财决01表)。</w:t>
      </w:r>
    </w:p>
    <w:p>
      <w:pPr>
        <w:pStyle w:val="5"/>
        <w:rPr>
          <w:rFonts w:hint="default"/>
          <w:lang w:val="en-US" w:eastAsia="zh-CN"/>
        </w:rPr>
      </w:pPr>
    </w:p>
    <w:p>
      <w:pPr>
        <w:rPr>
          <w:rFonts w:hint="eastAsia" w:ascii="黑体" w:hAnsi="黑体" w:eastAsia="黑体" w:cs="黑体"/>
          <w:sz w:val="32"/>
          <w:szCs w:val="32"/>
          <w:lang w:val="en-US" w:eastAsia="zh-CN"/>
        </w:rPr>
      </w:pPr>
      <w:r>
        <w:rPr>
          <w:rFonts w:hint="default" w:ascii="Times New Roman" w:hAnsi="Times New Roman" w:eastAsia="仿宋_GB2312" w:cs="Times New Roman"/>
          <w:sz w:val="22"/>
          <w:szCs w:val="22"/>
        </w:rPr>
        <w:t>填表人：</w:t>
      </w:r>
      <w:r>
        <w:rPr>
          <w:rFonts w:hint="eastAsia" w:eastAsia="仿宋_GB2312" w:cs="Times New Roman"/>
          <w:sz w:val="22"/>
          <w:szCs w:val="22"/>
          <w:lang w:val="en-US" w:eastAsia="zh-CN"/>
        </w:rPr>
        <w:t>吴珊</w:t>
      </w:r>
      <w:r>
        <w:rPr>
          <w:rFonts w:hint="default" w:ascii="Times New Roman" w:hAnsi="Times New Roman" w:eastAsia="仿宋_GB2312" w:cs="Times New Roman"/>
          <w:sz w:val="22"/>
          <w:szCs w:val="22"/>
        </w:rPr>
        <w:t xml:space="preserve">  填报日期：</w:t>
      </w:r>
      <w:r>
        <w:rPr>
          <w:rFonts w:hint="eastAsia" w:eastAsia="仿宋_GB2312" w:cs="Times New Roman"/>
          <w:sz w:val="22"/>
          <w:szCs w:val="22"/>
          <w:lang w:val="en-US" w:eastAsia="zh-CN"/>
        </w:rPr>
        <w:t>2023.7.13</w:t>
      </w:r>
      <w:r>
        <w:rPr>
          <w:rFonts w:hint="default" w:ascii="Times New Roman" w:hAnsi="Times New Roman" w:eastAsia="仿宋_GB2312" w:cs="Times New Roman"/>
          <w:sz w:val="22"/>
          <w:szCs w:val="22"/>
        </w:rPr>
        <w:t xml:space="preserve">  联系电话：</w:t>
      </w:r>
      <w:r>
        <w:rPr>
          <w:rFonts w:hint="eastAsia" w:eastAsia="仿宋_GB2312" w:cs="Times New Roman"/>
          <w:sz w:val="22"/>
          <w:szCs w:val="22"/>
          <w:lang w:val="en-US" w:eastAsia="zh-CN"/>
        </w:rPr>
        <w:t>13974066720</w:t>
      </w:r>
      <w:r>
        <w:rPr>
          <w:rFonts w:hint="default" w:ascii="Times New Roman" w:hAnsi="Times New Roman" w:eastAsia="仿宋_GB2312" w:cs="Times New Roman"/>
          <w:sz w:val="22"/>
          <w:szCs w:val="22"/>
        </w:rPr>
        <w:t xml:space="preserve"> 单位负责人签字：</w:t>
      </w:r>
      <w:r>
        <w:rPr>
          <w:rFonts w:hint="eastAsia" w:eastAsia="仿宋_GB2312" w:cs="Times New Roman"/>
          <w:sz w:val="22"/>
          <w:szCs w:val="22"/>
          <w:lang w:val="en-US" w:eastAsia="zh-CN"/>
        </w:rPr>
        <w:t>李军球</w:t>
      </w:r>
      <w:r>
        <w:rPr>
          <w:rFonts w:hint="default" w:ascii="Times New Roman" w:hAnsi="Times New Roman" w:eastAsia="仿宋_GB2312" w:cs="Times New Roman"/>
          <w:sz w:val="22"/>
          <w:szCs w:val="22"/>
        </w:rPr>
        <w:br w:type="page"/>
      </w: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w:t>
      </w:r>
      <w:r>
        <w:rPr>
          <w:rFonts w:hint="eastAsia" w:ascii="方正小标宋简体" w:hAnsi="方正小标宋简体" w:eastAsia="方正小标宋简体" w:cs="方正小标宋简体"/>
          <w:sz w:val="44"/>
          <w:szCs w:val="44"/>
        </w:rPr>
        <w:t>整体支出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eastAsia" w:ascii="Times New Roman" w:hAnsi="Times New Roman" w:eastAsia="仿宋_GB2312" w:cs="Times New Roman"/>
          <w:sz w:val="32"/>
          <w:szCs w:val="32"/>
          <w:u w:val="single"/>
          <w:lang w:eastAsia="zh-CN"/>
        </w:rPr>
      </w:pPr>
      <w:r>
        <w:rPr>
          <w:rFonts w:hint="default" w:ascii="Times New Roman" w:hAnsi="Times New Roman" w:eastAsia="仿宋_GB2312" w:cs="Times New Roman"/>
          <w:sz w:val="32"/>
          <w:szCs w:val="32"/>
        </w:rPr>
        <w:t>部门（单位）名称：</w:t>
      </w:r>
      <w:r>
        <w:rPr>
          <w:rFonts w:hint="eastAsia" w:eastAsia="仿宋_GB2312" w:cs="Times New Roman"/>
          <w:sz w:val="32"/>
          <w:szCs w:val="32"/>
          <w:u w:val="single"/>
          <w:lang w:eastAsia="zh-CN"/>
        </w:rPr>
        <w:t>华容县塔市国有林场</w:t>
      </w:r>
    </w:p>
    <w:p>
      <w:pPr>
        <w:spacing w:line="600" w:lineRule="exact"/>
        <w:jc w:val="center"/>
        <w:rPr>
          <w:rFonts w:hint="default" w:ascii="Times New Roman" w:hAnsi="Times New Roman" w:eastAsia="楷体_GB2312" w:cs="Times New Roman"/>
          <w:sz w:val="32"/>
          <w:szCs w:val="32"/>
        </w:rPr>
        <w:sectPr>
          <w:footerReference r:id="rId3" w:type="default"/>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 xml:space="preserve">年 </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 xml:space="preserve">月 </w:t>
      </w:r>
      <w:r>
        <w:rPr>
          <w:rFonts w:hint="eastAsia" w:eastAsia="楷体_GB2312" w:cs="Times New Roman"/>
          <w:sz w:val="32"/>
          <w:szCs w:val="32"/>
          <w:lang w:val="en-US" w:eastAsia="zh-CN"/>
        </w:rPr>
        <w:t>13</w:t>
      </w:r>
      <w:r>
        <w:rPr>
          <w:rFonts w:hint="default" w:ascii="Times New Roman" w:hAnsi="Times New Roman" w:eastAsia="楷体_GB2312" w:cs="Times New Roman"/>
          <w:sz w:val="32"/>
          <w:szCs w:val="32"/>
        </w:rPr>
        <w:t>日</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w:t>
      </w:r>
      <w:r>
        <w:rPr>
          <w:rFonts w:hint="eastAsia" w:ascii="方正小标宋简体" w:hAnsi="方正小标宋简体" w:eastAsia="方正小标宋简体" w:cs="方正小标宋简体"/>
          <w:sz w:val="44"/>
          <w:szCs w:val="44"/>
        </w:rPr>
        <w:t>整体支出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rPr>
          <w:rFonts w:hint="eastAsia" w:eastAsia="方正小标宋简体"/>
          <w:lang w:eastAsia="zh-CN"/>
        </w:rPr>
      </w:pPr>
    </w:p>
    <w:p>
      <w:pPr>
        <w:pStyle w:val="5"/>
        <w:numPr>
          <w:ilvl w:val="0"/>
          <w:numId w:val="0"/>
        </w:numPr>
        <w:rPr>
          <w:rFonts w:hint="default"/>
          <w:lang w:val="en-US" w:eastAsia="zh-CN"/>
        </w:rPr>
      </w:pPr>
      <w:r>
        <w:rPr>
          <w:rFonts w:hint="eastAsia" w:ascii="方正小标宋简体" w:hAnsi="方正小标宋简体" w:eastAsia="方正小标宋简体" w:cs="方正小标宋简体"/>
          <w:kern w:val="2"/>
          <w:sz w:val="32"/>
          <w:szCs w:val="32"/>
          <w:lang w:val="en-US" w:eastAsia="zh-CN" w:bidi="ar-SA"/>
        </w:rPr>
        <w:t>一、部门基本情况</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before="313" w:beforeLines="100" w:after="313" w:afterLines="100" w:line="480" w:lineRule="atLeast"/>
        <w:textAlignment w:val="auto"/>
        <w:rPr>
          <w:rFonts w:hint="default"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（一)</w:t>
      </w:r>
      <w:r>
        <w:rPr>
          <w:rFonts w:hint="eastAsia" w:ascii="方正小标宋简体" w:hAnsi="方正小标宋简体" w:eastAsia="方正小标宋简体" w:cs="方正小标宋简体"/>
          <w:kern w:val="2"/>
          <w:sz w:val="32"/>
          <w:szCs w:val="32"/>
          <w:lang w:val="en-US" w:eastAsia="zh-CN" w:bidi="ar-SA"/>
        </w:rPr>
        <w:t>部门基本情况</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520" w:lineRule="exact"/>
        <w:ind w:firstLine="640"/>
        <w:textAlignment w:val="auto"/>
        <w:rPr>
          <w:rFonts w:hint="eastAsia" w:ascii="仿宋_GB2312" w:eastAsia="仿宋_GB2312"/>
          <w:sz w:val="32"/>
          <w:szCs w:val="32"/>
          <w:lang w:val="en-US" w:eastAsia="zh-CN"/>
        </w:rPr>
      </w:pPr>
      <w:r>
        <w:rPr>
          <w:rFonts w:hint="eastAsia" w:ascii="仿宋_GB2312" w:hAnsi="仿宋_GB2312" w:eastAsia="仿宋_GB2312" w:cs="仿宋_GB2312"/>
          <w:bCs/>
          <w:kern w:val="2"/>
          <w:sz w:val="32"/>
          <w:szCs w:val="32"/>
          <w:lang w:val="en-US" w:eastAsia="zh-CN" w:bidi="ar-SA"/>
        </w:rPr>
        <w:t>华容县塔市国有林场始建于1956年，2015年国有林场改革后林场性质属公益性一类事业单位。主要职能是保护培育森林资源；维护生态安全；合理利用森林资源优势,发挥资源优势,提供生态服务。内设办公室、人事股、计财股、营林生产股、资源管理股五个股室。</w:t>
      </w:r>
      <w:r>
        <w:rPr>
          <w:rFonts w:hint="eastAsia" w:ascii="仿宋_GB2312" w:hAnsi="仿宋" w:eastAsia="仿宋_GB2312" w:cs="仿宋"/>
          <w:sz w:val="32"/>
          <w:szCs w:val="32"/>
          <w:lang w:val="en-US" w:eastAsia="zh-CN"/>
        </w:rPr>
        <w:t>其中林地面积2.38万亩，非林地面积600亩，辖区内区划公益林面积1.36万亩。森林总蓄积18.2万立米，森林覆盖率95.5%，是华容县生态建设的重要力量。2022年年末现有干部职工384人，其中在册</w:t>
      </w:r>
      <w:r>
        <w:rPr>
          <w:rFonts w:hint="eastAsia" w:ascii="仿宋_GB2312" w:eastAsia="仿宋_GB2312"/>
          <w:sz w:val="32"/>
          <w:szCs w:val="32"/>
        </w:rPr>
        <w:t>职工</w:t>
      </w:r>
      <w:r>
        <w:rPr>
          <w:rFonts w:hint="eastAsia" w:ascii="仿宋_GB2312" w:eastAsia="仿宋_GB2312"/>
          <w:sz w:val="32"/>
          <w:szCs w:val="32"/>
          <w:lang w:val="en-US" w:eastAsia="zh-CN"/>
        </w:rPr>
        <w:t>106</w:t>
      </w:r>
      <w:r>
        <w:rPr>
          <w:rFonts w:hint="eastAsia" w:ascii="仿宋_GB2312" w:eastAsia="仿宋_GB2312"/>
          <w:sz w:val="32"/>
          <w:szCs w:val="32"/>
        </w:rPr>
        <w:t>人，</w:t>
      </w:r>
      <w:r>
        <w:rPr>
          <w:rFonts w:hint="eastAsia" w:ascii="仿宋_GB2312" w:eastAsia="仿宋_GB2312"/>
          <w:sz w:val="32"/>
          <w:szCs w:val="32"/>
          <w:lang w:eastAsia="zh-CN"/>
        </w:rPr>
        <w:t>其中：财政拨款人员</w:t>
      </w:r>
      <w:r>
        <w:rPr>
          <w:rFonts w:hint="eastAsia" w:ascii="仿宋_GB2312" w:eastAsia="仿宋_GB2312"/>
          <w:sz w:val="32"/>
          <w:szCs w:val="32"/>
          <w:lang w:val="en-US" w:eastAsia="zh-CN"/>
        </w:rPr>
        <w:t>23人，购买服务人员83人。企业</w:t>
      </w:r>
      <w:r>
        <w:rPr>
          <w:rFonts w:hint="eastAsia" w:ascii="仿宋_GB2312" w:eastAsia="仿宋_GB2312"/>
          <w:sz w:val="32"/>
          <w:szCs w:val="32"/>
        </w:rPr>
        <w:t>退休职工</w:t>
      </w:r>
      <w:r>
        <w:rPr>
          <w:rFonts w:hint="eastAsia" w:ascii="仿宋_GB2312" w:eastAsia="仿宋_GB2312"/>
          <w:sz w:val="32"/>
          <w:szCs w:val="32"/>
          <w:lang w:val="en-US" w:eastAsia="zh-CN"/>
        </w:rPr>
        <w:t>278</w:t>
      </w:r>
      <w:r>
        <w:rPr>
          <w:rFonts w:hint="eastAsia" w:ascii="仿宋_GB2312" w:eastAsia="仿宋_GB2312"/>
          <w:sz w:val="32"/>
          <w:szCs w:val="32"/>
        </w:rPr>
        <w:t>人</w:t>
      </w:r>
      <w:r>
        <w:rPr>
          <w:rFonts w:hint="eastAsia" w:ascii="仿宋_GB2312" w:eastAsia="仿宋_GB2312"/>
          <w:sz w:val="32"/>
          <w:szCs w:val="32"/>
          <w:lang w:eastAsia="zh-CN"/>
        </w:rPr>
        <w:t>。事业编制人员</w:t>
      </w:r>
      <w:r>
        <w:rPr>
          <w:rFonts w:hint="eastAsia" w:ascii="仿宋_GB2312" w:eastAsia="仿宋_GB2312"/>
          <w:sz w:val="32"/>
          <w:szCs w:val="32"/>
          <w:lang w:val="en-US" w:eastAsia="zh-CN"/>
        </w:rPr>
        <w:t>19人</w:t>
      </w:r>
      <w:r>
        <w:rPr>
          <w:rFonts w:hint="eastAsia" w:ascii="仿宋_GB2312" w:eastAsia="仿宋_GB2312"/>
          <w:sz w:val="32"/>
          <w:szCs w:val="32"/>
          <w:lang w:eastAsia="zh-CN"/>
        </w:rPr>
        <w:t>，现有企业退休职工</w:t>
      </w:r>
      <w:r>
        <w:rPr>
          <w:rFonts w:hint="eastAsia" w:ascii="仿宋_GB2312" w:eastAsia="仿宋_GB2312"/>
          <w:sz w:val="32"/>
          <w:szCs w:val="32"/>
          <w:lang w:val="en-US" w:eastAsia="zh-CN"/>
        </w:rPr>
        <w:t>278人。</w:t>
      </w:r>
    </w:p>
    <w:p>
      <w:pPr>
        <w:keepNext/>
        <w:keepLines/>
        <w:numPr>
          <w:ilvl w:val="0"/>
          <w:numId w:val="2"/>
        </w:numPr>
        <w:ind w:firstLine="320" w:firstLineChars="100"/>
        <w:rPr>
          <w:rFonts w:hint="eastAsia" w:ascii="方正小标宋简体" w:hAnsi="方正小标宋简体" w:eastAsia="方正小标宋简体" w:cs="方正小标宋简体"/>
          <w:kern w:val="2"/>
          <w:sz w:val="32"/>
          <w:szCs w:val="32"/>
          <w:lang w:val="en-US" w:eastAsia="zh-CN" w:bidi="ar-SA"/>
        </w:rPr>
      </w:pPr>
      <w:r>
        <w:rPr>
          <w:rFonts w:hint="eastAsia" w:ascii="方正小标宋简体" w:hAnsi="方正小标宋简体" w:eastAsia="方正小标宋简体" w:cs="方正小标宋简体"/>
          <w:kern w:val="2"/>
          <w:sz w:val="32"/>
          <w:szCs w:val="32"/>
          <w:lang w:val="en-US" w:eastAsia="zh-CN" w:bidi="ar-SA"/>
        </w:rPr>
        <w:t xml:space="preserve">部门整体支出规模、使用方向和主要内容、涉及范围等 </w:t>
      </w:r>
    </w:p>
    <w:p>
      <w:pPr>
        <w:keepNext/>
        <w:keepLines/>
        <w:numPr>
          <w:ilvl w:val="0"/>
          <w:numId w:val="0"/>
        </w:numPr>
        <w:ind w:firstLine="320" w:firstLineChars="100"/>
        <w:rPr>
          <w:rFonts w:hint="eastAsia" w:ascii="仿宋_GB2312" w:hAnsi="仿宋" w:eastAsia="仿宋_GB2312"/>
          <w:sz w:val="32"/>
          <w:szCs w:val="32"/>
        </w:rPr>
      </w:pPr>
      <w:r>
        <w:rPr>
          <w:rFonts w:hint="eastAsia" w:ascii="仿宋_GB2312" w:hAnsi="仿宋_GB2312" w:eastAsia="仿宋_GB2312"/>
          <w:color w:val="000000"/>
          <w:sz w:val="32"/>
          <w:lang w:val="en-US" w:eastAsia="zh-CN"/>
        </w:rPr>
        <w:t>1、</w:t>
      </w:r>
      <w:r>
        <w:rPr>
          <w:rFonts w:hint="eastAsia" w:ascii="仿宋_GB2312" w:hAnsi="仿宋_GB2312" w:eastAsia="仿宋_GB2312"/>
          <w:color w:val="000000"/>
          <w:sz w:val="32"/>
          <w:lang w:val="zh-CN"/>
        </w:rPr>
        <w:t>20</w:t>
      </w:r>
      <w:r>
        <w:rPr>
          <w:rFonts w:hint="eastAsia" w:ascii="仿宋_GB2312" w:hAnsi="仿宋_GB2312" w:eastAsia="仿宋_GB2312"/>
          <w:color w:val="000000"/>
          <w:sz w:val="32"/>
          <w:lang w:val="en-US" w:eastAsia="zh-CN"/>
        </w:rPr>
        <w:t>22</w:t>
      </w:r>
      <w:r>
        <w:rPr>
          <w:rFonts w:hint="eastAsia" w:ascii="仿宋_GB2312" w:hAnsi="仿宋_GB2312" w:eastAsia="仿宋_GB2312"/>
          <w:color w:val="000000"/>
          <w:sz w:val="32"/>
          <w:lang w:val="zh-CN"/>
        </w:rPr>
        <w:t>年度支出总计</w:t>
      </w:r>
      <w:r>
        <w:rPr>
          <w:rFonts w:hint="eastAsia" w:ascii="仿宋_GB2312" w:hAnsi="仿宋_GB2312" w:eastAsia="仿宋_GB2312"/>
          <w:color w:val="000000"/>
          <w:sz w:val="32"/>
          <w:lang w:val="en-US" w:eastAsia="zh-CN"/>
        </w:rPr>
        <w:t>743.89</w:t>
      </w:r>
      <w:r>
        <w:rPr>
          <w:rFonts w:hint="eastAsia" w:ascii="仿宋_GB2312" w:hAnsi="仿宋_GB2312" w:eastAsia="仿宋_GB2312"/>
          <w:color w:val="000000"/>
          <w:sz w:val="32"/>
          <w:lang w:val="zh-CN"/>
        </w:rPr>
        <w:t>万元。</w:t>
      </w:r>
      <w:r>
        <w:rPr>
          <w:rFonts w:hint="eastAsia" w:ascii="仿宋_GB2312" w:hAnsi="仿宋" w:eastAsia="仿宋_GB2312"/>
          <w:sz w:val="32"/>
          <w:szCs w:val="32"/>
        </w:rPr>
        <w:t>财政</w:t>
      </w:r>
      <w:r>
        <w:rPr>
          <w:rFonts w:hint="eastAsia" w:ascii="仿宋_GB2312" w:hAnsi="仿宋" w:eastAsia="仿宋_GB2312"/>
          <w:sz w:val="32"/>
          <w:szCs w:val="32"/>
          <w:lang w:eastAsia="zh-CN"/>
        </w:rPr>
        <w:t>一般公共</w:t>
      </w:r>
      <w:r>
        <w:rPr>
          <w:rFonts w:hint="eastAsia" w:ascii="仿宋_GB2312" w:hAnsi="仿宋" w:eastAsia="仿宋_GB2312"/>
          <w:sz w:val="32"/>
          <w:szCs w:val="32"/>
        </w:rPr>
        <w:t>预算</w:t>
      </w:r>
      <w:r>
        <w:rPr>
          <w:rFonts w:hint="eastAsia" w:ascii="仿宋_GB2312" w:hAnsi="仿宋" w:eastAsia="仿宋_GB2312"/>
          <w:sz w:val="32"/>
          <w:szCs w:val="32"/>
          <w:lang w:eastAsia="zh-CN"/>
        </w:rPr>
        <w:t>基本支出</w:t>
      </w:r>
      <w:r>
        <w:rPr>
          <w:rFonts w:hint="eastAsia" w:ascii="仿宋_GB2312" w:hAnsi="仿宋" w:eastAsia="仿宋_GB2312"/>
          <w:sz w:val="32"/>
          <w:szCs w:val="32"/>
          <w:lang w:val="en-US" w:eastAsia="zh-CN"/>
        </w:rPr>
        <w:t>388.61</w:t>
      </w:r>
      <w:r>
        <w:rPr>
          <w:rFonts w:hint="eastAsia" w:ascii="仿宋_GB2312" w:hAnsi="仿宋" w:eastAsia="仿宋_GB2312"/>
          <w:sz w:val="32"/>
          <w:szCs w:val="32"/>
        </w:rPr>
        <w:t>万，其中工资福利预算资金</w:t>
      </w:r>
      <w:r>
        <w:rPr>
          <w:rFonts w:hint="eastAsia" w:ascii="仿宋_GB2312" w:hAnsi="仿宋" w:eastAsia="仿宋_GB2312"/>
          <w:sz w:val="32"/>
          <w:szCs w:val="32"/>
          <w:lang w:val="en-US" w:eastAsia="zh-CN"/>
        </w:rPr>
        <w:t>332.77</w:t>
      </w:r>
      <w:r>
        <w:rPr>
          <w:rFonts w:hint="eastAsia" w:ascii="仿宋_GB2312" w:hAnsi="仿宋" w:eastAsia="仿宋_GB2312"/>
          <w:sz w:val="32"/>
          <w:szCs w:val="32"/>
        </w:rPr>
        <w:t>万</w:t>
      </w:r>
      <w:r>
        <w:rPr>
          <w:rFonts w:hint="eastAsia" w:ascii="仿宋_GB2312" w:hAnsi="仿宋" w:eastAsia="仿宋_GB2312"/>
          <w:sz w:val="32"/>
          <w:szCs w:val="32"/>
          <w:lang w:eastAsia="zh-CN"/>
        </w:rPr>
        <w:t>元</w:t>
      </w:r>
      <w:r>
        <w:rPr>
          <w:rFonts w:hint="eastAsia" w:ascii="仿宋_GB2312" w:hAnsi="仿宋" w:eastAsia="仿宋_GB2312"/>
          <w:sz w:val="32"/>
          <w:szCs w:val="32"/>
        </w:rPr>
        <w:t>，</w:t>
      </w:r>
      <w:r>
        <w:rPr>
          <w:rFonts w:hint="eastAsia" w:ascii="仿宋_GB2312" w:hAnsi="仿宋" w:eastAsia="仿宋_GB2312"/>
          <w:sz w:val="32"/>
          <w:szCs w:val="32"/>
          <w:lang w:eastAsia="zh-CN"/>
        </w:rPr>
        <w:t>公用经费</w:t>
      </w:r>
      <w:r>
        <w:rPr>
          <w:rFonts w:hint="eastAsia" w:ascii="仿宋_GB2312" w:hAnsi="仿宋" w:eastAsia="仿宋_GB2312"/>
          <w:sz w:val="32"/>
          <w:szCs w:val="32"/>
          <w:lang w:val="en-US" w:eastAsia="zh-CN"/>
        </w:rPr>
        <w:t>55.84</w:t>
      </w:r>
      <w:r>
        <w:rPr>
          <w:rFonts w:hint="eastAsia" w:ascii="仿宋_GB2312" w:hAnsi="仿宋" w:eastAsia="仿宋_GB2312"/>
          <w:sz w:val="32"/>
          <w:szCs w:val="32"/>
        </w:rPr>
        <w:t>万</w:t>
      </w:r>
      <w:r>
        <w:rPr>
          <w:rFonts w:hint="eastAsia" w:ascii="仿宋_GB2312" w:hAnsi="仿宋" w:eastAsia="仿宋_GB2312"/>
          <w:sz w:val="32"/>
          <w:szCs w:val="32"/>
          <w:lang w:eastAsia="zh-CN"/>
        </w:rPr>
        <w:t>元</w:t>
      </w:r>
      <w:r>
        <w:rPr>
          <w:rFonts w:hint="eastAsia" w:ascii="仿宋_GB2312" w:hAnsi="仿宋" w:eastAsia="仿宋_GB2312"/>
          <w:sz w:val="32"/>
          <w:szCs w:val="32"/>
        </w:rPr>
        <w:t>。</w:t>
      </w:r>
    </w:p>
    <w:p>
      <w:pPr>
        <w:keepNext/>
        <w:keepLines/>
        <w:numPr>
          <w:ilvl w:val="0"/>
          <w:numId w:val="3"/>
        </w:numPr>
        <w:ind w:firstLine="320" w:firstLineChars="1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项目支出355.28万元，其中：森林管护项目支出10万元，农林水项目支出即345.28万元。</w:t>
      </w:r>
    </w:p>
    <w:p>
      <w:pPr>
        <w:pStyle w:val="5"/>
        <w:numPr>
          <w:ilvl w:val="0"/>
          <w:numId w:val="0"/>
        </w:numPr>
        <w:rPr>
          <w:rFonts w:hint="eastAsia"/>
          <w:lang w:val="en-US" w:eastAsia="zh-CN"/>
        </w:rPr>
      </w:pPr>
    </w:p>
    <w:p>
      <w:pPr>
        <w:pStyle w:val="5"/>
        <w:numPr>
          <w:ilvl w:val="0"/>
          <w:numId w:val="4"/>
        </w:numPr>
        <w:rPr>
          <w:rFonts w:hint="eastAsia" w:ascii="方正小标宋简体" w:hAnsi="方正小标宋简体" w:eastAsia="方正小标宋简体" w:cs="方正小标宋简体"/>
          <w:kern w:val="2"/>
          <w:sz w:val="32"/>
          <w:szCs w:val="32"/>
          <w:lang w:val="en-US" w:eastAsia="zh-CN" w:bidi="ar-SA"/>
        </w:rPr>
      </w:pPr>
      <w:r>
        <w:rPr>
          <w:rFonts w:hint="eastAsia" w:ascii="方正小标宋简体" w:hAnsi="方正小标宋简体" w:eastAsia="方正小标宋简体" w:cs="方正小标宋简体"/>
          <w:kern w:val="2"/>
          <w:sz w:val="32"/>
          <w:szCs w:val="32"/>
          <w:lang w:val="en-US" w:eastAsia="zh-CN" w:bidi="ar-SA"/>
        </w:rPr>
        <w:t>基本支出情况</w:t>
      </w:r>
    </w:p>
    <w:p>
      <w:pPr>
        <w:numPr>
          <w:ilvl w:val="0"/>
          <w:numId w:val="0"/>
        </w:numP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after="469" w:afterLines="150" w:line="480" w:lineRule="exact"/>
        <w:ind w:firstLine="640" w:firstLineChars="200"/>
        <w:textAlignment w:val="auto"/>
        <w:rPr>
          <w:rFonts w:hint="eastAsia" w:ascii="仿宋_GB2312" w:hAnsi="仿宋_GB2312" w:eastAsia="仿宋_GB2312"/>
          <w:color w:val="000000"/>
          <w:sz w:val="32"/>
          <w:lang w:val="en-US" w:eastAsia="zh-CN"/>
        </w:rPr>
      </w:pPr>
      <w:r>
        <w:rPr>
          <w:rFonts w:hint="eastAsia" w:ascii="仿宋_GB2312" w:hAnsi="仿宋_GB2312" w:eastAsia="仿宋_GB2312"/>
          <w:color w:val="000000"/>
          <w:sz w:val="32"/>
          <w:lang w:val="zh-CN"/>
        </w:rPr>
        <w:t>20</w:t>
      </w:r>
      <w:r>
        <w:rPr>
          <w:rFonts w:hint="eastAsia" w:ascii="仿宋_GB2312" w:hAnsi="仿宋_GB2312" w:eastAsia="仿宋_GB2312"/>
          <w:color w:val="000000"/>
          <w:sz w:val="32"/>
          <w:lang w:val="en-US" w:eastAsia="zh-CN"/>
        </w:rPr>
        <w:t>22</w:t>
      </w:r>
      <w:r>
        <w:rPr>
          <w:rFonts w:hint="eastAsia" w:ascii="仿宋_GB2312" w:hAnsi="仿宋_GB2312" w:eastAsia="仿宋_GB2312"/>
          <w:color w:val="000000"/>
          <w:sz w:val="32"/>
          <w:lang w:val="zh-CN"/>
        </w:rPr>
        <w:t>年度公共预算财政拨款基本支出总计</w:t>
      </w:r>
      <w:r>
        <w:rPr>
          <w:rFonts w:hint="eastAsia" w:ascii="仿宋_GB2312" w:hAnsi="仿宋_GB2312" w:eastAsia="仿宋_GB2312"/>
          <w:color w:val="000000"/>
          <w:sz w:val="32"/>
          <w:lang w:val="en-US" w:eastAsia="zh-CN"/>
        </w:rPr>
        <w:t>388.61</w:t>
      </w:r>
      <w:r>
        <w:rPr>
          <w:rFonts w:hint="eastAsia" w:ascii="仿宋_GB2312" w:hAnsi="仿宋_GB2312" w:eastAsia="仿宋_GB2312"/>
          <w:color w:val="000000"/>
          <w:sz w:val="32"/>
          <w:lang w:val="zh-CN"/>
        </w:rPr>
        <w:t>万元。人员经费</w:t>
      </w:r>
      <w:r>
        <w:rPr>
          <w:rFonts w:hint="eastAsia" w:ascii="仿宋_GB2312" w:hAnsi="仿宋_GB2312" w:eastAsia="仿宋_GB2312"/>
          <w:color w:val="000000"/>
          <w:sz w:val="32"/>
          <w:lang w:val="en-US" w:eastAsia="zh-CN"/>
        </w:rPr>
        <w:t>332.77万元，主要包括：</w:t>
      </w:r>
      <w:r>
        <w:rPr>
          <w:rFonts w:hint="eastAsia" w:ascii="仿宋_GB2312" w:hAnsi="仿宋_GB2312" w:eastAsia="仿宋_GB2312"/>
          <w:color w:val="000000"/>
          <w:sz w:val="32"/>
          <w:lang w:val="en-US"/>
        </w:rPr>
        <w:t>按国家规定支出的</w:t>
      </w:r>
      <w:r>
        <w:rPr>
          <w:rFonts w:hint="eastAsia" w:ascii="仿宋_GB2312" w:hAnsi="仿宋_GB2312" w:eastAsia="仿宋_GB2312"/>
          <w:color w:val="000000"/>
          <w:sz w:val="32"/>
          <w:lang w:val="en-US" w:eastAsia="zh-CN"/>
        </w:rPr>
        <w:t>编制人员</w:t>
      </w:r>
      <w:r>
        <w:rPr>
          <w:rFonts w:hint="eastAsia" w:ascii="仿宋_GB2312" w:hAnsi="仿宋_GB2312" w:eastAsia="仿宋_GB2312"/>
          <w:color w:val="000000"/>
          <w:sz w:val="32"/>
          <w:lang w:val="en-US"/>
        </w:rPr>
        <w:t>基本工资、津贴补贴、其他社会保障缴费、机关事业单位基本养老保险缴费、其他工资福利支出、医疗费、住房公积金</w:t>
      </w:r>
      <w:r>
        <w:rPr>
          <w:rFonts w:hint="eastAsia" w:ascii="仿宋_GB2312" w:hAnsi="仿宋_GB2312" w:eastAsia="仿宋_GB2312"/>
          <w:color w:val="000000"/>
          <w:sz w:val="32"/>
          <w:lang w:val="en-US" w:eastAsia="zh-CN"/>
        </w:rPr>
        <w:t>，购买服务人员劳务工资、生活费、养老保险、医疗保险费等支出。</w:t>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after="469" w:afterLines="150" w:line="480" w:lineRule="exact"/>
        <w:ind w:firstLine="640" w:firstLineChars="200"/>
        <w:textAlignment w:val="auto"/>
        <w:rPr>
          <w:rFonts w:hint="eastAsia" w:ascii="仿宋_GB2312" w:hAnsi="仿宋_GB2312" w:eastAsia="仿宋_GB2312"/>
          <w:color w:val="000000"/>
          <w:sz w:val="32"/>
          <w:lang w:val="en-US" w:eastAsia="zh-CN"/>
        </w:rPr>
      </w:pPr>
      <w:r>
        <w:rPr>
          <w:rFonts w:hint="eastAsia" w:ascii="仿宋_GB2312" w:hAnsi="仿宋_GB2312" w:eastAsia="仿宋_GB2312"/>
          <w:color w:val="000000"/>
          <w:sz w:val="32"/>
          <w:lang w:val="zh-CN" w:eastAsia="zh-CN"/>
        </w:rPr>
        <w:t>公用经费</w:t>
      </w:r>
      <w:r>
        <w:rPr>
          <w:rFonts w:hint="eastAsia" w:ascii="仿宋_GB2312" w:hAnsi="仿宋_GB2312" w:eastAsia="仿宋_GB2312"/>
          <w:color w:val="000000"/>
          <w:sz w:val="32"/>
          <w:lang w:val="en-US" w:eastAsia="zh-CN"/>
        </w:rPr>
        <w:t>55.84</w:t>
      </w:r>
      <w:r>
        <w:rPr>
          <w:rFonts w:hint="eastAsia" w:ascii="仿宋_GB2312" w:hAnsi="仿宋_GB2312" w:eastAsia="仿宋_GB2312"/>
          <w:color w:val="000000"/>
          <w:sz w:val="32"/>
          <w:lang w:val="zh-CN" w:eastAsia="zh-CN"/>
        </w:rPr>
        <w:t>万元。主要用于维持林场日常运转的开支主要包括：</w:t>
      </w:r>
      <w:r>
        <w:rPr>
          <w:rFonts w:hint="eastAsia" w:ascii="仿宋_GB2312" w:hAnsi="仿宋_GB2312" w:eastAsia="仿宋_GB2312"/>
          <w:color w:val="000000"/>
          <w:sz w:val="32"/>
          <w:lang w:val="en-US" w:eastAsia="zh-CN"/>
        </w:rPr>
        <w:t>党建、</w:t>
      </w:r>
      <w:r>
        <w:rPr>
          <w:rFonts w:hint="eastAsia" w:ascii="仿宋_GB2312" w:hAnsi="仿宋_GB2312" w:eastAsia="仿宋_GB2312"/>
          <w:color w:val="000000"/>
          <w:sz w:val="32"/>
          <w:lang w:val="en-US"/>
        </w:rPr>
        <w:t>办公费、电费、邮电费、差旅费、维修（护）费、会议费、培训费、公务接待费、工会经费</w:t>
      </w:r>
      <w:r>
        <w:rPr>
          <w:rFonts w:hint="eastAsia" w:ascii="仿宋_GB2312" w:hAnsi="仿宋_GB2312" w:eastAsia="仿宋_GB2312"/>
          <w:color w:val="000000"/>
          <w:sz w:val="32"/>
          <w:lang w:val="en-US" w:eastAsia="zh-CN"/>
        </w:rPr>
        <w:t>（含困难职工慰问）</w:t>
      </w:r>
      <w:r>
        <w:rPr>
          <w:rFonts w:hint="eastAsia" w:ascii="仿宋_GB2312" w:hAnsi="仿宋_GB2312" w:eastAsia="仿宋_GB2312"/>
          <w:color w:val="000000"/>
          <w:sz w:val="32"/>
          <w:lang w:val="en-US"/>
        </w:rPr>
        <w:t>、福利费、公务用车运行维护费、其他交通费用</w:t>
      </w:r>
      <w:r>
        <w:rPr>
          <w:rFonts w:hint="eastAsia" w:ascii="仿宋_GB2312" w:hAnsi="仿宋_GB2312" w:eastAsia="仿宋_GB2312"/>
          <w:color w:val="000000"/>
          <w:sz w:val="32"/>
          <w:lang w:val="en-US" w:eastAsia="zh-CN"/>
        </w:rPr>
        <w:t>、退休人员及购买服务人员的福利、医保等开支等。</w:t>
      </w:r>
    </w:p>
    <w:p>
      <w:pPr>
        <w:pStyle w:val="5"/>
        <w:numPr>
          <w:ilvl w:val="0"/>
          <w:numId w:val="4"/>
        </w:numPr>
        <w:ind w:left="0" w:leftChars="0" w:firstLine="0" w:firstLineChars="0"/>
        <w:rPr>
          <w:rFonts w:hint="eastAsia" w:ascii="方正小标宋简体" w:hAnsi="方正小标宋简体" w:eastAsia="方正小标宋简体" w:cs="方正小标宋简体"/>
          <w:kern w:val="2"/>
          <w:sz w:val="32"/>
          <w:szCs w:val="32"/>
          <w:lang w:val="en-US" w:eastAsia="zh-CN" w:bidi="ar-SA"/>
        </w:rPr>
      </w:pPr>
      <w:r>
        <w:rPr>
          <w:rFonts w:hint="eastAsia" w:ascii="方正小标宋简体" w:hAnsi="方正小标宋简体" w:eastAsia="方正小标宋简体" w:cs="方正小标宋简体"/>
          <w:kern w:val="2"/>
          <w:sz w:val="32"/>
          <w:szCs w:val="32"/>
          <w:lang w:val="en-US" w:eastAsia="zh-CN" w:bidi="ar-SA"/>
        </w:rPr>
        <w:t>项目支出情况</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atLeast"/>
        <w:ind w:firstLine="640" w:firstLineChars="200"/>
        <w:textAlignment w:val="auto"/>
        <w:rPr>
          <w:rFonts w:hint="eastAsia" w:ascii="仿宋_GB2312" w:hAnsi="仿宋_GB2312" w:eastAsia="仿宋_GB2312"/>
          <w:color w:val="000000"/>
          <w:sz w:val="32"/>
          <w:lang w:val="zh-CN"/>
        </w:rPr>
      </w:pPr>
      <w:r>
        <w:rPr>
          <w:rFonts w:hint="eastAsia" w:ascii="仿宋_GB2312" w:hAnsi="仿宋_GB2312" w:eastAsia="仿宋_GB2312"/>
          <w:color w:val="000000"/>
          <w:sz w:val="32"/>
          <w:lang w:val="en-US" w:eastAsia="zh-CN"/>
        </w:rPr>
        <w:t>项目支出</w:t>
      </w:r>
      <w:r>
        <w:rPr>
          <w:rFonts w:hint="eastAsia" w:ascii="仿宋_GB2312" w:hAnsi="仿宋" w:eastAsia="仿宋_GB2312"/>
          <w:sz w:val="32"/>
          <w:szCs w:val="32"/>
          <w:lang w:val="en-US" w:eastAsia="zh-CN"/>
        </w:rPr>
        <w:t>355.28万元。</w:t>
      </w:r>
      <w:r>
        <w:rPr>
          <w:rFonts w:hint="eastAsia" w:ascii="仿宋_GB2312" w:hAnsi="仿宋_GB2312" w:eastAsia="仿宋_GB2312"/>
          <w:color w:val="000000"/>
          <w:sz w:val="32"/>
          <w:lang w:val="zh-CN"/>
        </w:rPr>
        <w:t>主要是用于林业项目支出及购买服务人员</w:t>
      </w:r>
      <w:r>
        <w:rPr>
          <w:rFonts w:hint="eastAsia" w:ascii="仿宋_GB2312" w:hAnsi="仿宋_GB2312" w:eastAsia="仿宋_GB2312"/>
          <w:color w:val="000000"/>
          <w:sz w:val="32"/>
          <w:lang w:val="en-US" w:eastAsia="zh-CN"/>
        </w:rPr>
        <w:t>养老保险公缴</w:t>
      </w:r>
      <w:r>
        <w:rPr>
          <w:rFonts w:hint="eastAsia" w:ascii="仿宋_GB2312" w:hAnsi="仿宋_GB2312" w:eastAsia="仿宋_GB2312"/>
          <w:color w:val="000000"/>
          <w:sz w:val="32"/>
          <w:lang w:val="zh-CN"/>
        </w:rPr>
        <w:t>支出。专项支出有：森林抚育项目、木材储备项目、质量精准提升项目</w:t>
      </w:r>
      <w:r>
        <w:rPr>
          <w:rFonts w:hint="eastAsia" w:ascii="仿宋_GB2312" w:hAnsi="仿宋_GB2312" w:eastAsia="仿宋_GB2312"/>
          <w:color w:val="000000"/>
          <w:sz w:val="32"/>
          <w:lang w:val="en-US" w:eastAsia="zh-CN"/>
        </w:rPr>
        <w:t>，</w:t>
      </w:r>
      <w:r>
        <w:rPr>
          <w:rFonts w:hint="eastAsia" w:ascii="仿宋_GB2312" w:hAnsi="仿宋_GB2312" w:eastAsia="仿宋_GB2312"/>
          <w:color w:val="000000"/>
          <w:sz w:val="32"/>
          <w:lang w:val="zh-CN"/>
        </w:rPr>
        <w:t>林路养护项目，产业化建设，秀美林场建设等专项开支。</w:t>
      </w:r>
    </w:p>
    <w:p>
      <w:pPr>
        <w:pStyle w:val="5"/>
        <w:keepNext w:val="0"/>
        <w:keepLines w:val="0"/>
        <w:pageBreakBefore w:val="0"/>
        <w:widowControl w:val="0"/>
        <w:numPr>
          <w:ilvl w:val="0"/>
          <w:numId w:val="4"/>
        </w:numPr>
        <w:kinsoku/>
        <w:wordWrap/>
        <w:overflowPunct/>
        <w:topLinePunct w:val="0"/>
        <w:autoSpaceDE/>
        <w:autoSpaceDN/>
        <w:bidi w:val="0"/>
        <w:adjustRightInd/>
        <w:spacing w:before="469" w:beforeLines="150" w:after="469" w:afterLines="150" w:line="480" w:lineRule="atLeast"/>
        <w:ind w:left="0" w:leftChars="0" w:firstLine="0" w:firstLineChars="0"/>
        <w:textAlignment w:val="auto"/>
        <w:rPr>
          <w:rFonts w:hint="eastAsia" w:ascii="仿宋_GB2312" w:hAnsi="仿宋_GB2312" w:eastAsia="仿宋_GB2312" w:cs="Times New Roman"/>
          <w:color w:val="000000"/>
          <w:kern w:val="2"/>
          <w:sz w:val="32"/>
          <w:szCs w:val="24"/>
          <w:lang w:val="zh-CN" w:eastAsia="zh-CN" w:bidi="ar-SA"/>
        </w:rPr>
      </w:pPr>
      <w:r>
        <w:rPr>
          <w:rFonts w:hint="eastAsia" w:ascii="仿宋_GB2312" w:hAnsi="仿宋_GB2312" w:eastAsia="仿宋_GB2312" w:cs="Times New Roman"/>
          <w:color w:val="000000"/>
          <w:kern w:val="2"/>
          <w:sz w:val="32"/>
          <w:szCs w:val="24"/>
          <w:lang w:val="zh-CN" w:eastAsia="zh-CN" w:bidi="ar-SA"/>
        </w:rPr>
        <w:t>部门整体支出绩效情况</w:t>
      </w:r>
    </w:p>
    <w:p>
      <w:pPr>
        <w:keepNext w:val="0"/>
        <w:keepLines w:val="0"/>
        <w:pageBreakBefore w:val="0"/>
        <w:widowControl w:val="0"/>
        <w:kinsoku/>
        <w:wordWrap/>
        <w:overflowPunct/>
        <w:topLinePunct w:val="0"/>
        <w:autoSpaceDE/>
        <w:autoSpaceDN w:val="0"/>
        <w:bidi w:val="0"/>
        <w:adjustRightInd/>
        <w:snapToGrid/>
        <w:spacing w:line="320" w:lineRule="exact"/>
        <w:ind w:firstLine="640" w:firstLineChars="200"/>
        <w:jc w:val="left"/>
        <w:textAlignment w:val="center"/>
        <w:rPr>
          <w:rFonts w:hint="eastAsia" w:ascii="仿宋_GB2312" w:hAnsi="仿宋_GB2312" w:eastAsia="仿宋_GB2312" w:cs="仿宋_GB2312"/>
          <w:color w:val="000000"/>
          <w:sz w:val="28"/>
          <w:szCs w:val="28"/>
          <w:lang w:eastAsia="zh-CN"/>
        </w:rPr>
      </w:pPr>
      <w:r>
        <w:rPr>
          <w:rFonts w:hint="eastAsia" w:ascii="仿宋_GB2312" w:hAnsi="仿宋_GB2312" w:eastAsia="仿宋_GB2312"/>
          <w:color w:val="000000"/>
          <w:sz w:val="32"/>
          <w:lang w:val="en-US" w:eastAsia="zh-CN"/>
        </w:rPr>
        <w:t>1、保证了林场的正常运转。维护了社会的稳定，让职工有一个安定的居住环境。</w:t>
      </w:r>
      <w:r>
        <w:rPr>
          <w:rFonts w:hint="eastAsia" w:ascii="仿宋_GB2312" w:hAnsi="仿宋_GB2312" w:eastAsia="仿宋_GB2312"/>
          <w:color w:val="000000"/>
          <w:sz w:val="32"/>
          <w:lang w:val="zh-CN"/>
        </w:rPr>
        <w:t>提高职工生产、生活质量。</w:t>
      </w:r>
    </w:p>
    <w:p>
      <w:pPr>
        <w:keepNext/>
        <w:keepLines/>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2、整体支出的绩效让林业生产得到了较快的发展，森林覆盖率明显提高、生态环境有很大的改善。森林康养基地质量提升很快。社会公众满意度很好。</w:t>
      </w:r>
    </w:p>
    <w:p>
      <w:pPr>
        <w:keepNext/>
        <w:keepLines/>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3、提高了林分质量，增强了林场生态效益。林分质量明显改善，森林景观，森林生态整体功能明显提高。更好的发挥了森林的多种功能，促进了林木生长，对林场生态环境建设具有重大意义。</w:t>
      </w:r>
    </w:p>
    <w:p>
      <w:pPr>
        <w:pStyle w:val="5"/>
        <w:numPr>
          <w:ilvl w:val="0"/>
          <w:numId w:val="4"/>
        </w:numPr>
        <w:ind w:left="0" w:leftChars="0" w:firstLine="0" w:firstLineChars="0"/>
        <w:rPr>
          <w:rFonts w:hint="eastAsia" w:ascii="仿宋_GB2312" w:hAnsi="仿宋" w:eastAsia="仿宋_GB2312"/>
          <w:sz w:val="32"/>
          <w:szCs w:val="32"/>
          <w:lang w:val="en-US" w:eastAsia="zh-CN"/>
        </w:rPr>
      </w:pPr>
      <w:r>
        <w:rPr>
          <w:rFonts w:hint="eastAsia" w:ascii="方正小标宋简体" w:hAnsi="方正小标宋简体" w:eastAsia="方正小标宋简体" w:cs="方正小标宋简体"/>
          <w:kern w:val="2"/>
          <w:sz w:val="32"/>
          <w:szCs w:val="32"/>
          <w:lang w:val="en-US" w:eastAsia="zh-CN" w:bidi="ar-SA"/>
        </w:rPr>
        <w:t>存在问题及原因分析</w:t>
      </w:r>
    </w:p>
    <w:p>
      <w:pPr>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480" w:lineRule="atLeast"/>
        <w:ind w:firstLine="640" w:firstLineChars="200"/>
        <w:textAlignment w:val="auto"/>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由于政府投入资金不足，而林场林业建设涉及范围较广，面积较大。林业建设压力巨增。林业质量的提升虽然有效的促进了林木生长，对于林业生态环境而言具有不可估量的作用，同时林业生态环境的改善势必为林场资源的管护加大了难度。随着森林质量的提升更多民众前来观光旅游，在森林防火、道路安全、环境卫生等管理开支增大。同时也给林场带来了一定的经济压力。</w:t>
      </w:r>
    </w:p>
    <w:p>
      <w:pPr>
        <w:pStyle w:val="5"/>
        <w:numPr>
          <w:ilvl w:val="0"/>
          <w:numId w:val="4"/>
        </w:numPr>
        <w:ind w:left="0" w:leftChars="0" w:firstLine="0" w:firstLineChars="0"/>
        <w:rPr>
          <w:rFonts w:hint="eastAsia" w:ascii="仿宋_GB2312" w:hAnsi="仿宋" w:eastAsia="仿宋_GB2312"/>
          <w:sz w:val="32"/>
          <w:szCs w:val="32"/>
          <w:lang w:val="en-US" w:eastAsia="zh-CN"/>
        </w:rPr>
      </w:pPr>
      <w:r>
        <w:rPr>
          <w:rFonts w:hint="eastAsia" w:ascii="仿宋_GB2312" w:hAnsi="仿宋" w:eastAsia="仿宋_GB2312" w:cs="Times New Roman"/>
          <w:kern w:val="2"/>
          <w:sz w:val="32"/>
          <w:szCs w:val="32"/>
          <w:lang w:val="en-US" w:eastAsia="zh-CN" w:bidi="ar-SA"/>
        </w:rPr>
        <w:t>改进措施</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before="157" w:beforeLines="50" w:after="157" w:afterLines="50"/>
        <w:ind w:leftChars="0" w:firstLine="640" w:firstLineChars="200"/>
        <w:textAlignment w:val="auto"/>
        <w:rPr>
          <w:rFonts w:hint="default"/>
          <w:lang w:val="en-US" w:eastAsia="zh-CN"/>
        </w:rPr>
      </w:pPr>
      <w:r>
        <w:rPr>
          <w:rFonts w:hint="eastAsia" w:ascii="仿宋_GB2312" w:hAnsi="仿宋" w:eastAsia="仿宋_GB2312"/>
          <w:sz w:val="32"/>
          <w:szCs w:val="32"/>
          <w:lang w:val="en-US" w:eastAsia="zh-CN"/>
        </w:rPr>
        <w:t>民众对生态环境要求也越来越高，对于林场而言是一个考验。为了更快、更好的加强生态修复和管理及打造。国家要加大投入才能满足日益增长的民众需求。</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4</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lang w:val="en-US" w:eastAsia="zh-CN"/>
        </w:rPr>
      </w:pP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项目支出绩效评价</w:t>
      </w:r>
      <w:r>
        <w:rPr>
          <w:rFonts w:hint="eastAsia" w:ascii="方正小标宋简体" w:hAnsi="方正小标宋简体" w:eastAsia="方正小标宋简体" w:cs="方正小标宋简体"/>
          <w:color w:val="000000"/>
          <w:sz w:val="44"/>
          <w:szCs w:val="44"/>
          <w:lang w:eastAsia="zh-CN"/>
        </w:rPr>
        <w:t>评分表</w:t>
      </w:r>
      <w:r>
        <w:rPr>
          <w:rFonts w:hint="eastAsia" w:ascii="方正小标宋简体" w:hAnsi="方正小标宋简体" w:eastAsia="方正小标宋简体" w:cs="方正小标宋简体"/>
          <w:color w:val="000000"/>
          <w:sz w:val="44"/>
          <w:szCs w:val="44"/>
        </w:rPr>
        <w:t>（</w:t>
      </w:r>
      <w:r>
        <w:rPr>
          <w:rFonts w:hint="eastAsia" w:ascii="方正小标宋简体" w:hAnsi="方正小标宋简体" w:eastAsia="方正小标宋简体" w:cs="方正小标宋简体"/>
          <w:color w:val="000000"/>
          <w:sz w:val="44"/>
          <w:szCs w:val="44"/>
          <w:lang w:eastAsia="zh-CN"/>
        </w:rPr>
        <w:t>共性</w:t>
      </w:r>
      <w:r>
        <w:rPr>
          <w:rFonts w:hint="eastAsia" w:ascii="方正小标宋简体" w:hAnsi="方正小标宋简体" w:eastAsia="方正小标宋简体" w:cs="方正小标宋简体"/>
          <w:color w:val="000000"/>
          <w:sz w:val="44"/>
          <w:szCs w:val="44"/>
        </w:rPr>
        <w:t>）</w:t>
      </w:r>
    </w:p>
    <w:tbl>
      <w:tblPr>
        <w:tblStyle w:val="7"/>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一级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二级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三级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目标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①设有目标（1分）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②目标明确（1分）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③目标细化（1分）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①符合法律法规（1分）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②符合经济社会发展规划（1分）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③部门年度工作计划（1分）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6"/>
                <w:kern w:val="0"/>
                <w:sz w:val="18"/>
                <w:szCs w:val="18"/>
                <w:lang w:eastAsia="zh-CN"/>
              </w:rPr>
            </w:pPr>
            <w:r>
              <w:rPr>
                <w:rFonts w:hint="eastAsia" w:ascii="仿宋_GB2312" w:hAnsi="宋体" w:eastAsia="仿宋_GB2312" w:cs="宋体"/>
                <w:spacing w:val="-6"/>
                <w:kern w:val="0"/>
                <w:sz w:val="18"/>
                <w:szCs w:val="18"/>
              </w:rPr>
              <w:t>④针对某一实际问题和需求（1分）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①符合申报条件（2分）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②项目申报、批复程序符合管理办法（1分）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①有相应的资金管理办法（1分）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②办法健全、规范（1分）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③因素全面合理（1分）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①符合分配办法（2分）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②分配公平合理（3分）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firstLine="2520" w:firstLineChars="1400"/>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r>
              <w:rPr>
                <w:rFonts w:hint="eastAsia" w:ascii="仿宋_GB2312" w:hAnsi="宋体" w:eastAsia="仿宋_GB2312" w:cs="宋体"/>
                <w:kern w:val="0"/>
                <w:sz w:val="18"/>
                <w:szCs w:val="18"/>
                <w:lang w:eastAsia="zh-CN"/>
              </w:rPr>
              <w:t>管理</w:t>
            </w:r>
          </w:p>
        </w:tc>
        <w:tc>
          <w:tcPr>
            <w:tcW w:w="540" w:type="dxa"/>
            <w:vMerge w:val="restart"/>
            <w:tcBorders>
              <w:top w:val="nil"/>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25</w:t>
            </w:r>
          </w:p>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到位率</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实际到位/计划到位*100%</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到位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①到位及时（2分）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10"/>
                <w:kern w:val="0"/>
                <w:sz w:val="18"/>
                <w:szCs w:val="18"/>
                <w:lang w:eastAsia="zh-CN"/>
              </w:rPr>
            </w:pPr>
            <w:r>
              <w:rPr>
                <w:rFonts w:hint="eastAsia" w:ascii="仿宋_GB2312" w:hAnsi="宋体" w:eastAsia="仿宋_GB2312" w:cs="宋体"/>
                <w:spacing w:val="-10"/>
                <w:kern w:val="0"/>
                <w:sz w:val="18"/>
                <w:szCs w:val="18"/>
              </w:rPr>
              <w:t>②不及时但未影响项目进度 （1分）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2</w:t>
            </w: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资金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 xml:space="preserve">①虚列套取扣4-7分 </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②依据不合规扣2分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③截留、挤占、挪用扣3-6分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④超标准开支扣2-5分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财务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①财务制度健全（1分）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②严格执行制度（1分）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③会计核算规范（1分）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组织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支撑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①按计划开工（1分）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②按计划开展（1分）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管理</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①管理制度健全（2分）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②制度执行严格（3分）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经济</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社会</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生态</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可持续</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服务</w:t>
            </w:r>
          </w:p>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对象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宋体" w:hAnsi="宋体" w:eastAsia="宋体" w:cs="宋体"/>
                <w:b/>
                <w:bCs/>
                <w:kern w:val="0"/>
                <w:sz w:val="24"/>
                <w:lang w:val="en-US" w:eastAsia="zh-CN"/>
              </w:rPr>
            </w:pPr>
            <w:r>
              <w:rPr>
                <w:rFonts w:hint="eastAsia" w:ascii="宋体" w:hAnsi="宋体" w:cs="宋体"/>
                <w:b/>
                <w:bCs/>
                <w:kern w:val="0"/>
                <w:sz w:val="24"/>
                <w:lang w:val="en-US" w:eastAsia="zh-CN"/>
              </w:rPr>
              <w:t>98</w:t>
            </w:r>
          </w:p>
        </w:tc>
      </w:tr>
    </w:tbl>
    <w:p>
      <w:pPr>
        <w:adjustRightInd w:val="0"/>
        <w:snapToGrid w:val="0"/>
        <w:spacing w:before="156" w:beforeLines="50"/>
        <w:ind w:left="840" w:hanging="840" w:hangingChars="400"/>
        <w:contextualSpacing/>
        <w:rPr>
          <w:rFonts w:hint="eastAsia" w:ascii="仿宋_GB2312" w:eastAsia="仿宋_GB2312"/>
        </w:rPr>
      </w:pPr>
      <w:r>
        <w:rPr>
          <w:rFonts w:hint="eastAsia" w:ascii="仿宋_GB2312" w:eastAsia="仿宋_GB2312"/>
        </w:rPr>
        <w:t>备注：</w:t>
      </w:r>
      <w:r>
        <w:rPr>
          <w:rFonts w:hint="eastAsia" w:ascii="仿宋_GB2312" w:eastAsia="仿宋_GB2312"/>
          <w:lang w:val="en-US" w:eastAsia="zh-CN"/>
        </w:rPr>
        <w:t>1、</w:t>
      </w:r>
      <w:r>
        <w:rPr>
          <w:rFonts w:hint="eastAsia" w:ascii="仿宋_GB2312" w:eastAsia="仿宋_GB2312"/>
        </w:rPr>
        <w:t>部门（单位）根据项目实际，在《项目支出绩效评价指标</w:t>
      </w:r>
      <w:r>
        <w:rPr>
          <w:rFonts w:hint="eastAsia" w:ascii="仿宋_GB2312" w:eastAsia="仿宋_GB2312"/>
          <w:lang w:eastAsia="zh-CN"/>
        </w:rPr>
        <w:t>评分表</w:t>
      </w:r>
      <w:r>
        <w:rPr>
          <w:rFonts w:hint="eastAsia" w:ascii="仿宋_GB2312" w:eastAsia="仿宋_GB2312"/>
        </w:rPr>
        <w:t>（</w:t>
      </w:r>
      <w:r>
        <w:rPr>
          <w:rFonts w:hint="eastAsia" w:ascii="仿宋_GB2312" w:eastAsia="仿宋_GB2312"/>
          <w:lang w:eastAsia="zh-CN"/>
        </w:rPr>
        <w:t>共性</w:t>
      </w:r>
      <w:r>
        <w:rPr>
          <w:rFonts w:hint="eastAsia" w:ascii="仿宋_GB2312" w:eastAsia="仿宋_GB2312"/>
        </w:rPr>
        <w:t>）》上进一步完善、量化、细化个性指标，形成本项目的指标体系。</w:t>
      </w:r>
    </w:p>
    <w:p>
      <w:pPr>
        <w:adjustRightInd w:val="0"/>
        <w:snapToGrid w:val="0"/>
        <w:spacing w:before="156" w:beforeLines="50"/>
        <w:ind w:firstLine="630" w:firstLineChars="300"/>
        <w:contextualSpacing/>
        <w:rPr>
          <w:rFonts w:hint="eastAsia" w:eastAsia="仿宋_GB2312"/>
          <w:sz w:val="32"/>
          <w:lang w:eastAsia="zh-CN"/>
        </w:rPr>
      </w:pPr>
      <w:r>
        <w:rPr>
          <w:rFonts w:hint="eastAsia" w:ascii="仿宋_GB2312" w:eastAsia="仿宋_GB2312"/>
          <w:lang w:val="en-US" w:eastAsia="zh-CN"/>
        </w:rPr>
        <w:t>2、</w:t>
      </w:r>
      <w:r>
        <w:rPr>
          <w:rFonts w:hint="eastAsia" w:ascii="仿宋_GB2312" w:eastAsia="仿宋_GB2312"/>
          <w:lang w:eastAsia="zh-CN"/>
        </w:rPr>
        <w:t>一个一级项目一张表。</w:t>
      </w:r>
    </w:p>
    <w:p/>
    <w:p>
      <w:pPr>
        <w:pStyle w:val="5"/>
        <w:rPr>
          <w:rFonts w:hint="eastAsia"/>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spacing w:line="240" w:lineRule="auto"/>
        <w:ind w:firstLine="0" w:firstLineChars="0"/>
        <w:jc w:val="left"/>
        <w:outlineLvl w:val="0"/>
        <w:rPr>
          <w:rFonts w:hint="eastAsia" w:ascii="Times New Roman" w:hAnsi="Times New Roman" w:eastAsia="黑体" w:cs="Times New Roman"/>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7"/>
        <w:tblW w:w="9851" w:type="dxa"/>
        <w:jc w:val="center"/>
        <w:tblLayout w:type="fixed"/>
        <w:tblCellMar>
          <w:top w:w="0" w:type="dxa"/>
          <w:left w:w="108" w:type="dxa"/>
          <w:bottom w:w="0" w:type="dxa"/>
          <w:right w:w="108" w:type="dxa"/>
        </w:tblCellMar>
      </w:tblPr>
      <w:tblGrid>
        <w:gridCol w:w="1080"/>
        <w:gridCol w:w="1080"/>
        <w:gridCol w:w="1080"/>
        <w:gridCol w:w="1598"/>
        <w:gridCol w:w="891"/>
        <w:gridCol w:w="902"/>
        <w:gridCol w:w="929"/>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2020年度中央预算内林业基本建设投资木材战略储备</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649"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902"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220"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项目资金</w:t>
            </w:r>
            <w:r>
              <w:rPr>
                <w:rFonts w:hint="default" w:ascii="Times New Roman" w:hAnsi="Times New Roman" w:eastAsia="仿宋_GB2312" w:cs="Times New Roman"/>
                <w:color w:val="000000"/>
                <w:sz w:val="20"/>
                <w:szCs w:val="20"/>
              </w:rPr>
              <w:br w:type="textWrapping"/>
            </w:r>
            <w:r>
              <w:rPr>
                <w:rFonts w:hint="default" w:ascii="Times New Roman" w:hAnsi="Times New Roman" w:eastAsia="仿宋_GB2312" w:cs="Times New Roman"/>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59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89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90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929"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w:t>
            </w:r>
          </w:p>
        </w:tc>
        <w:tc>
          <w:tcPr>
            <w:tcW w:w="159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50万</w:t>
            </w:r>
          </w:p>
        </w:tc>
        <w:tc>
          <w:tcPr>
            <w:tcW w:w="89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50万</w:t>
            </w:r>
          </w:p>
        </w:tc>
        <w:tc>
          <w:tcPr>
            <w:tcW w:w="90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50万</w:t>
            </w:r>
          </w:p>
        </w:tc>
        <w:tc>
          <w:tcPr>
            <w:tcW w:w="9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w:t>
            </w:r>
          </w:p>
        </w:tc>
        <w:tc>
          <w:tcPr>
            <w:tcW w:w="159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p>
        </w:tc>
        <w:tc>
          <w:tcPr>
            <w:tcW w:w="89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355.28</w:t>
            </w:r>
          </w:p>
        </w:tc>
        <w:tc>
          <w:tcPr>
            <w:tcW w:w="90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355.28</w:t>
            </w:r>
          </w:p>
        </w:tc>
        <w:tc>
          <w:tcPr>
            <w:tcW w:w="9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w:t>
            </w:r>
          </w:p>
        </w:tc>
        <w:tc>
          <w:tcPr>
            <w:tcW w:w="159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9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90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9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59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9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90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9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649"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122"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trHeight w:val="475"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4649"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完成1000亩木材战略储备基地改培任务，分布于蛋子山工区，望夫山工区、狮子山工区5个小班内</w:t>
            </w:r>
          </w:p>
        </w:tc>
        <w:tc>
          <w:tcPr>
            <w:tcW w:w="4122"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完成1000亩木材战略储备基地改培任务，分布于蛋子山工区，望夫山工区、狮子山工区5个小班内</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59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89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90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9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59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sz w:val="21"/>
                <w:szCs w:val="21"/>
                <w:lang w:val="en-US" w:eastAsia="zh-CN"/>
              </w:rPr>
              <w:t>木材战略储备基地建设任务</w:t>
            </w:r>
          </w:p>
        </w:tc>
        <w:tc>
          <w:tcPr>
            <w:tcW w:w="89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1000亩</w:t>
            </w:r>
          </w:p>
        </w:tc>
        <w:tc>
          <w:tcPr>
            <w:tcW w:w="90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 xml:space="preserve">1000亩 </w:t>
            </w:r>
          </w:p>
        </w:tc>
        <w:tc>
          <w:tcPr>
            <w:tcW w:w="9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59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9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0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59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89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0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59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sz w:val="21"/>
                <w:szCs w:val="21"/>
                <w:lang w:val="en-US" w:eastAsia="zh-CN"/>
              </w:rPr>
              <w:t>任务完成率</w:t>
            </w:r>
          </w:p>
        </w:tc>
        <w:tc>
          <w:tcPr>
            <w:tcW w:w="89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1000亩</w:t>
            </w:r>
          </w:p>
        </w:tc>
        <w:tc>
          <w:tcPr>
            <w:tcW w:w="90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1000亩</w:t>
            </w:r>
          </w:p>
        </w:tc>
        <w:tc>
          <w:tcPr>
            <w:tcW w:w="9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59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9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0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59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89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0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59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2020-2021年实施杉木改培1000亩</w:t>
            </w:r>
          </w:p>
        </w:tc>
        <w:tc>
          <w:tcPr>
            <w:tcW w:w="89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按计划实施完成项目</w:t>
            </w:r>
          </w:p>
        </w:tc>
        <w:tc>
          <w:tcPr>
            <w:tcW w:w="90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1000亩</w:t>
            </w:r>
          </w:p>
        </w:tc>
        <w:tc>
          <w:tcPr>
            <w:tcW w:w="9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59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9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0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90" w:hRule="atLeast"/>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59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89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0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59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eastAsia="zh-CN"/>
              </w:rPr>
              <w:t>中央财政投资</w:t>
            </w:r>
            <w:r>
              <w:rPr>
                <w:rFonts w:hint="eastAsia" w:eastAsia="仿宋_GB2312" w:cs="Times New Roman"/>
                <w:color w:val="000000"/>
                <w:sz w:val="20"/>
                <w:szCs w:val="20"/>
                <w:lang w:val="en-US" w:eastAsia="zh-CN"/>
              </w:rPr>
              <w:t>50万元</w:t>
            </w:r>
          </w:p>
        </w:tc>
        <w:tc>
          <w:tcPr>
            <w:tcW w:w="89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500/亩</w:t>
            </w:r>
          </w:p>
        </w:tc>
        <w:tc>
          <w:tcPr>
            <w:tcW w:w="90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59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9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0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59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89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0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59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增加森林资源价值</w:t>
            </w:r>
          </w:p>
        </w:tc>
        <w:tc>
          <w:tcPr>
            <w:tcW w:w="89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50万</w:t>
            </w:r>
          </w:p>
        </w:tc>
        <w:tc>
          <w:tcPr>
            <w:tcW w:w="90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95%</w:t>
            </w:r>
          </w:p>
        </w:tc>
        <w:tc>
          <w:tcPr>
            <w:tcW w:w="9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59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宋体"/>
                <w:sz w:val="17"/>
                <w:lang w:eastAsia="zh-CN"/>
              </w:rPr>
              <w:t>周边林场职工及村民增收</w:t>
            </w:r>
          </w:p>
        </w:tc>
        <w:tc>
          <w:tcPr>
            <w:tcW w:w="89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10万</w:t>
            </w:r>
          </w:p>
        </w:tc>
        <w:tc>
          <w:tcPr>
            <w:tcW w:w="90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9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59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89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0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59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提高人民群众参与项目就业</w:t>
            </w:r>
          </w:p>
        </w:tc>
        <w:tc>
          <w:tcPr>
            <w:tcW w:w="89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2500个工时</w:t>
            </w:r>
          </w:p>
        </w:tc>
        <w:tc>
          <w:tcPr>
            <w:tcW w:w="90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p>
        </w:tc>
        <w:tc>
          <w:tcPr>
            <w:tcW w:w="9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59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9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0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59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89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0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59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有效提高森林林分质量</w:t>
            </w:r>
          </w:p>
        </w:tc>
        <w:tc>
          <w:tcPr>
            <w:tcW w:w="89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0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效果显著</w:t>
            </w:r>
          </w:p>
        </w:tc>
        <w:tc>
          <w:tcPr>
            <w:tcW w:w="9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59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生态环境质量改善明显提高</w:t>
            </w:r>
          </w:p>
        </w:tc>
        <w:tc>
          <w:tcPr>
            <w:tcW w:w="89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0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效果显著</w:t>
            </w:r>
          </w:p>
        </w:tc>
        <w:tc>
          <w:tcPr>
            <w:tcW w:w="9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59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89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0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影响指标</w:t>
            </w:r>
          </w:p>
        </w:tc>
        <w:tc>
          <w:tcPr>
            <w:tcW w:w="15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宋体"/>
                <w:sz w:val="17"/>
                <w:lang w:eastAsia="zh-CN"/>
              </w:rPr>
              <w:t>最终形成异龄复层针阔混交林</w:t>
            </w:r>
          </w:p>
        </w:tc>
        <w:tc>
          <w:tcPr>
            <w:tcW w:w="8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仿宋_GB2312" w:hAnsi="仿宋_GB2312" w:eastAsia="微软雅黑" w:cs="仿宋_GB2312"/>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微软雅黑" w:hAnsi="微软雅黑" w:eastAsia="微软雅黑" w:cs="微软雅黑"/>
                <w:color w:val="000000"/>
                <w:sz w:val="20"/>
                <w:szCs w:val="20"/>
              </w:rPr>
              <w:t>&gt;</w:t>
            </w:r>
            <w:r>
              <w:rPr>
                <w:rFonts w:hint="eastAsia" w:ascii="微软雅黑" w:hAnsi="微软雅黑" w:eastAsia="微软雅黑" w:cs="微软雅黑"/>
                <w:color w:val="000000"/>
                <w:sz w:val="20"/>
                <w:szCs w:val="20"/>
                <w:lang w:val="en-US" w:eastAsia="zh-CN"/>
              </w:rPr>
              <w:t>20年</w:t>
            </w:r>
          </w:p>
        </w:tc>
        <w:tc>
          <w:tcPr>
            <w:tcW w:w="9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59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9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0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2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59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89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0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81" w:hRule="atLeast"/>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59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群众满意</w:t>
            </w:r>
          </w:p>
        </w:tc>
        <w:tc>
          <w:tcPr>
            <w:tcW w:w="89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满意</w:t>
            </w:r>
          </w:p>
        </w:tc>
        <w:tc>
          <w:tcPr>
            <w:tcW w:w="90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95%</w:t>
            </w:r>
          </w:p>
        </w:tc>
        <w:tc>
          <w:tcPr>
            <w:tcW w:w="9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59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9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0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59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89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0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6631"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9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96</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rPr>
          <w:rFonts w:hint="eastAsia" w:ascii="新宋体" w:hAnsi="新宋体" w:eastAsia="新宋体" w:cs="新宋体"/>
          <w:sz w:val="21"/>
          <w:szCs w:val="21"/>
          <w:lang w:eastAsia="zh-CN"/>
        </w:rPr>
      </w:pPr>
      <w:r>
        <w:rPr>
          <w:rFonts w:hint="eastAsia" w:ascii="新宋体" w:hAnsi="新宋体" w:eastAsia="新宋体" w:cs="新宋体"/>
          <w:sz w:val="21"/>
          <w:szCs w:val="21"/>
        </w:rPr>
        <w:t>备注：一个一级项目支出一张表。</w:t>
      </w:r>
      <w:r>
        <w:rPr>
          <w:rFonts w:hint="eastAsia" w:ascii="新宋体" w:hAnsi="新宋体" w:eastAsia="新宋体" w:cs="新宋体"/>
          <w:sz w:val="21"/>
          <w:szCs w:val="21"/>
          <w:lang w:eastAsia="zh-CN"/>
        </w:rPr>
        <w:t>如，</w:t>
      </w:r>
      <w:r>
        <w:rPr>
          <w:rFonts w:hint="eastAsia" w:ascii="新宋体" w:hAnsi="新宋体" w:eastAsia="新宋体" w:cs="新宋体"/>
          <w:sz w:val="21"/>
          <w:szCs w:val="21"/>
        </w:rPr>
        <w:t>业务工作经费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运行维护经费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lang w:val="en-US" w:eastAsia="zh-CN"/>
        </w:rPr>
        <w:t>XX项目</w:t>
      </w:r>
      <w:r>
        <w:rPr>
          <w:rFonts w:hint="eastAsia" w:ascii="新宋体" w:hAnsi="新宋体" w:eastAsia="新宋体" w:cs="新宋体"/>
          <w:sz w:val="21"/>
          <w:szCs w:val="21"/>
          <w:lang w:eastAsia="zh-CN"/>
        </w:rPr>
        <w:t>资金…各一张表。</w:t>
      </w:r>
    </w:p>
    <w:p>
      <w:pPr>
        <w:pStyle w:val="5"/>
        <w:rPr>
          <w:rFonts w:hint="eastAsia"/>
        </w:rPr>
      </w:pPr>
    </w:p>
    <w:p>
      <w:pPr>
        <w:rPr>
          <w:rFonts w:hint="eastAsia"/>
        </w:rPr>
      </w:pPr>
    </w:p>
    <w:p>
      <w:pPr>
        <w:jc w:val="left"/>
        <w:rPr>
          <w:rFonts w:hint="default" w:ascii="新宋体" w:hAnsi="新宋体" w:eastAsia="新宋体" w:cs="新宋体"/>
          <w:sz w:val="21"/>
          <w:szCs w:val="21"/>
          <w:lang w:val="en-US" w:eastAsia="zh-CN"/>
        </w:rPr>
      </w:pPr>
      <w:r>
        <w:rPr>
          <w:rFonts w:hint="eastAsia" w:ascii="新宋体" w:hAnsi="新宋体" w:eastAsia="新宋体" w:cs="新宋体"/>
          <w:sz w:val="21"/>
          <w:szCs w:val="21"/>
        </w:rPr>
        <w:t>填表人：</w:t>
      </w:r>
      <w:r>
        <w:rPr>
          <w:rFonts w:hint="eastAsia" w:ascii="新宋体" w:hAnsi="新宋体" w:eastAsia="新宋体" w:cs="新宋体"/>
          <w:sz w:val="21"/>
          <w:szCs w:val="21"/>
          <w:lang w:val="en-US" w:eastAsia="zh-CN"/>
        </w:rPr>
        <w:t>吴珊</w:t>
      </w:r>
      <w:r>
        <w:rPr>
          <w:rFonts w:hint="eastAsia" w:ascii="新宋体" w:hAnsi="新宋体" w:eastAsia="新宋体" w:cs="新宋体"/>
          <w:sz w:val="21"/>
          <w:szCs w:val="21"/>
        </w:rPr>
        <w:t xml:space="preserve">  填报日期：</w:t>
      </w:r>
      <w:r>
        <w:rPr>
          <w:rFonts w:hint="eastAsia" w:ascii="新宋体" w:hAnsi="新宋体" w:eastAsia="新宋体" w:cs="新宋体"/>
          <w:sz w:val="21"/>
          <w:szCs w:val="21"/>
          <w:lang w:val="en-US" w:eastAsia="zh-CN"/>
        </w:rPr>
        <w:t>2023年7月13日</w:t>
      </w:r>
      <w:r>
        <w:rPr>
          <w:rFonts w:hint="eastAsia" w:ascii="新宋体" w:hAnsi="新宋体" w:eastAsia="新宋体" w:cs="新宋体"/>
          <w:sz w:val="21"/>
          <w:szCs w:val="21"/>
        </w:rPr>
        <w:t xml:space="preserve">   联系电话：</w:t>
      </w:r>
      <w:r>
        <w:rPr>
          <w:rFonts w:hint="eastAsia" w:ascii="新宋体" w:hAnsi="新宋体" w:eastAsia="新宋体" w:cs="新宋体"/>
          <w:sz w:val="21"/>
          <w:szCs w:val="21"/>
          <w:lang w:val="en-US" w:eastAsia="zh-CN"/>
        </w:rPr>
        <w:t>13974066720</w:t>
      </w:r>
      <w:r>
        <w:rPr>
          <w:rFonts w:hint="eastAsia" w:ascii="新宋体" w:hAnsi="新宋体" w:eastAsia="新宋体" w:cs="新宋体"/>
          <w:sz w:val="21"/>
          <w:szCs w:val="21"/>
        </w:rPr>
        <w:t xml:space="preserve"> 单位负责人签字：</w:t>
      </w:r>
      <w:r>
        <w:rPr>
          <w:rFonts w:hint="eastAsia" w:ascii="新宋体" w:hAnsi="新宋体" w:eastAsia="新宋体" w:cs="新宋体"/>
          <w:sz w:val="21"/>
          <w:szCs w:val="21"/>
          <w:lang w:val="en-US" w:eastAsia="zh-CN"/>
        </w:rPr>
        <w:t>李军球</w:t>
      </w:r>
    </w:p>
    <w:p>
      <w:pPr>
        <w:spacing w:line="240" w:lineRule="auto"/>
        <w:ind w:firstLine="0" w:firstLineChars="0"/>
        <w:jc w:val="left"/>
        <w:outlineLvl w:val="0"/>
        <w:rPr>
          <w:rFonts w:hint="eastAsia" w:ascii="新宋体" w:hAnsi="新宋体" w:eastAsia="新宋体" w:cs="新宋体"/>
          <w:sz w:val="21"/>
          <w:szCs w:val="21"/>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6</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w:t>
      </w:r>
      <w:r>
        <w:rPr>
          <w:rFonts w:hint="eastAsia" w:ascii="方正小标宋简体" w:hAnsi="方正小标宋简体" w:eastAsia="方正小标宋简体" w:cs="方正小标宋简体"/>
          <w:sz w:val="44"/>
          <w:szCs w:val="44"/>
          <w:lang w:val="en-US" w:eastAsia="zh-CN"/>
        </w:rPr>
        <w:t>中央预算内林业基本建设投资木材战略储备</w:t>
      </w:r>
      <w:r>
        <w:rPr>
          <w:rFonts w:hint="eastAsia" w:ascii="方正小标宋简体" w:hAnsi="方正小标宋简体" w:eastAsia="方正小标宋简体" w:cs="方正小标宋简体"/>
          <w:sz w:val="44"/>
          <w:szCs w:val="44"/>
          <w:lang w:eastAsia="zh-CN"/>
        </w:rPr>
        <w:t>项目支出</w:t>
      </w:r>
    </w:p>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eastAsia" w:ascii="Times New Roman" w:hAnsi="Times New Roman" w:eastAsia="仿宋_GB2312" w:cs="Times New Roman"/>
          <w:sz w:val="32"/>
          <w:szCs w:val="32"/>
          <w:u w:val="single"/>
          <w:lang w:eastAsia="zh-CN"/>
        </w:rPr>
      </w:pPr>
      <w:r>
        <w:rPr>
          <w:rFonts w:hint="default" w:ascii="Times New Roman" w:hAnsi="Times New Roman" w:eastAsia="仿宋_GB2312" w:cs="Times New Roman"/>
          <w:sz w:val="32"/>
          <w:szCs w:val="32"/>
        </w:rPr>
        <w:t>部门（单位）名称：</w:t>
      </w:r>
      <w:r>
        <w:rPr>
          <w:rFonts w:hint="eastAsia" w:eastAsia="仿宋_GB2312" w:cs="Times New Roman"/>
          <w:sz w:val="32"/>
          <w:szCs w:val="32"/>
          <w:u w:val="single"/>
          <w:lang w:eastAsia="zh-CN"/>
        </w:rPr>
        <w:t>华容县塔市国有林场</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 xml:space="preserve">年 </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 xml:space="preserve"> </w:t>
      </w:r>
      <w:r>
        <w:rPr>
          <w:rFonts w:hint="eastAsia" w:eastAsia="楷体_GB2312" w:cs="Times New Roman"/>
          <w:sz w:val="32"/>
          <w:szCs w:val="32"/>
          <w:lang w:eastAsia="zh-CN"/>
        </w:rPr>
        <w:t>月</w:t>
      </w:r>
      <w:r>
        <w:rPr>
          <w:rFonts w:hint="default" w:ascii="Times New Roman" w:hAnsi="Times New Roman" w:eastAsia="楷体_GB2312" w:cs="Times New Roman"/>
          <w:sz w:val="32"/>
          <w:szCs w:val="32"/>
        </w:rPr>
        <w:t xml:space="preserve"> </w:t>
      </w:r>
      <w:r>
        <w:rPr>
          <w:rFonts w:hint="eastAsia" w:eastAsia="楷体_GB2312" w:cs="Times New Roman"/>
          <w:sz w:val="32"/>
          <w:szCs w:val="32"/>
          <w:lang w:val="en-US" w:eastAsia="zh-CN"/>
        </w:rPr>
        <w:t>13</w:t>
      </w:r>
      <w:r>
        <w:rPr>
          <w:rFonts w:hint="default" w:ascii="Times New Roman" w:hAnsi="Times New Roman" w:eastAsia="楷体_GB2312" w:cs="Times New Roman"/>
          <w:sz w:val="32"/>
          <w:szCs w:val="32"/>
        </w:rPr>
        <w:t>日</w:t>
      </w:r>
    </w:p>
    <w:p>
      <w:pPr>
        <w:jc w:val="center"/>
        <w:rPr>
          <w:rFonts w:hint="default" w:ascii="Times New Roman" w:hAnsi="Times New Roman" w:eastAsia="仿宋_GB2312" w:cs="Times New Roman"/>
          <w:sz w:val="32"/>
          <w:szCs w:val="32"/>
        </w:rPr>
      </w:pPr>
    </w:p>
    <w:p>
      <w:pPr>
        <w:pStyle w:val="5"/>
        <w:rPr>
          <w:rFonts w:hint="eastAsia"/>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w:t>
      </w:r>
      <w:r>
        <w:rPr>
          <w:rFonts w:hint="eastAsia" w:ascii="方正小标宋简体" w:hAnsi="方正小标宋简体" w:eastAsia="方正小标宋简体" w:cs="方正小标宋简体"/>
          <w:sz w:val="44"/>
          <w:szCs w:val="44"/>
          <w:lang w:val="en-US" w:eastAsia="zh-CN"/>
        </w:rPr>
        <w:t>中央预算内林业基本建设投资木材战略储备</w:t>
      </w:r>
      <w:r>
        <w:rPr>
          <w:rFonts w:hint="eastAsia" w:ascii="方正小标宋简体" w:hAnsi="方正小标宋简体" w:eastAsia="方正小标宋简体" w:cs="方正小标宋简体"/>
          <w:sz w:val="44"/>
          <w:szCs w:val="44"/>
          <w:lang w:eastAsia="zh-CN"/>
        </w:rPr>
        <w:t>项目支出</w:t>
      </w:r>
    </w:p>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绩效自评报告</w:t>
      </w:r>
    </w:p>
    <w:p>
      <w:pPr>
        <w:rPr>
          <w:rFonts w:hint="eastAsia"/>
          <w:lang w:val="en-US" w:eastAsia="zh-CN"/>
        </w:rPr>
      </w:pPr>
    </w:p>
    <w:p>
      <w:pPr>
        <w:pStyle w:val="5"/>
        <w:keepNext w:val="0"/>
        <w:keepLines w:val="0"/>
        <w:pageBreakBefore w:val="0"/>
        <w:widowControl w:val="0"/>
        <w:numPr>
          <w:ilvl w:val="0"/>
          <w:numId w:val="5"/>
        </w:numPr>
        <w:kinsoku/>
        <w:wordWrap/>
        <w:overflowPunct/>
        <w:topLinePunct w:val="0"/>
        <w:autoSpaceDE/>
        <w:autoSpaceDN/>
        <w:bidi w:val="0"/>
        <w:adjustRightInd/>
        <w:snapToGrid w:val="0"/>
        <w:ind w:firstLine="640" w:firstLineChars="200"/>
        <w:textAlignment w:val="auto"/>
        <w:rPr>
          <w:rFonts w:hint="eastAsia" w:ascii="方正小标宋简体" w:hAnsi="方正小标宋简体" w:eastAsia="方正小标宋简体" w:cs="方正小标宋简体"/>
          <w:kern w:val="2"/>
          <w:sz w:val="32"/>
          <w:szCs w:val="32"/>
          <w:lang w:val="en-US" w:eastAsia="zh-CN" w:bidi="ar-SA"/>
        </w:rPr>
      </w:pPr>
      <w:r>
        <w:rPr>
          <w:rFonts w:hint="eastAsia" w:ascii="方正小标宋简体" w:hAnsi="方正小标宋简体" w:eastAsia="方正小标宋简体" w:cs="方正小标宋简体"/>
          <w:kern w:val="2"/>
          <w:sz w:val="32"/>
          <w:szCs w:val="32"/>
          <w:lang w:val="en-US" w:eastAsia="zh-CN" w:bidi="ar-SA"/>
        </w:rPr>
        <w:t>基本情况</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（一）项目概况</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方正小标宋简体" w:hAnsi="方正小标宋简体" w:eastAsia="方正小标宋简体" w:cs="方正小标宋简体"/>
          <w:kern w:val="2"/>
          <w:sz w:val="32"/>
          <w:szCs w:val="32"/>
          <w:lang w:val="en-US" w:eastAsia="zh-CN" w:bidi="ar-SA"/>
        </w:rPr>
      </w:pPr>
      <w:r>
        <w:rPr>
          <w:rFonts w:hint="eastAsia" w:ascii="方正小标宋简体" w:hAnsi="方正小标宋简体" w:eastAsia="方正小标宋简体" w:cs="方正小标宋简体"/>
          <w:kern w:val="2"/>
          <w:sz w:val="28"/>
          <w:szCs w:val="28"/>
          <w:lang w:val="en-US" w:eastAsia="zh-CN" w:bidi="ar-SA"/>
        </w:rPr>
        <w:t>为坚持生态林业和民生林业为总目标，以资源双增为核心，以优化机构，提高质量为主线，以建设珍惜树种资源战略储备提高林业生态保护，实现森林可持续发展。全面实施以生态文明建设为主体的林业发展战略，增加活立储备，建设集约化、标准化、规模化的国家木材战略储备基地。我场实施完成1000亩木材战略储备基地改培任务，项目实施区域主要分布于蛋子山工区5，望夫山工区、狮子山工区5个小班。国家下达该项目资金50万元。</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（二）资金投入及使用情况</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该项目国家投入资金50万元湘财建指【2020】175号、华财建指〔2020〕0038号，于2022年1月28日拨付到位。主要用于对改培项目林分采取割灌除草、修枝、抚育间伐和施肥等综合技术措施，促进林木及早成林、成材。实施纯木提质改培1000亩，形成杉木、楠木、红绸、木荷异龄付层针阔混交结构。该项目严格按照专项资金管理办法财政以专项预算资金计划指标划拨到我场财务系统中，做到专款专用，挪用专项资金。</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280" w:firstLineChars="100"/>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项目绩效目标</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jc w:val="both"/>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根据项目建设内容和我场实际情况，按照储备林基地建设模式和技术标准，确定我场国家储备林基地建设方向。一是与湖南林业科学院开展技术合作，积极推广珍惜树种培育技术的先进成果。二是加大集约经营模式建立优质杉木大径材定向培育和珍惜木材可持续经营模式。三是积极推广造林机械使用力度，提高生产效率。四是组织工程技术人员和生产人员开展技术培训。</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jc w:val="both"/>
        <w:textAlignment w:val="auto"/>
        <w:rPr>
          <w:rFonts w:hint="default"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阶段性目标主要是分步骤作业完成：1、林地清理在10-12月分完成。</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jc w:val="both"/>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2、10-11月完成抚育间伐。3、1-4月完成修枝整形。4、1-3月完成补植幼苗。5、6-7月完成培兜抚育。</w:t>
      </w:r>
    </w:p>
    <w:p>
      <w:pPr>
        <w:pStyle w:val="5"/>
        <w:keepNext w:val="0"/>
        <w:keepLines w:val="0"/>
        <w:pageBreakBefore w:val="0"/>
        <w:widowControl w:val="0"/>
        <w:numPr>
          <w:ilvl w:val="0"/>
          <w:numId w:val="5"/>
        </w:numPr>
        <w:kinsoku/>
        <w:wordWrap/>
        <w:overflowPunct/>
        <w:topLinePunct w:val="0"/>
        <w:autoSpaceDE/>
        <w:autoSpaceDN/>
        <w:bidi w:val="0"/>
        <w:adjustRightInd/>
        <w:snapToGrid w:val="0"/>
        <w:ind w:firstLine="640" w:firstLineChars="200"/>
        <w:textAlignment w:val="auto"/>
        <w:rPr>
          <w:rFonts w:hint="default" w:ascii="方正小标宋简体" w:hAnsi="方正小标宋简体" w:eastAsia="方正小标宋简体" w:cs="方正小标宋简体"/>
          <w:kern w:val="2"/>
          <w:sz w:val="32"/>
          <w:szCs w:val="32"/>
          <w:lang w:val="en-US" w:eastAsia="zh-CN" w:bidi="ar-SA"/>
        </w:rPr>
      </w:pPr>
      <w:r>
        <w:rPr>
          <w:rFonts w:hint="eastAsia" w:ascii="方正小标宋简体" w:hAnsi="方正小标宋简体" w:eastAsia="方正小标宋简体" w:cs="方正小标宋简体"/>
          <w:kern w:val="2"/>
          <w:sz w:val="32"/>
          <w:szCs w:val="32"/>
          <w:lang w:val="en-US" w:eastAsia="zh-CN" w:bidi="ar-SA"/>
        </w:rPr>
        <w:t>绩效评价工作开展情况</w:t>
      </w:r>
    </w:p>
    <w:p>
      <w:pPr>
        <w:keepNext w:val="0"/>
        <w:keepLines w:val="0"/>
        <w:pageBreakBefore w:val="0"/>
        <w:widowControl w:val="0"/>
        <w:numPr>
          <w:ilvl w:val="0"/>
          <w:numId w:val="6"/>
        </w:numPr>
        <w:kinsoku/>
        <w:wordWrap/>
        <w:overflowPunct/>
        <w:topLinePunct w:val="0"/>
        <w:autoSpaceDE/>
        <w:autoSpaceDN/>
        <w:bidi w:val="0"/>
        <w:adjustRightInd/>
        <w:snapToGrid/>
        <w:ind w:leftChars="100"/>
        <w:textAlignment w:val="auto"/>
        <w:rPr>
          <w:rFonts w:hint="eastAsia"/>
          <w:lang w:val="en-US" w:eastAsia="zh-CN"/>
        </w:rPr>
      </w:pPr>
      <w:r>
        <w:rPr>
          <w:rFonts w:hint="eastAsia" w:ascii="方正小标宋简体" w:hAnsi="方正小标宋简体" w:eastAsia="方正小标宋简体" w:cs="方正小标宋简体"/>
          <w:kern w:val="2"/>
          <w:sz w:val="28"/>
          <w:szCs w:val="28"/>
          <w:lang w:val="en-US" w:eastAsia="zh-CN" w:bidi="ar-SA"/>
        </w:rPr>
        <w:t>绩效评价目的、对象和范围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严格督促项目实施和资金使用情况，切实发挥好财政资金使用效益，确保资金使用依法、规范、安全、高效。通过项目实施充分利用林地，实行林地一地多用，将短期效益与长期效益相结合。提高林场木材改培储备任务，实现森林资源可持续发展，努力为林场高质量发展提供保障。</w:t>
      </w:r>
    </w:p>
    <w:p>
      <w:pPr>
        <w:pStyle w:val="5"/>
        <w:rPr>
          <w:rFonts w:hint="default"/>
          <w:lang w:val="en-US" w:eastAsia="zh-CN"/>
        </w:rPr>
      </w:pPr>
    </w:p>
    <w:p>
      <w:pPr>
        <w:keepNext w:val="0"/>
        <w:keepLines w:val="0"/>
        <w:pageBreakBefore w:val="0"/>
        <w:widowControl w:val="0"/>
        <w:numPr>
          <w:ilvl w:val="0"/>
          <w:numId w:val="6"/>
        </w:numPr>
        <w:kinsoku/>
        <w:wordWrap/>
        <w:overflowPunct/>
        <w:topLinePunct w:val="0"/>
        <w:autoSpaceDE/>
        <w:autoSpaceDN/>
        <w:bidi w:val="0"/>
        <w:adjustRightInd/>
        <w:snapToGrid/>
        <w:ind w:leftChars="100"/>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绩效评价原则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本次绩效评价本着科学规范原则。绩效评价注重财政支出的效率性和有效性，严格执行规定的程序。公正公开原则，绩效评价客观公正。</w:t>
      </w:r>
    </w:p>
    <w:p>
      <w:pPr>
        <w:pStyle w:val="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firstLine="640" w:firstLineChars="200"/>
        <w:jc w:val="both"/>
        <w:textAlignment w:val="auto"/>
        <w:rPr>
          <w:rFonts w:hint="default" w:ascii="方正小标宋简体" w:hAnsi="方正小标宋简体" w:eastAsia="方正小标宋简体" w:cs="方正小标宋简体"/>
          <w:kern w:val="2"/>
          <w:sz w:val="32"/>
          <w:szCs w:val="32"/>
          <w:lang w:val="en-US" w:eastAsia="zh-CN" w:bidi="ar-SA"/>
        </w:rPr>
      </w:pPr>
      <w:r>
        <w:rPr>
          <w:rFonts w:hint="eastAsia" w:ascii="方正小标宋简体" w:hAnsi="方正小标宋简体" w:eastAsia="方正小标宋简体" w:cs="方正小标宋简体"/>
          <w:kern w:val="2"/>
          <w:sz w:val="32"/>
          <w:szCs w:val="32"/>
          <w:lang w:val="en-US" w:eastAsia="zh-CN" w:bidi="ar-SA"/>
        </w:rPr>
        <w:t>综合评价情况及结论</w:t>
      </w:r>
    </w:p>
    <w:p>
      <w:pPr>
        <w:keepNext w:val="0"/>
        <w:keepLines w:val="0"/>
        <w:pageBreakBefore w:val="0"/>
        <w:widowControl w:val="0"/>
        <w:tabs>
          <w:tab w:val="left" w:pos="4170"/>
        </w:tabs>
        <w:kinsoku/>
        <w:wordWrap/>
        <w:overflowPunct/>
        <w:topLinePunct w:val="0"/>
        <w:autoSpaceDE/>
        <w:autoSpaceDN/>
        <w:bidi w:val="0"/>
        <w:adjustRightInd/>
        <w:snapToGrid/>
        <w:spacing w:line="360" w:lineRule="auto"/>
        <w:ind w:firstLine="560" w:firstLineChars="200"/>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随着项目的实施，后续工作的推进。对国家木材战略储备资源培育，保护生物多样性，缓解木材供需的结构性矛盾，保障国家木材安全有重要意义。为全面实施以生态文明建设为主的林业发展战略，增加活立木储备，建设集约化、规模化、标准化的国家木材战略储备基地，实现森林可持续经营，促进国有林区经济社会协调发展起到不可替代的作用。</w:t>
      </w:r>
    </w:p>
    <w:p>
      <w:pPr>
        <w:pStyle w:val="5"/>
        <w:keepNext w:val="0"/>
        <w:keepLines w:val="0"/>
        <w:pageBreakBefore w:val="0"/>
        <w:widowControl w:val="0"/>
        <w:numPr>
          <w:ilvl w:val="0"/>
          <w:numId w:val="5"/>
        </w:numPr>
        <w:kinsoku/>
        <w:wordWrap/>
        <w:overflowPunct/>
        <w:topLinePunct w:val="0"/>
        <w:autoSpaceDE/>
        <w:autoSpaceDN/>
        <w:bidi w:val="0"/>
        <w:adjustRightInd/>
        <w:snapToGrid w:val="0"/>
        <w:ind w:firstLine="640" w:firstLineChars="200"/>
        <w:textAlignment w:val="auto"/>
        <w:rPr>
          <w:rFonts w:hint="default" w:ascii="方正小标宋简体" w:hAnsi="方正小标宋简体" w:eastAsia="方正小标宋简体" w:cs="方正小标宋简体"/>
          <w:kern w:val="2"/>
          <w:sz w:val="32"/>
          <w:szCs w:val="32"/>
          <w:lang w:val="en-US" w:eastAsia="zh-CN" w:bidi="ar-SA"/>
        </w:rPr>
      </w:pPr>
      <w:r>
        <w:rPr>
          <w:rFonts w:hint="eastAsia" w:ascii="方正小标宋简体" w:hAnsi="方正小标宋简体" w:eastAsia="方正小标宋简体" w:cs="方正小标宋简体"/>
          <w:kern w:val="2"/>
          <w:sz w:val="32"/>
          <w:szCs w:val="32"/>
          <w:lang w:val="en-US" w:eastAsia="zh-CN" w:bidi="ar-SA"/>
        </w:rPr>
        <w:t>项目主要绩效评价分析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lang w:val="en-US" w:eastAsia="zh-CN"/>
        </w:rPr>
        <w:t xml:space="preserve"> </w:t>
      </w:r>
      <w:r>
        <w:rPr>
          <w:rFonts w:hint="eastAsia" w:ascii="方正小标宋简体" w:hAnsi="方正小标宋简体" w:eastAsia="方正小标宋简体" w:cs="方正小标宋简体"/>
          <w:kern w:val="2"/>
          <w:sz w:val="28"/>
          <w:szCs w:val="28"/>
          <w:lang w:val="en-US" w:eastAsia="zh-CN" w:bidi="ar-SA"/>
        </w:rPr>
        <w:t xml:space="preserve"> 通过项目的实施经济效益、生态效益、社会效益都得到改善。项目通过科学规划、合理布局宜改则改、宜造则造，项目后续跟进。通过项目的实施大经材根系发达，改变土壤结构，林冠密集能保持水土、涵养水源，调节气候、净化空气，发挥森林林分质量。</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840" w:firstLineChars="300"/>
        <w:jc w:val="left"/>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1.经济效益：该项目的实施建立增加了国家税收，提高了相关民众的就业与产业收入。为社会提供了劳动就业，为国家和地方提供更多的木材资源，有效的保护好水文、文化环境，为人民提供舒适的环境。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outlineLvl w:val="9"/>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 xml:space="preserve"> 2.生态效益 ：一是有效提高了森林林分质量，对于维护我场林业生态系统的完整性、稳定性、自然性与多样性有的不可估量的作用，主要表现在涵养水分、改良土壤、固碳释氧、净化大气、森林防护、生物多样性及生态保护方面发挥巨大作用，从而更好地保护生态系统，并促进生态功能的更好发挥。二是随着收入增加反哺项目区的保护管理工作，进一步提高项目区的管理水平和能力，更好地保护项目区的生态系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40" w:firstLineChars="300"/>
        <w:jc w:val="left"/>
        <w:textAlignment w:val="auto"/>
        <w:outlineLvl w:val="9"/>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3.社会效益：逐步提高群众生态环境保护意识，提高全社会生态环境建设重要性的认识，同时给周边的广大人民群众带来实惠，强化生态意识，绿化意识和环境意识。基地项目的实施可以积极探索和总结生态文明，同时为华容的生态文明建设添砖加瓦，在一定程度上改变华容经济形态，推动华容经济总体发展。</w:t>
      </w:r>
    </w:p>
    <w:p>
      <w:pPr>
        <w:pStyle w:val="5"/>
        <w:keepNext w:val="0"/>
        <w:keepLines w:val="0"/>
        <w:pageBreakBefore w:val="0"/>
        <w:widowControl w:val="0"/>
        <w:numPr>
          <w:ilvl w:val="0"/>
          <w:numId w:val="5"/>
        </w:numPr>
        <w:kinsoku/>
        <w:wordWrap/>
        <w:overflowPunct/>
        <w:topLinePunct w:val="0"/>
        <w:autoSpaceDE/>
        <w:autoSpaceDN/>
        <w:bidi w:val="0"/>
        <w:adjustRightInd/>
        <w:snapToGrid w:val="0"/>
        <w:ind w:firstLine="640" w:firstLineChars="200"/>
        <w:textAlignment w:val="auto"/>
        <w:rPr>
          <w:rFonts w:hint="default"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32"/>
          <w:szCs w:val="32"/>
          <w:lang w:val="en-US" w:eastAsia="zh-CN" w:bidi="ar-SA"/>
        </w:rPr>
        <w:t>主要经验及做法、存在问题及建议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outlineLvl w:val="9"/>
        <w:rPr>
          <w:rFonts w:hint="default"/>
          <w:lang w:val="en-US" w:eastAsia="zh-CN"/>
        </w:rPr>
      </w:pPr>
      <w:r>
        <w:rPr>
          <w:rFonts w:hint="eastAsia" w:ascii="方正小标宋简体" w:hAnsi="方正小标宋简体" w:eastAsia="方正小标宋简体" w:cs="方正小标宋简体"/>
          <w:kern w:val="2"/>
          <w:sz w:val="28"/>
          <w:szCs w:val="28"/>
          <w:lang w:val="en-US" w:eastAsia="zh-CN" w:bidi="ar-SA"/>
        </w:rPr>
        <w:t>我场十分重视项目的全过程，为保障国家木材储备林项目的顺利进行。项目实施过程中我场成立了以场长为组长，分管副场长为副组长，营林生产股、计财股、办公室、资源管理股为成员的项目领导小组；严格落实各工区负责木材储备基地建设的项目施工。同时我场有多年的杉木大径材培育经验，并与湖南省林业科学院合作，在遗传改良、测土配方、密度调节、修枝强度及时间、施肥种类及用量方面技术及理论知识雄厚，不择不扣的完成了项目建设任务，切实提高了培育质量。</w:t>
      </w:r>
      <w:r>
        <w:rPr>
          <w:rFonts w:hint="eastAsia"/>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outlineLvl w:val="9"/>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存在问题及原因：</w:t>
      </w:r>
    </w:p>
    <w:p>
      <w:pPr>
        <w:pStyle w:val="6"/>
        <w:shd w:val="clear" w:color="auto" w:fill="FFFFFF"/>
        <w:spacing w:before="0" w:beforeAutospacing="0" w:after="0" w:afterAutospacing="0" w:line="390" w:lineRule="atLeast"/>
        <w:ind w:firstLine="560" w:firstLineChars="200"/>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木材储备基地建设的项目是一个长期、持续的过程，项目期间投入大，项目过程收效慢，涉及资金庞大，面积较广。林场自有资金不足，国家补助资金比率少，自筹资金比例太大。给林场太大的资金压力。因此为实现森林可持续经营，促进国有林区经济社会协调发展。希望政府加大对林场建设的投入。</w:t>
      </w:r>
    </w:p>
    <w:p>
      <w:pPr>
        <w:keepNext w:val="0"/>
        <w:keepLines w:val="0"/>
        <w:pageBreakBefore w:val="0"/>
        <w:widowControl w:val="0"/>
        <w:kinsoku/>
        <w:wordWrap/>
        <w:overflowPunct/>
        <w:topLinePunct w:val="0"/>
        <w:autoSpaceDE/>
        <w:autoSpaceDN/>
        <w:bidi w:val="0"/>
        <w:adjustRightInd/>
        <w:snapToGrid/>
        <w:textAlignment w:val="auto"/>
        <w:rPr>
          <w:rFonts w:hint="eastAsia" w:ascii="方正小标宋简体" w:hAnsi="方正小标宋简体" w:eastAsia="方正小标宋简体" w:cs="方正小标宋简体"/>
          <w:kern w:val="2"/>
          <w:sz w:val="28"/>
          <w:szCs w:val="28"/>
          <w:lang w:val="en-US" w:eastAsia="zh-CN" w:bidi="ar-SA"/>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spacing w:line="240" w:lineRule="auto"/>
        <w:ind w:firstLine="0" w:firstLineChars="0"/>
        <w:jc w:val="left"/>
        <w:outlineLvl w:val="0"/>
        <w:rPr>
          <w:rFonts w:hint="eastAsia" w:ascii="Times New Roman" w:hAnsi="Times New Roman" w:eastAsia="黑体" w:cs="Times New Roman"/>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7"/>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2021年度中央预算内林业基本建设投资木材战略储备</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项目资金</w:t>
            </w:r>
            <w:r>
              <w:rPr>
                <w:rFonts w:hint="default" w:ascii="Times New Roman" w:hAnsi="Times New Roman" w:eastAsia="仿宋_GB2312" w:cs="Times New Roman"/>
                <w:color w:val="000000"/>
                <w:sz w:val="20"/>
                <w:szCs w:val="20"/>
              </w:rPr>
              <w:br w:type="textWrapping"/>
            </w:r>
            <w:r>
              <w:rPr>
                <w:rFonts w:hint="default" w:ascii="Times New Roman" w:hAnsi="Times New Roman" w:eastAsia="仿宋_GB2312" w:cs="Times New Roman"/>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120万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120万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120万</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120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120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trHeight w:val="475"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2021-2022实施现杉木纯林体质改培1500亩</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2021-2022实施现杉木纯林体质改培1500亩</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sz w:val="21"/>
                <w:szCs w:val="21"/>
                <w:lang w:val="en-US" w:eastAsia="zh-CN"/>
              </w:rPr>
              <w:t>木材战略储备基地建设任务</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1500亩</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sz w:val="21"/>
                <w:szCs w:val="21"/>
                <w:lang w:val="en-US" w:eastAsia="zh-CN"/>
              </w:rPr>
              <w:t>任务完成率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1500亩</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95%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2021-2022年实施杉木改培1500亩</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按规划年度完成计划任务</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eastAsia="zh-CN"/>
              </w:rPr>
              <w:t>中央财政投资</w:t>
            </w:r>
            <w:r>
              <w:rPr>
                <w:rFonts w:hint="eastAsia" w:eastAsia="仿宋_GB2312" w:cs="Times New Roman"/>
                <w:color w:val="000000"/>
                <w:sz w:val="20"/>
                <w:szCs w:val="20"/>
                <w:lang w:val="en-US" w:eastAsia="zh-CN"/>
              </w:rPr>
              <w:t>120万元</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800/亩</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120万</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增加森林资源价值</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120万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120万</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促进旅游发展增加经济收入</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80万元</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50万</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8</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提</w:t>
            </w:r>
            <w:r>
              <w:rPr>
                <w:rFonts w:hint="eastAsia" w:eastAsia="仿宋_GB2312" w:cs="Times New Roman"/>
                <w:color w:val="000000"/>
                <w:sz w:val="20"/>
                <w:szCs w:val="20"/>
                <w:lang w:val="en-US" w:eastAsia="zh-CN"/>
              </w:rPr>
              <w:t>供民</w:t>
            </w:r>
            <w:r>
              <w:rPr>
                <w:rFonts w:hint="eastAsia" w:eastAsia="仿宋_GB2312" w:cs="Times New Roman"/>
                <w:color w:val="000000"/>
                <w:sz w:val="20"/>
                <w:szCs w:val="20"/>
                <w:lang w:eastAsia="zh-CN"/>
              </w:rPr>
              <w:t>众参与项目就业</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6000个工时</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有效提高森林林分质量</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效果显著</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生态环境质量改善明显提高</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效果显著</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4</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影响指标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增加森林覆盖了</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改善环境质量、提高生态效益。</w:t>
            </w:r>
          </w:p>
        </w:tc>
        <w:tc>
          <w:tcPr>
            <w:tcW w:w="11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仿宋_GB2312" w:hAnsi="仿宋_GB2312" w:eastAsia="仿宋_GB2312" w:cs="仿宋_GB2312"/>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微软雅黑" w:hAnsi="微软雅黑" w:eastAsia="微软雅黑" w:cs="微软雅黑"/>
                <w:color w:val="000000"/>
                <w:sz w:val="20"/>
                <w:szCs w:val="20"/>
              </w:rPr>
              <w:t>&gt;=</w:t>
            </w:r>
            <w:r>
              <w:rPr>
                <w:rFonts w:hint="eastAsia" w:ascii="仿宋_GB2312" w:hAnsi="仿宋_GB2312" w:eastAsia="仿宋_GB2312" w:cs="仿宋_GB2312"/>
                <w:color w:val="000000"/>
                <w:sz w:val="20"/>
                <w:szCs w:val="20"/>
                <w:lang w:val="en-US" w:eastAsia="zh-CN"/>
              </w:rPr>
              <w:t>20年</w:t>
            </w:r>
          </w:p>
        </w:tc>
        <w:tc>
          <w:tcPr>
            <w:tcW w:w="11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48" w:hRule="atLeast"/>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群众满意</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满意</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90%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rPr>
          <w:rFonts w:hint="eastAsia" w:ascii="新宋体" w:hAnsi="新宋体" w:eastAsia="新宋体" w:cs="新宋体"/>
          <w:sz w:val="21"/>
          <w:szCs w:val="21"/>
          <w:lang w:eastAsia="zh-CN"/>
        </w:rPr>
      </w:pPr>
      <w:r>
        <w:rPr>
          <w:rFonts w:hint="eastAsia" w:ascii="新宋体" w:hAnsi="新宋体" w:eastAsia="新宋体" w:cs="新宋体"/>
          <w:sz w:val="21"/>
          <w:szCs w:val="21"/>
        </w:rPr>
        <w:t>备注：一个一级项目支出一张表。</w:t>
      </w:r>
      <w:r>
        <w:rPr>
          <w:rFonts w:hint="eastAsia" w:ascii="新宋体" w:hAnsi="新宋体" w:eastAsia="新宋体" w:cs="新宋体"/>
          <w:sz w:val="21"/>
          <w:szCs w:val="21"/>
          <w:lang w:eastAsia="zh-CN"/>
        </w:rPr>
        <w:t>如，</w:t>
      </w:r>
      <w:r>
        <w:rPr>
          <w:rFonts w:hint="eastAsia" w:ascii="新宋体" w:hAnsi="新宋体" w:eastAsia="新宋体" w:cs="新宋体"/>
          <w:sz w:val="21"/>
          <w:szCs w:val="21"/>
        </w:rPr>
        <w:t>业务工作经费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运行维护经费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lang w:val="en-US" w:eastAsia="zh-CN"/>
        </w:rPr>
        <w:t>XX项目</w:t>
      </w:r>
      <w:r>
        <w:rPr>
          <w:rFonts w:hint="eastAsia" w:ascii="新宋体" w:hAnsi="新宋体" w:eastAsia="新宋体" w:cs="新宋体"/>
          <w:sz w:val="21"/>
          <w:szCs w:val="21"/>
          <w:lang w:eastAsia="zh-CN"/>
        </w:rPr>
        <w:t>资金…各一张表。</w:t>
      </w:r>
    </w:p>
    <w:p>
      <w:pPr>
        <w:pStyle w:val="5"/>
        <w:rPr>
          <w:rFonts w:hint="eastAsia"/>
        </w:rPr>
      </w:pPr>
    </w:p>
    <w:p>
      <w:pPr>
        <w:rPr>
          <w:rFonts w:hint="eastAsia"/>
        </w:rPr>
      </w:pPr>
    </w:p>
    <w:p>
      <w:pPr>
        <w:jc w:val="left"/>
        <w:rPr>
          <w:rFonts w:hint="default" w:ascii="新宋体" w:hAnsi="新宋体" w:eastAsia="新宋体" w:cs="新宋体"/>
          <w:sz w:val="21"/>
          <w:szCs w:val="21"/>
          <w:lang w:val="en-US" w:eastAsia="zh-CN"/>
        </w:rPr>
      </w:pPr>
      <w:r>
        <w:rPr>
          <w:rFonts w:hint="eastAsia" w:ascii="新宋体" w:hAnsi="新宋体" w:eastAsia="新宋体" w:cs="新宋体"/>
          <w:sz w:val="21"/>
          <w:szCs w:val="21"/>
        </w:rPr>
        <w:t>填表人：</w:t>
      </w:r>
      <w:r>
        <w:rPr>
          <w:rFonts w:hint="eastAsia" w:ascii="新宋体" w:hAnsi="新宋体" w:eastAsia="新宋体" w:cs="新宋体"/>
          <w:sz w:val="21"/>
          <w:szCs w:val="21"/>
          <w:lang w:val="en-US" w:eastAsia="zh-CN"/>
        </w:rPr>
        <w:t>吴珊</w:t>
      </w:r>
      <w:r>
        <w:rPr>
          <w:rFonts w:hint="eastAsia" w:ascii="新宋体" w:hAnsi="新宋体" w:eastAsia="新宋体" w:cs="新宋体"/>
          <w:sz w:val="21"/>
          <w:szCs w:val="21"/>
        </w:rPr>
        <w:t xml:space="preserve">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填报日期：</w:t>
      </w:r>
      <w:r>
        <w:rPr>
          <w:rFonts w:hint="eastAsia" w:ascii="新宋体" w:hAnsi="新宋体" w:eastAsia="新宋体" w:cs="新宋体"/>
          <w:sz w:val="21"/>
          <w:szCs w:val="21"/>
          <w:lang w:val="en-US" w:eastAsia="zh-CN"/>
        </w:rPr>
        <w:t>2023年7月13日</w:t>
      </w:r>
      <w:r>
        <w:rPr>
          <w:rFonts w:hint="eastAsia" w:ascii="新宋体" w:hAnsi="新宋体" w:eastAsia="新宋体" w:cs="新宋体"/>
          <w:sz w:val="21"/>
          <w:szCs w:val="21"/>
        </w:rPr>
        <w:t xml:space="preserve"> 联系电话：</w:t>
      </w:r>
      <w:r>
        <w:rPr>
          <w:rFonts w:hint="eastAsia" w:ascii="新宋体" w:hAnsi="新宋体" w:eastAsia="新宋体" w:cs="新宋体"/>
          <w:sz w:val="21"/>
          <w:szCs w:val="21"/>
          <w:lang w:val="en-US" w:eastAsia="zh-CN"/>
        </w:rPr>
        <w:t>13974066720</w:t>
      </w:r>
      <w:r>
        <w:rPr>
          <w:rFonts w:hint="eastAsia" w:ascii="新宋体" w:hAnsi="新宋体" w:eastAsia="新宋体" w:cs="新宋体"/>
          <w:sz w:val="21"/>
          <w:szCs w:val="21"/>
        </w:rPr>
        <w:t xml:space="preserve">   单位负责人签字：</w:t>
      </w:r>
      <w:r>
        <w:rPr>
          <w:rFonts w:hint="eastAsia" w:ascii="新宋体" w:hAnsi="新宋体" w:eastAsia="新宋体" w:cs="新宋体"/>
          <w:sz w:val="21"/>
          <w:szCs w:val="21"/>
          <w:lang w:val="en-US" w:eastAsia="zh-CN"/>
        </w:rPr>
        <w:t>李军球</w:t>
      </w:r>
    </w:p>
    <w:p>
      <w:pPr>
        <w:spacing w:line="240" w:lineRule="auto"/>
        <w:ind w:firstLine="0" w:firstLineChars="0"/>
        <w:jc w:val="left"/>
        <w:outlineLvl w:val="0"/>
        <w:rPr>
          <w:rFonts w:hint="eastAsia" w:ascii="新宋体" w:hAnsi="新宋体" w:eastAsia="新宋体" w:cs="新宋体"/>
          <w:sz w:val="21"/>
          <w:szCs w:val="21"/>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w:t>
      </w:r>
      <w:r>
        <w:rPr>
          <w:rFonts w:hint="eastAsia" w:ascii="方正小标宋简体" w:hAnsi="方正小标宋简体" w:eastAsia="方正小标宋简体" w:cs="方正小标宋简体"/>
          <w:sz w:val="44"/>
          <w:szCs w:val="44"/>
          <w:lang w:val="en-US" w:eastAsia="zh-CN"/>
        </w:rPr>
        <w:t>中央预算内林业基本建设投资木材战略储备</w:t>
      </w:r>
      <w:r>
        <w:rPr>
          <w:rFonts w:hint="eastAsia" w:ascii="方正小标宋简体" w:hAnsi="方正小标宋简体" w:eastAsia="方正小标宋简体" w:cs="方正小标宋简体"/>
          <w:sz w:val="44"/>
          <w:szCs w:val="44"/>
          <w:lang w:eastAsia="zh-CN"/>
        </w:rPr>
        <w:t>项目支出</w:t>
      </w:r>
    </w:p>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绩效自评报告</w:t>
      </w:r>
    </w:p>
    <w:p>
      <w:pPr>
        <w:rPr>
          <w:rFonts w:hint="eastAsia"/>
          <w:lang w:val="en-US" w:eastAsia="zh-CN"/>
        </w:rPr>
      </w:pPr>
    </w:p>
    <w:p>
      <w:pPr>
        <w:pStyle w:val="5"/>
        <w:keepNext w:val="0"/>
        <w:keepLines w:val="0"/>
        <w:pageBreakBefore w:val="0"/>
        <w:widowControl w:val="0"/>
        <w:numPr>
          <w:ilvl w:val="0"/>
          <w:numId w:val="7"/>
        </w:numPr>
        <w:kinsoku/>
        <w:wordWrap/>
        <w:overflowPunct/>
        <w:topLinePunct w:val="0"/>
        <w:autoSpaceDE/>
        <w:autoSpaceDN/>
        <w:bidi w:val="0"/>
        <w:adjustRightInd/>
        <w:snapToGrid w:val="0"/>
        <w:ind w:left="0" w:leftChars="0" w:firstLine="420" w:firstLineChars="0"/>
        <w:textAlignment w:val="auto"/>
        <w:rPr>
          <w:rFonts w:hint="eastAsia" w:ascii="方正小标宋简体" w:hAnsi="方正小标宋简体" w:eastAsia="方正小标宋简体" w:cs="方正小标宋简体"/>
          <w:kern w:val="2"/>
          <w:sz w:val="32"/>
          <w:szCs w:val="32"/>
          <w:lang w:val="en-US" w:eastAsia="zh-CN" w:bidi="ar-SA"/>
        </w:rPr>
      </w:pPr>
      <w:r>
        <w:rPr>
          <w:rFonts w:hint="eastAsia" w:ascii="方正小标宋简体" w:hAnsi="方正小标宋简体" w:eastAsia="方正小标宋简体" w:cs="方正小标宋简体"/>
          <w:kern w:val="2"/>
          <w:sz w:val="32"/>
          <w:szCs w:val="32"/>
          <w:lang w:val="en-US" w:eastAsia="zh-CN" w:bidi="ar-SA"/>
        </w:rPr>
        <w:t>基本情况</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（一）项目概况</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方正小标宋简体" w:hAnsi="方正小标宋简体" w:eastAsia="方正小标宋简体" w:cs="方正小标宋简体"/>
          <w:kern w:val="2"/>
          <w:sz w:val="32"/>
          <w:szCs w:val="32"/>
          <w:lang w:val="en-US" w:eastAsia="zh-CN" w:bidi="ar-SA"/>
        </w:rPr>
      </w:pPr>
      <w:r>
        <w:rPr>
          <w:rFonts w:hint="eastAsia" w:ascii="方正小标宋简体" w:hAnsi="方正小标宋简体" w:eastAsia="方正小标宋简体" w:cs="方正小标宋简体"/>
          <w:kern w:val="2"/>
          <w:sz w:val="28"/>
          <w:szCs w:val="28"/>
          <w:lang w:val="en-US" w:eastAsia="zh-CN" w:bidi="ar-SA"/>
        </w:rPr>
        <w:t>为坚持生态林业和民生林业为总目标，以资源双增为核心，以优化机构，提高质量为主线，以建设珍惜树种资源战略储备提高林业生态保护，实现森林可持续发展。全面实施以生态文明建设为主体的林业发展战略，增加活立储备，建设集约化、标准化、规模化的国家木材战略储备基地。我场实施完成现有林改培任务，2021-2022年实现杉木纯林提质改培1500亩，中央财政投资该项目资金120万元。</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（二）资金投入及使用情况</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由于该项目具有长期性、公益性和战略性特点。中央财政下达该项目投入资金120万元，湘财建指【2021】128号、华财建指〔2021〕0022号，于2022年1月28日拨付到位。主要用于对改培项目林分采取割灌除草、修枝、抚育间伐和施肥等综合技术措施，调整林分组织，提高林地土壤肥力，改善林地、林木生长条件；提高林地质量培育优质。高效的珍惜树种用材，实现木材储备生产基地的立木培育目标和蓄积储备功能。实施纯木提质改培1500亩，该项目严格按照专项资金管理办法财政以专项预算资金计划指标划拨到我场财务系统中，做到专款专用，挪用专项资金。</w:t>
      </w:r>
    </w:p>
    <w:p>
      <w:pPr>
        <w:keepNext w:val="0"/>
        <w:keepLines w:val="0"/>
        <w:pageBreakBefore w:val="0"/>
        <w:widowControl w:val="0"/>
        <w:numPr>
          <w:ilvl w:val="0"/>
          <w:numId w:val="0"/>
        </w:numPr>
        <w:kinsoku/>
        <w:wordWrap/>
        <w:overflowPunct/>
        <w:topLinePunct w:val="0"/>
        <w:autoSpaceDE/>
        <w:autoSpaceDN/>
        <w:bidi w:val="0"/>
        <w:adjustRightInd/>
        <w:snapToGrid/>
        <w:ind w:leftChars="100"/>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（三）项目绩效目标</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jc w:val="both"/>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根据项目建设内容和我场实际情况，按照储备林基地建设模式和技术标准，确定我场国家储备林基地建设方向。一是与湖南林业科学院开展技术合作，积极推广珍惜树种培育技术的先进成果。二是加大集约经营模式建立优质杉木大径材定向培育和珍惜木材可持续经营模式。三是积极推广造林机械使用力度，提高生产效率。四是组织工程技术人员和生产人员开展技术培训。</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jc w:val="both"/>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分步骤作业完成：1、林地清理在10-12月分完成。2、10-11月完成抚育间伐。3、1-4月完成修枝整形。4、1-3月完成补植幼苗。5、6-7月完成培兜抚育。</w:t>
      </w:r>
    </w:p>
    <w:p>
      <w:pPr>
        <w:pStyle w:val="5"/>
        <w:keepNext w:val="0"/>
        <w:keepLines w:val="0"/>
        <w:pageBreakBefore w:val="0"/>
        <w:widowControl w:val="0"/>
        <w:numPr>
          <w:ilvl w:val="0"/>
          <w:numId w:val="7"/>
        </w:numPr>
        <w:kinsoku/>
        <w:wordWrap/>
        <w:overflowPunct/>
        <w:topLinePunct w:val="0"/>
        <w:autoSpaceDE/>
        <w:autoSpaceDN/>
        <w:bidi w:val="0"/>
        <w:adjustRightInd/>
        <w:snapToGrid w:val="0"/>
        <w:ind w:left="0" w:leftChars="0" w:firstLine="420" w:firstLineChars="0"/>
        <w:textAlignment w:val="auto"/>
        <w:rPr>
          <w:rFonts w:hint="default" w:ascii="方正小标宋简体" w:hAnsi="方正小标宋简体" w:eastAsia="方正小标宋简体" w:cs="方正小标宋简体"/>
          <w:kern w:val="2"/>
          <w:sz w:val="32"/>
          <w:szCs w:val="32"/>
          <w:lang w:val="en-US" w:eastAsia="zh-CN" w:bidi="ar-SA"/>
        </w:rPr>
      </w:pPr>
      <w:r>
        <w:rPr>
          <w:rFonts w:hint="eastAsia" w:ascii="方正小标宋简体" w:hAnsi="方正小标宋简体" w:eastAsia="方正小标宋简体" w:cs="方正小标宋简体"/>
          <w:kern w:val="2"/>
          <w:sz w:val="32"/>
          <w:szCs w:val="32"/>
          <w:lang w:val="en-US" w:eastAsia="zh-CN" w:bidi="ar-SA"/>
        </w:rPr>
        <w:t>绩效评价工作开展情况</w:t>
      </w:r>
    </w:p>
    <w:p>
      <w:pPr>
        <w:keepNext w:val="0"/>
        <w:keepLines w:val="0"/>
        <w:pageBreakBefore w:val="0"/>
        <w:widowControl w:val="0"/>
        <w:numPr>
          <w:ilvl w:val="0"/>
          <w:numId w:val="8"/>
        </w:numPr>
        <w:kinsoku/>
        <w:wordWrap/>
        <w:overflowPunct/>
        <w:topLinePunct w:val="0"/>
        <w:autoSpaceDE/>
        <w:autoSpaceDN/>
        <w:bidi w:val="0"/>
        <w:adjustRightInd/>
        <w:snapToGrid/>
        <w:ind w:left="0" w:leftChars="0" w:firstLine="420" w:firstLineChars="0"/>
        <w:textAlignment w:val="auto"/>
        <w:rPr>
          <w:rFonts w:hint="eastAsia"/>
          <w:lang w:val="en-US" w:eastAsia="zh-CN"/>
        </w:rPr>
      </w:pPr>
      <w:r>
        <w:rPr>
          <w:rFonts w:hint="eastAsia" w:ascii="方正小标宋简体" w:hAnsi="方正小标宋简体" w:eastAsia="方正小标宋简体" w:cs="方正小标宋简体"/>
          <w:kern w:val="2"/>
          <w:sz w:val="28"/>
          <w:szCs w:val="28"/>
          <w:lang w:val="en-US" w:eastAsia="zh-CN" w:bidi="ar-SA"/>
        </w:rPr>
        <w:t>绩效评价目的、对象和范围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严格督促项目实施和资金使用情况，切实发挥好财政资金使用效益，确保资金使用依法、规范、安全、高效。通过项目实施充分利用林地，实行林地一地多用，将短期效益与长期效益相结合。提高林场木材改培储备任务，实现森林资源可持续发展，努力为林场高质量发展提供保障。</w:t>
      </w:r>
    </w:p>
    <w:p>
      <w:pPr>
        <w:pStyle w:val="5"/>
        <w:rPr>
          <w:rFonts w:hint="default"/>
          <w:lang w:val="en-US" w:eastAsia="zh-CN"/>
        </w:rPr>
      </w:pPr>
    </w:p>
    <w:p>
      <w:pPr>
        <w:keepNext w:val="0"/>
        <w:keepLines w:val="0"/>
        <w:pageBreakBefore w:val="0"/>
        <w:widowControl w:val="0"/>
        <w:numPr>
          <w:ilvl w:val="0"/>
          <w:numId w:val="8"/>
        </w:numPr>
        <w:kinsoku/>
        <w:wordWrap/>
        <w:overflowPunct/>
        <w:topLinePunct w:val="0"/>
        <w:autoSpaceDE/>
        <w:autoSpaceDN/>
        <w:bidi w:val="0"/>
        <w:adjustRightInd/>
        <w:snapToGrid/>
        <w:ind w:left="0" w:leftChars="0" w:firstLine="420" w:firstLineChars="0"/>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绩效评价原则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本次绩效评价本着科学规范原则。绩效评价注重财政支出的效率性和有效性，严格执行规定的程序。公正公开原则，绩效评价客观公正。</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420" w:leftChars="0"/>
        <w:jc w:val="both"/>
        <w:textAlignment w:val="auto"/>
        <w:rPr>
          <w:rFonts w:hint="default" w:ascii="方正小标宋简体" w:hAnsi="方正小标宋简体" w:eastAsia="方正小标宋简体" w:cs="方正小标宋简体"/>
          <w:kern w:val="2"/>
          <w:sz w:val="32"/>
          <w:szCs w:val="32"/>
          <w:lang w:val="en-US" w:eastAsia="zh-CN" w:bidi="ar-SA"/>
        </w:rPr>
      </w:pPr>
      <w:r>
        <w:rPr>
          <w:rFonts w:hint="eastAsia" w:ascii="方正小标宋简体" w:hAnsi="方正小标宋简体" w:eastAsia="方正小标宋简体" w:cs="方正小标宋简体"/>
          <w:kern w:val="2"/>
          <w:sz w:val="32"/>
          <w:szCs w:val="32"/>
          <w:lang w:val="en-US" w:eastAsia="zh-CN" w:bidi="ar-SA"/>
        </w:rPr>
        <w:t>三、综合评价情况及结论</w:t>
      </w:r>
    </w:p>
    <w:p>
      <w:pPr>
        <w:keepNext w:val="0"/>
        <w:keepLines w:val="0"/>
        <w:pageBreakBefore w:val="0"/>
        <w:widowControl w:val="0"/>
        <w:tabs>
          <w:tab w:val="left" w:pos="4170"/>
        </w:tabs>
        <w:kinsoku/>
        <w:wordWrap/>
        <w:overflowPunct/>
        <w:topLinePunct w:val="0"/>
        <w:autoSpaceDE/>
        <w:autoSpaceDN/>
        <w:bidi w:val="0"/>
        <w:adjustRightInd/>
        <w:snapToGrid/>
        <w:spacing w:line="360" w:lineRule="auto"/>
        <w:ind w:firstLine="560" w:firstLineChars="200"/>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随着项目的实施，后续工作的推进。对国家木材战略储备资源培育，保护生物多样性，缓解木材供需的结构性矛盾，保障国家木材安全有重要意义。为全面实施以生态文明建设为主的林业发展战略，增加活立木储备，建设集约化、规模化、标准化的国家木材战略储备基地，实现森林可持续经营，促进国有林区经济社会协调发展起到不可替代的作用。</w:t>
      </w:r>
    </w:p>
    <w:p>
      <w:pPr>
        <w:pStyle w:val="5"/>
        <w:keepNext w:val="0"/>
        <w:keepLines w:val="0"/>
        <w:pageBreakBefore w:val="0"/>
        <w:widowControl w:val="0"/>
        <w:numPr>
          <w:ilvl w:val="0"/>
          <w:numId w:val="0"/>
        </w:numPr>
        <w:kinsoku/>
        <w:wordWrap/>
        <w:overflowPunct/>
        <w:topLinePunct w:val="0"/>
        <w:autoSpaceDE/>
        <w:autoSpaceDN/>
        <w:bidi w:val="0"/>
        <w:adjustRightInd/>
        <w:snapToGrid w:val="0"/>
        <w:ind w:left="420" w:leftChars="0"/>
        <w:textAlignment w:val="auto"/>
        <w:rPr>
          <w:rFonts w:hint="default" w:ascii="方正小标宋简体" w:hAnsi="方正小标宋简体" w:eastAsia="方正小标宋简体" w:cs="方正小标宋简体"/>
          <w:kern w:val="2"/>
          <w:sz w:val="32"/>
          <w:szCs w:val="32"/>
          <w:lang w:val="en-US" w:eastAsia="zh-CN" w:bidi="ar-SA"/>
        </w:rPr>
      </w:pPr>
      <w:r>
        <w:rPr>
          <w:rFonts w:hint="eastAsia" w:ascii="方正小标宋简体" w:hAnsi="方正小标宋简体" w:eastAsia="方正小标宋简体" w:cs="方正小标宋简体"/>
          <w:kern w:val="2"/>
          <w:sz w:val="32"/>
          <w:szCs w:val="32"/>
          <w:lang w:val="en-US" w:eastAsia="zh-CN" w:bidi="ar-SA"/>
        </w:rPr>
        <w:t>四、项目主要绩效评价分析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lang w:val="en-US" w:eastAsia="zh-CN"/>
        </w:rPr>
        <w:t xml:space="preserve"> </w:t>
      </w:r>
      <w:r>
        <w:rPr>
          <w:rFonts w:hint="eastAsia" w:ascii="方正小标宋简体" w:hAnsi="方正小标宋简体" w:eastAsia="方正小标宋简体" w:cs="方正小标宋简体"/>
          <w:kern w:val="2"/>
          <w:sz w:val="28"/>
          <w:szCs w:val="28"/>
          <w:lang w:val="en-US" w:eastAsia="zh-CN" w:bidi="ar-SA"/>
        </w:rPr>
        <w:t xml:space="preserve"> 通过项目的实施经济效益、生态效益、社会效益都得到改善。项目通过科学规划、合理布局宜改则改、宜造则造，项目后续跟进。通过项目的实施大经材根系发达，改变土壤结构，林冠密集能保持水土、涵养水源，调节气候、净化空气，发挥森林林分质量。</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840" w:firstLineChars="300"/>
        <w:jc w:val="left"/>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1.经济效益：该项目的实施建立增加了国家税收，提高了相关民众的就业与产业收入。为社会提供了劳动就业，为国家和地方提供更多的木材资源，有效的保护好水文、文化环境，为人民提供舒适的环境。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outlineLvl w:val="9"/>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 xml:space="preserve"> 2.生态效益 ：一是有效提高了森林林分质量，对于维护我场林业生态系统的完整性、稳定性、自然性与多样性有的不可估量的作用，主要表现在涵养水分、改良土壤、固碳释氧、净化大气、森林防护、生物多样性及生态保护方面发挥巨大作用，从而更好地保护生态系统，并促进生态功能的更好发挥。二是随着收入增加反哺项目区的保护管理工作，进一步提高项目区的管理水平和能力，更好地保护项目区的生态系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40" w:firstLineChars="300"/>
        <w:jc w:val="left"/>
        <w:textAlignment w:val="auto"/>
        <w:outlineLvl w:val="9"/>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3.社会效益：逐步提高群众生态环境保护意识，提高全社会生态环境建设重要性的认识，同时给周边的广大人民群众带来实惠，强化生态意识，绿化意识和环境意识。基地项目的实施可以积极探索和总结生态文明，同时为华容的生态文明建设添砖加瓦，在一定程度上改变华容经济形态，推动华容经济总体发展。</w:t>
      </w:r>
    </w:p>
    <w:p>
      <w:pPr>
        <w:pStyle w:val="5"/>
        <w:keepNext w:val="0"/>
        <w:keepLines w:val="0"/>
        <w:pageBreakBefore w:val="0"/>
        <w:widowControl w:val="0"/>
        <w:numPr>
          <w:ilvl w:val="0"/>
          <w:numId w:val="0"/>
        </w:numPr>
        <w:kinsoku/>
        <w:wordWrap/>
        <w:overflowPunct/>
        <w:topLinePunct w:val="0"/>
        <w:autoSpaceDE/>
        <w:autoSpaceDN/>
        <w:bidi w:val="0"/>
        <w:adjustRightInd/>
        <w:snapToGrid w:val="0"/>
        <w:textAlignment w:val="auto"/>
        <w:rPr>
          <w:rFonts w:hint="default"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32"/>
          <w:szCs w:val="32"/>
          <w:lang w:val="en-US" w:eastAsia="zh-CN" w:bidi="ar-SA"/>
        </w:rPr>
        <w:t>五、主要经验及做法、存在问题及建议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outlineLvl w:val="9"/>
        <w:rPr>
          <w:rFonts w:hint="default"/>
          <w:lang w:val="en-US" w:eastAsia="zh-CN"/>
        </w:rPr>
      </w:pPr>
      <w:r>
        <w:rPr>
          <w:rFonts w:hint="eastAsia" w:ascii="方正小标宋简体" w:hAnsi="方正小标宋简体" w:eastAsia="方正小标宋简体" w:cs="方正小标宋简体"/>
          <w:kern w:val="2"/>
          <w:sz w:val="28"/>
          <w:szCs w:val="28"/>
          <w:lang w:val="en-US" w:eastAsia="zh-CN" w:bidi="ar-SA"/>
        </w:rPr>
        <w:t>我场十分重视项目的全过程，为保障国家木材储备林项目的顺利进行。项目实施过程中我场成立了以场长为组长，分管副场长为副组长，营林生产股、计财股、办公室、资源管理股为成员的项目领导小组；严格落实各工区负责木材储备基地建设的项目施工。同时我场有多年的杉木大径材培育经验，并与湖南省林业科学院合作，在遗传改良、测土配方、密度调节、修枝强度及时间、施肥种类及用量方面技术及理论知识雄厚，不择不扣的完成了项目建设任务，切实提高了培育质量。</w:t>
      </w:r>
      <w:r>
        <w:rPr>
          <w:rFonts w:hint="eastAsia"/>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outlineLvl w:val="9"/>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存在问题及原因：</w:t>
      </w:r>
    </w:p>
    <w:p>
      <w:pPr>
        <w:pStyle w:val="6"/>
        <w:shd w:val="clear" w:color="auto" w:fill="FFFFFF"/>
        <w:spacing w:before="0" w:beforeAutospacing="0" w:after="0" w:afterAutospacing="0" w:line="390" w:lineRule="atLeast"/>
        <w:ind w:firstLine="560" w:firstLineChars="200"/>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木材储备基地建设的项目是一个长期、持续的过程，项目期间投入大，项目过程收效慢，涉及资金庞大，面积较广。林场自有资金不足，国家补助资金比率少，自筹资金比例太大。给林场太大的资金压力。因此为实现森林可持续经营，促进国有林区经济社会协调发展。希望政府加大对林场建设的投入。</w:t>
      </w:r>
    </w:p>
    <w:p>
      <w:pPr>
        <w:spacing w:line="240" w:lineRule="auto"/>
        <w:ind w:firstLine="0" w:firstLineChars="0"/>
        <w:jc w:val="left"/>
        <w:outlineLvl w:val="0"/>
        <w:rPr>
          <w:rFonts w:hint="eastAsia" w:ascii="新宋体" w:hAnsi="新宋体" w:eastAsia="新宋体" w:cs="新宋体"/>
          <w:sz w:val="21"/>
          <w:szCs w:val="21"/>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spacing w:line="240" w:lineRule="auto"/>
        <w:ind w:firstLine="0" w:firstLineChars="0"/>
        <w:jc w:val="left"/>
        <w:outlineLvl w:val="0"/>
        <w:rPr>
          <w:rFonts w:hint="eastAsia" w:ascii="Times New Roman" w:hAnsi="Times New Roman" w:eastAsia="黑体" w:cs="Times New Roman"/>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7"/>
        <w:tblW w:w="9851" w:type="dxa"/>
        <w:jc w:val="center"/>
        <w:tblLayout w:type="autofit"/>
        <w:tblCellMar>
          <w:top w:w="0" w:type="dxa"/>
          <w:left w:w="108" w:type="dxa"/>
          <w:bottom w:w="0" w:type="dxa"/>
          <w:right w:w="108" w:type="dxa"/>
        </w:tblCellMar>
      </w:tblPr>
      <w:tblGrid>
        <w:gridCol w:w="1080"/>
        <w:gridCol w:w="733"/>
        <w:gridCol w:w="1199"/>
        <w:gridCol w:w="1452"/>
        <w:gridCol w:w="1221"/>
        <w:gridCol w:w="1047"/>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华容县塔市国有林场2020年度森林质量精准提升工程</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605"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47"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项目资金</w:t>
            </w:r>
            <w:r>
              <w:rPr>
                <w:rFonts w:hint="default" w:ascii="Times New Roman" w:hAnsi="Times New Roman" w:eastAsia="仿宋_GB2312" w:cs="Times New Roman"/>
                <w:color w:val="000000"/>
                <w:sz w:val="20"/>
                <w:szCs w:val="20"/>
              </w:rPr>
              <w:br w:type="textWrapping"/>
            </w:r>
            <w:r>
              <w:rPr>
                <w:rFonts w:hint="default" w:ascii="Times New Roman" w:hAnsi="Times New Roman" w:eastAsia="仿宋_GB2312" w:cs="Times New Roman"/>
                <w:color w:val="000000"/>
                <w:sz w:val="20"/>
                <w:szCs w:val="20"/>
              </w:rPr>
              <w:t>（万元）</w:t>
            </w:r>
          </w:p>
        </w:tc>
        <w:tc>
          <w:tcPr>
            <w:tcW w:w="1932"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22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047"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932"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w:t>
            </w:r>
          </w:p>
        </w:tc>
        <w:tc>
          <w:tcPr>
            <w:tcW w:w="14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p>
        </w:tc>
        <w:tc>
          <w:tcPr>
            <w:tcW w:w="122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100万</w:t>
            </w:r>
          </w:p>
        </w:tc>
        <w:tc>
          <w:tcPr>
            <w:tcW w:w="104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100万</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932"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w:t>
            </w:r>
          </w:p>
        </w:tc>
        <w:tc>
          <w:tcPr>
            <w:tcW w:w="14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p>
        </w:tc>
        <w:tc>
          <w:tcPr>
            <w:tcW w:w="122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100万</w:t>
            </w:r>
          </w:p>
        </w:tc>
        <w:tc>
          <w:tcPr>
            <w:tcW w:w="104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100万</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932"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w:t>
            </w:r>
          </w:p>
        </w:tc>
        <w:tc>
          <w:tcPr>
            <w:tcW w:w="14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4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932"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4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4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605"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166"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trHeight w:val="475"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4605"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实施森林质量精准提升2000亩</w:t>
            </w:r>
          </w:p>
        </w:tc>
        <w:tc>
          <w:tcPr>
            <w:tcW w:w="4166"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实施森林质量精准提升2000亩</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19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4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122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04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733"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199"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4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rPr>
            </w:pPr>
            <w:r>
              <w:rPr>
                <w:rFonts w:hint="eastAsia" w:eastAsia="仿宋_GB2312"/>
                <w:sz w:val="21"/>
                <w:szCs w:val="21"/>
                <w:lang w:val="en-US" w:eastAsia="zh-CN"/>
              </w:rPr>
              <w:t>森林精准质量提升2000亩</w:t>
            </w:r>
          </w:p>
        </w:tc>
        <w:tc>
          <w:tcPr>
            <w:tcW w:w="122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2000亩</w:t>
            </w:r>
          </w:p>
        </w:tc>
        <w:tc>
          <w:tcPr>
            <w:tcW w:w="104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2000亩</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733"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99"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4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4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733"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99"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4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22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4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733"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99"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4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sz w:val="21"/>
                <w:szCs w:val="21"/>
                <w:lang w:val="en-US" w:eastAsia="zh-CN"/>
              </w:rPr>
              <w:t>任务完成率</w:t>
            </w:r>
          </w:p>
        </w:tc>
        <w:tc>
          <w:tcPr>
            <w:tcW w:w="122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2000亩</w:t>
            </w:r>
          </w:p>
        </w:tc>
        <w:tc>
          <w:tcPr>
            <w:tcW w:w="104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2000亩</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733"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99"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4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规划设计要求</w:t>
            </w:r>
          </w:p>
        </w:tc>
        <w:tc>
          <w:tcPr>
            <w:tcW w:w="122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4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733"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99"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4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22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4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8</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733"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99"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4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p>
        </w:tc>
        <w:tc>
          <w:tcPr>
            <w:tcW w:w="122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p>
        </w:tc>
        <w:tc>
          <w:tcPr>
            <w:tcW w:w="104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733"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99"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4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项目年度</w:t>
            </w:r>
          </w:p>
        </w:tc>
        <w:tc>
          <w:tcPr>
            <w:tcW w:w="122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按项目年度完成任务</w:t>
            </w:r>
          </w:p>
        </w:tc>
        <w:tc>
          <w:tcPr>
            <w:tcW w:w="104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733"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99"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4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22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4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733"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99"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4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eastAsia="zh-CN"/>
              </w:rPr>
              <w:t>中央财政投资</w:t>
            </w:r>
            <w:r>
              <w:rPr>
                <w:rFonts w:hint="eastAsia" w:eastAsia="仿宋_GB2312" w:cs="Times New Roman"/>
                <w:color w:val="000000"/>
                <w:sz w:val="20"/>
                <w:szCs w:val="20"/>
                <w:lang w:val="en-US" w:eastAsia="zh-CN"/>
              </w:rPr>
              <w:t>100万元</w:t>
            </w:r>
          </w:p>
        </w:tc>
        <w:tc>
          <w:tcPr>
            <w:tcW w:w="122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100万元</w:t>
            </w:r>
          </w:p>
        </w:tc>
        <w:tc>
          <w:tcPr>
            <w:tcW w:w="104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500元/亩</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733"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99"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4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733"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99"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22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4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733"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199"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4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森林质量景观有效提高</w:t>
            </w:r>
          </w:p>
        </w:tc>
        <w:tc>
          <w:tcPr>
            <w:tcW w:w="122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100万</w:t>
            </w:r>
          </w:p>
        </w:tc>
        <w:tc>
          <w:tcPr>
            <w:tcW w:w="104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733"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99"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4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提供就业机会增加经济收入</w:t>
            </w:r>
          </w:p>
        </w:tc>
        <w:tc>
          <w:tcPr>
            <w:tcW w:w="122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5000个工时100万</w:t>
            </w:r>
          </w:p>
        </w:tc>
        <w:tc>
          <w:tcPr>
            <w:tcW w:w="104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733"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99"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4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22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4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733"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99"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4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增加社会劳动力用工，增加劳务工资</w:t>
            </w:r>
          </w:p>
        </w:tc>
        <w:tc>
          <w:tcPr>
            <w:tcW w:w="122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100万</w:t>
            </w:r>
          </w:p>
        </w:tc>
        <w:tc>
          <w:tcPr>
            <w:tcW w:w="104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733"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99"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4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4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733"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99"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4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22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4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733"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99"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4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林分质量提升，蓄积量提升，生物多样性更丰富</w:t>
            </w:r>
          </w:p>
        </w:tc>
        <w:tc>
          <w:tcPr>
            <w:tcW w:w="122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4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效果显著</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733"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99"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森林质量达到理想经营模式，防护功能明显增强，固碳能力不断加大</w:t>
            </w:r>
          </w:p>
        </w:tc>
        <w:tc>
          <w:tcPr>
            <w:tcW w:w="122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4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效果显著</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733"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99"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22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4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733"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99"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影响指标</w:t>
            </w:r>
          </w:p>
        </w:tc>
        <w:tc>
          <w:tcPr>
            <w:tcW w:w="14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增加森林覆盖了</w:t>
            </w:r>
          </w:p>
        </w:tc>
        <w:tc>
          <w:tcPr>
            <w:tcW w:w="12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733"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99"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5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宋体"/>
                <w:sz w:val="17"/>
                <w:lang w:eastAsia="zh-CN"/>
              </w:rPr>
              <w:t>最终形成异龄复层针阔混交林</w:t>
            </w:r>
          </w:p>
        </w:tc>
        <w:tc>
          <w:tcPr>
            <w:tcW w:w="122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4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ascii="微软雅黑" w:hAnsi="微软雅黑" w:eastAsia="微软雅黑" w:cs="微软雅黑"/>
                <w:sz w:val="17"/>
              </w:rPr>
              <w:t>≥</w:t>
            </w:r>
            <w:r>
              <w:rPr>
                <w:rFonts w:hint="eastAsia" w:eastAsia="微软雅黑"/>
                <w:sz w:val="17"/>
                <w:lang w:val="en-US" w:eastAsia="zh-CN"/>
              </w:rPr>
              <w:t>20年</w:t>
            </w:r>
          </w:p>
        </w:tc>
        <w:tc>
          <w:tcPr>
            <w:tcW w:w="82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733"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99"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w:t>
            </w:r>
            <w:r>
              <w:rPr>
                <w:rFonts w:hint="eastAsia" w:eastAsia="仿宋_GB2312" w:cs="Times New Roman"/>
                <w:color w:val="000000"/>
                <w:sz w:val="20"/>
                <w:szCs w:val="20"/>
                <w:lang w:val="en-US" w:eastAsia="zh-CN"/>
              </w:rPr>
              <w:t>防风固沙、涵养水源改善生态环境</w:t>
            </w:r>
          </w:p>
        </w:tc>
        <w:tc>
          <w:tcPr>
            <w:tcW w:w="122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4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ascii="微软雅黑" w:hAnsi="微软雅黑" w:eastAsia="微软雅黑" w:cs="微软雅黑"/>
                <w:sz w:val="17"/>
              </w:rPr>
              <w:t>≥</w:t>
            </w:r>
            <w:r>
              <w:rPr>
                <w:rFonts w:hint="eastAsia" w:eastAsia="微软雅黑"/>
                <w:sz w:val="17"/>
                <w:lang w:val="en-US" w:eastAsia="zh-CN"/>
              </w:rPr>
              <w:t>20年</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4</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733"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199"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4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民众满意</w:t>
            </w:r>
          </w:p>
        </w:tc>
        <w:tc>
          <w:tcPr>
            <w:tcW w:w="122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满意</w:t>
            </w:r>
          </w:p>
        </w:tc>
        <w:tc>
          <w:tcPr>
            <w:tcW w:w="104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95%</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733"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99"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4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733"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99"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22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4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rPr>
          <w:rFonts w:hint="eastAsia" w:ascii="新宋体" w:hAnsi="新宋体" w:eastAsia="新宋体" w:cs="新宋体"/>
          <w:sz w:val="21"/>
          <w:szCs w:val="21"/>
          <w:lang w:eastAsia="zh-CN"/>
        </w:rPr>
      </w:pPr>
      <w:r>
        <w:rPr>
          <w:rFonts w:hint="eastAsia" w:ascii="新宋体" w:hAnsi="新宋体" w:eastAsia="新宋体" w:cs="新宋体"/>
          <w:sz w:val="21"/>
          <w:szCs w:val="21"/>
        </w:rPr>
        <w:t>备注：一个一级项目支出一张表。</w:t>
      </w:r>
      <w:r>
        <w:rPr>
          <w:rFonts w:hint="eastAsia" w:ascii="新宋体" w:hAnsi="新宋体" w:eastAsia="新宋体" w:cs="新宋体"/>
          <w:sz w:val="21"/>
          <w:szCs w:val="21"/>
          <w:lang w:eastAsia="zh-CN"/>
        </w:rPr>
        <w:t>如，</w:t>
      </w:r>
      <w:r>
        <w:rPr>
          <w:rFonts w:hint="eastAsia" w:ascii="新宋体" w:hAnsi="新宋体" w:eastAsia="新宋体" w:cs="新宋体"/>
          <w:sz w:val="21"/>
          <w:szCs w:val="21"/>
        </w:rPr>
        <w:t>业务工作经费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运行维护经费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lang w:val="en-US" w:eastAsia="zh-CN"/>
        </w:rPr>
        <w:t>XX项目</w:t>
      </w:r>
      <w:r>
        <w:rPr>
          <w:rFonts w:hint="eastAsia" w:ascii="新宋体" w:hAnsi="新宋体" w:eastAsia="新宋体" w:cs="新宋体"/>
          <w:sz w:val="21"/>
          <w:szCs w:val="21"/>
          <w:lang w:eastAsia="zh-CN"/>
        </w:rPr>
        <w:t>资金…各一张表。</w:t>
      </w:r>
    </w:p>
    <w:p>
      <w:pPr>
        <w:jc w:val="left"/>
        <w:rPr>
          <w:rFonts w:hint="eastAsia" w:ascii="新宋体" w:hAnsi="新宋体" w:eastAsia="新宋体" w:cs="新宋体"/>
          <w:sz w:val="21"/>
          <w:szCs w:val="21"/>
        </w:rPr>
      </w:pPr>
    </w:p>
    <w:p>
      <w:pPr>
        <w:jc w:val="left"/>
        <w:rPr>
          <w:rFonts w:hint="default" w:ascii="新宋体" w:hAnsi="新宋体" w:eastAsia="新宋体" w:cs="新宋体"/>
          <w:sz w:val="21"/>
          <w:szCs w:val="21"/>
          <w:lang w:val="en-US" w:eastAsia="zh-CN"/>
        </w:rPr>
      </w:pPr>
      <w:r>
        <w:rPr>
          <w:rFonts w:hint="eastAsia" w:ascii="新宋体" w:hAnsi="新宋体" w:eastAsia="新宋体" w:cs="新宋体"/>
          <w:sz w:val="21"/>
          <w:szCs w:val="21"/>
        </w:rPr>
        <w:t>填表人：</w:t>
      </w:r>
      <w:r>
        <w:rPr>
          <w:rFonts w:hint="eastAsia" w:ascii="新宋体" w:hAnsi="新宋体" w:eastAsia="新宋体" w:cs="新宋体"/>
          <w:sz w:val="21"/>
          <w:szCs w:val="21"/>
          <w:lang w:val="en-US" w:eastAsia="zh-CN"/>
        </w:rPr>
        <w:t>吴珊</w:t>
      </w:r>
      <w:r>
        <w:rPr>
          <w:rFonts w:hint="eastAsia" w:ascii="新宋体" w:hAnsi="新宋体" w:eastAsia="新宋体" w:cs="新宋体"/>
          <w:sz w:val="21"/>
          <w:szCs w:val="21"/>
        </w:rPr>
        <w:t xml:space="preserve">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填报日期：</w:t>
      </w:r>
      <w:r>
        <w:rPr>
          <w:rFonts w:hint="eastAsia" w:ascii="新宋体" w:hAnsi="新宋体" w:eastAsia="新宋体" w:cs="新宋体"/>
          <w:sz w:val="21"/>
          <w:szCs w:val="21"/>
          <w:lang w:val="en-US" w:eastAsia="zh-CN"/>
        </w:rPr>
        <w:t>2023年7月13日</w:t>
      </w:r>
      <w:r>
        <w:rPr>
          <w:rFonts w:hint="eastAsia" w:ascii="新宋体" w:hAnsi="新宋体" w:eastAsia="新宋体" w:cs="新宋体"/>
          <w:sz w:val="21"/>
          <w:szCs w:val="21"/>
        </w:rPr>
        <w:t xml:space="preserve">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联系电话：</w:t>
      </w:r>
      <w:r>
        <w:rPr>
          <w:rFonts w:hint="eastAsia" w:ascii="新宋体" w:hAnsi="新宋体" w:eastAsia="新宋体" w:cs="新宋体"/>
          <w:sz w:val="21"/>
          <w:szCs w:val="21"/>
          <w:lang w:val="en-US" w:eastAsia="zh-CN"/>
        </w:rPr>
        <w:t>13974066720</w:t>
      </w:r>
      <w:r>
        <w:rPr>
          <w:rFonts w:hint="eastAsia" w:ascii="新宋体" w:hAnsi="新宋体" w:eastAsia="新宋体" w:cs="新宋体"/>
          <w:sz w:val="21"/>
          <w:szCs w:val="21"/>
        </w:rPr>
        <w:t xml:space="preserve"> 单位负责人签字：</w:t>
      </w:r>
      <w:r>
        <w:rPr>
          <w:rFonts w:hint="eastAsia" w:ascii="新宋体" w:hAnsi="新宋体" w:eastAsia="新宋体" w:cs="新宋体"/>
          <w:sz w:val="21"/>
          <w:szCs w:val="21"/>
          <w:lang w:val="en-US" w:eastAsia="zh-CN"/>
        </w:rPr>
        <w:t>李军球</w:t>
      </w:r>
    </w:p>
    <w:p>
      <w:pPr>
        <w:spacing w:line="240" w:lineRule="auto"/>
        <w:ind w:firstLine="0" w:firstLineChars="0"/>
        <w:jc w:val="left"/>
        <w:outlineLvl w:val="0"/>
        <w:rPr>
          <w:rFonts w:hint="eastAsia" w:ascii="新宋体" w:hAnsi="新宋体" w:eastAsia="新宋体" w:cs="新宋体"/>
          <w:sz w:val="21"/>
          <w:szCs w:val="21"/>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val="en-US" w:eastAsia="zh-CN"/>
        </w:rPr>
        <w:t>华容县塔市国有林场森林质量精准提升工程</w:t>
      </w:r>
      <w:r>
        <w:rPr>
          <w:rFonts w:hint="eastAsia" w:ascii="方正小标宋简体" w:hAnsi="方正小标宋简体" w:eastAsia="方正小标宋简体" w:cs="方正小标宋简体"/>
          <w:sz w:val="44"/>
          <w:szCs w:val="44"/>
          <w:lang w:eastAsia="zh-CN"/>
        </w:rPr>
        <w:t>项目支出</w:t>
      </w:r>
    </w:p>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绩效自评报告</w:t>
      </w:r>
    </w:p>
    <w:p>
      <w:pPr>
        <w:rPr>
          <w:rFonts w:hint="eastAsia"/>
          <w:lang w:val="en-US" w:eastAsia="zh-CN"/>
        </w:rPr>
      </w:pPr>
    </w:p>
    <w:p>
      <w:pPr>
        <w:pStyle w:val="5"/>
        <w:keepNext w:val="0"/>
        <w:keepLines w:val="0"/>
        <w:pageBreakBefore w:val="0"/>
        <w:widowControl w:val="0"/>
        <w:numPr>
          <w:ilvl w:val="0"/>
          <w:numId w:val="0"/>
        </w:numPr>
        <w:kinsoku/>
        <w:wordWrap/>
        <w:overflowPunct/>
        <w:topLinePunct w:val="0"/>
        <w:autoSpaceDE/>
        <w:autoSpaceDN/>
        <w:bidi w:val="0"/>
        <w:adjustRightInd/>
        <w:snapToGrid w:val="0"/>
        <w:ind w:left="420" w:leftChars="0"/>
        <w:textAlignment w:val="auto"/>
        <w:rPr>
          <w:rFonts w:hint="eastAsia" w:ascii="方正小标宋简体" w:hAnsi="方正小标宋简体" w:eastAsia="方正小标宋简体" w:cs="方正小标宋简体"/>
          <w:kern w:val="2"/>
          <w:sz w:val="32"/>
          <w:szCs w:val="32"/>
          <w:lang w:val="en-US" w:eastAsia="zh-CN" w:bidi="ar-SA"/>
        </w:rPr>
      </w:pPr>
      <w:r>
        <w:rPr>
          <w:rFonts w:hint="eastAsia" w:ascii="方正小标宋简体" w:hAnsi="方正小标宋简体" w:eastAsia="方正小标宋简体" w:cs="方正小标宋简体"/>
          <w:kern w:val="2"/>
          <w:sz w:val="32"/>
          <w:szCs w:val="32"/>
          <w:lang w:val="en-US" w:eastAsia="zh-CN" w:bidi="ar-SA"/>
        </w:rPr>
        <w:t>一、基本情况</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（一）项目概况</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我场地处湘鄂两省交界。与众多村、场相连，地理环境复杂。多为“帽子”山，且呈带状山形，总面积为2.5885万亩，森林覆盖率97%。本次项目实施森林质量精准提升面积2000亩，共12个小班，主要位于望夫山工区、四支奄工区。建设内容包括林地清理、间伐抚育、补植补造、培兜抚育。中央财政投资100万元。</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（二）资金投入及使用情况</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中央财政下达该项目投入资金100万元，根据湘财建指【2020】142号、华财建指〔2020〕31号，于2022年1月29日拨付到位。实施森林质量精准提升面积2000亩，该项目资金主要用于建设林地清理、间伐抚育、补植补造、培兜抚育。该项目严格按照专项资金管理办法财政以专项预算资金计划指标划拨到我场财务系统中，做到专款专用，挪用专项资金，接受有关部门的审计、监督和检查。</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（三）项目绩效目标</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为构建稳健的森林系统，由单一树种向多数种，形成恒续林，最终达到永续利用。通过项目建设实现精准作业，精准管理和精准监测，对我场2000亩人工纯林进行森林质量精准提升改造，对生长不良、质量低劣、无培育前途或者抑制目标树生长的林木进行伐除，以提高林分质量。选择楠木、红绸、木荷、南酸枣等树种进行补植补造，调整树种结构，培育复层、异龄的针阔混交林分。</w:t>
      </w:r>
    </w:p>
    <w:p>
      <w:pPr>
        <w:pStyle w:val="5"/>
        <w:keepNext w:val="0"/>
        <w:keepLines w:val="0"/>
        <w:pageBreakBefore w:val="0"/>
        <w:widowControl w:val="0"/>
        <w:numPr>
          <w:ilvl w:val="0"/>
          <w:numId w:val="0"/>
        </w:numPr>
        <w:kinsoku/>
        <w:wordWrap/>
        <w:overflowPunct/>
        <w:topLinePunct w:val="0"/>
        <w:autoSpaceDE/>
        <w:autoSpaceDN/>
        <w:bidi w:val="0"/>
        <w:adjustRightInd/>
        <w:snapToGrid w:val="0"/>
        <w:ind w:left="420" w:leftChars="0"/>
        <w:textAlignment w:val="auto"/>
        <w:rPr>
          <w:rFonts w:hint="default" w:ascii="方正小标宋简体" w:hAnsi="方正小标宋简体" w:eastAsia="方正小标宋简体" w:cs="方正小标宋简体"/>
          <w:kern w:val="2"/>
          <w:sz w:val="32"/>
          <w:szCs w:val="32"/>
          <w:lang w:val="en-US" w:eastAsia="zh-CN" w:bidi="ar-SA"/>
        </w:rPr>
      </w:pPr>
      <w:r>
        <w:rPr>
          <w:rFonts w:hint="eastAsia" w:ascii="方正小标宋简体" w:hAnsi="方正小标宋简体" w:eastAsia="方正小标宋简体" w:cs="方正小标宋简体"/>
          <w:kern w:val="2"/>
          <w:sz w:val="32"/>
          <w:szCs w:val="32"/>
          <w:lang w:val="en-US" w:eastAsia="zh-CN" w:bidi="ar-SA"/>
        </w:rPr>
        <w:t>二、绩效评价工作开展情况</w:t>
      </w:r>
    </w:p>
    <w:p>
      <w:pPr>
        <w:keepNext w:val="0"/>
        <w:keepLines w:val="0"/>
        <w:pageBreakBefore w:val="0"/>
        <w:widowControl w:val="0"/>
        <w:numPr>
          <w:ilvl w:val="0"/>
          <w:numId w:val="0"/>
        </w:numPr>
        <w:kinsoku/>
        <w:wordWrap/>
        <w:overflowPunct/>
        <w:topLinePunct w:val="0"/>
        <w:autoSpaceDE/>
        <w:autoSpaceDN/>
        <w:bidi w:val="0"/>
        <w:adjustRightInd/>
        <w:snapToGrid/>
        <w:ind w:left="420" w:leftChars="0"/>
        <w:textAlignment w:val="auto"/>
        <w:rPr>
          <w:rFonts w:hint="eastAsia"/>
          <w:lang w:val="en-US" w:eastAsia="zh-CN"/>
        </w:rPr>
      </w:pPr>
      <w:r>
        <w:rPr>
          <w:rFonts w:hint="eastAsia" w:ascii="方正小标宋简体" w:hAnsi="方正小标宋简体" w:eastAsia="方正小标宋简体" w:cs="方正小标宋简体"/>
          <w:kern w:val="2"/>
          <w:sz w:val="28"/>
          <w:szCs w:val="28"/>
          <w:lang w:val="en-US" w:eastAsia="zh-CN" w:bidi="ar-SA"/>
        </w:rPr>
        <w:t>（一）绩效评价目的、对象和范围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严格督促项目实施和资金使用情况，切实发挥好财政资金使用效益，确保资金使用依法、规范、安全、高效。通过项目实施充分提升森林质量，实现森林质量资源永续利用，森林资源可持续发展，努力为林场高质量发展保驾护航。</w:t>
      </w:r>
    </w:p>
    <w:p>
      <w:pPr>
        <w:pStyle w:val="5"/>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420" w:leftChars="0"/>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（二）绩效评价原则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本次绩效评价本着科学规范原则。绩效评价注重财政支出的效率性和有效性，严格执行规定的程序。公正公开原则，绩效评价客观公正。</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420" w:leftChars="0"/>
        <w:jc w:val="both"/>
        <w:textAlignment w:val="auto"/>
        <w:rPr>
          <w:rFonts w:hint="default" w:ascii="方正小标宋简体" w:hAnsi="方正小标宋简体" w:eastAsia="方正小标宋简体" w:cs="方正小标宋简体"/>
          <w:kern w:val="2"/>
          <w:sz w:val="32"/>
          <w:szCs w:val="32"/>
          <w:lang w:val="en-US" w:eastAsia="zh-CN" w:bidi="ar-SA"/>
        </w:rPr>
      </w:pPr>
      <w:r>
        <w:rPr>
          <w:rFonts w:hint="eastAsia" w:ascii="方正小标宋简体" w:hAnsi="方正小标宋简体" w:eastAsia="方正小标宋简体" w:cs="方正小标宋简体"/>
          <w:kern w:val="2"/>
          <w:sz w:val="32"/>
          <w:szCs w:val="32"/>
          <w:lang w:val="en-US" w:eastAsia="zh-CN" w:bidi="ar-SA"/>
        </w:rPr>
        <w:t>三、综合评价情况及结论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通过项目实施，提升了林场的森林质量，为秀美林场建设打下了坚实的基础。加速了林木的生长速度，蓄积明显增加，对维持生态系统完整性、稳定性、自然性、多样性方面有着无法估量的作用，逐步提高群众生态环境保护意识，提高全社会生态环境建设重要性的认识。</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420" w:leftChars="0"/>
        <w:jc w:val="both"/>
        <w:textAlignment w:val="auto"/>
        <w:rPr>
          <w:rFonts w:hint="default" w:ascii="方正小标宋简体" w:hAnsi="方正小标宋简体" w:eastAsia="方正小标宋简体" w:cs="方正小标宋简体"/>
          <w:kern w:val="2"/>
          <w:sz w:val="32"/>
          <w:szCs w:val="32"/>
          <w:lang w:val="en-US" w:eastAsia="zh-CN" w:bidi="ar-SA"/>
        </w:rPr>
      </w:pPr>
      <w:r>
        <w:rPr>
          <w:rFonts w:hint="eastAsia" w:ascii="方正小标宋简体" w:hAnsi="方正小标宋简体" w:eastAsia="方正小标宋简体" w:cs="方正小标宋简体"/>
          <w:kern w:val="2"/>
          <w:sz w:val="32"/>
          <w:szCs w:val="32"/>
          <w:lang w:val="en-US" w:eastAsia="zh-CN" w:bidi="ar-SA"/>
        </w:rPr>
        <w:t>四、项目主要绩效评价分析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lang w:val="en-US" w:eastAsia="zh-CN"/>
        </w:rPr>
        <w:t xml:space="preserve"> </w:t>
      </w:r>
      <w:r>
        <w:rPr>
          <w:rFonts w:hint="eastAsia" w:ascii="方正小标宋简体" w:hAnsi="方正小标宋简体" w:eastAsia="方正小标宋简体" w:cs="方正小标宋简体"/>
          <w:kern w:val="2"/>
          <w:sz w:val="28"/>
          <w:szCs w:val="28"/>
          <w:lang w:val="en-US" w:eastAsia="zh-CN" w:bidi="ar-SA"/>
        </w:rPr>
        <w:t xml:space="preserve"> 通过项目的实施经济效益、生态效益、社会效益都得到改善。能够科学合理的利用森林资源，使我场森林资源质量显著提升。</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60" w:firstLineChars="200"/>
        <w:jc w:val="left"/>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1.社会效益：通过对2000亩人工林进行森林质量精准提升，使我场的林分质量提高、蓄积量增大、环境增绿、生物多样性也更加丰富，森林质量资源达到理想经营模式，防护功能明显增强，固碳能力不断加大。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outlineLvl w:val="9"/>
        <w:rPr>
          <w:rFonts w:hint="default"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 xml:space="preserve"> 2.生态效益 ：基于森林质量精准提升项目的有效实施，加快了我场林木生长，生态效益明显提高。且森林质量景观的提高，让我场生态旅游在华容县社会经济发展中明显增强。不仅提高了国民对生态环境的意识，还让地方政府提升了对林场森林质量资源的关注度，从而为林场实现可持续发展赢得更好的政策支持。对森林资源的经营水平与管护意识起到较好地支撑作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outlineLvl w:val="9"/>
        <w:rPr>
          <w:rFonts w:hint="default"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 xml:space="preserve">3.经济效益：加强对森林质量精准提升的重要性，项目的完成为科学经营森林提供完整的经营模式。同时带动了周边林场和村名参与营林生产，增加了当地林农就业机会。2000亩人工林森林质量提升为社会提供劳动就业5000多个，增加劳务工资75万元。   </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420" w:leftChars="0"/>
        <w:jc w:val="both"/>
        <w:textAlignment w:val="auto"/>
        <w:rPr>
          <w:rFonts w:hint="default" w:ascii="方正小标宋简体" w:hAnsi="方正小标宋简体" w:eastAsia="方正小标宋简体" w:cs="方正小标宋简体"/>
          <w:kern w:val="2"/>
          <w:sz w:val="32"/>
          <w:szCs w:val="32"/>
          <w:lang w:val="en-US" w:eastAsia="zh-CN" w:bidi="ar-SA"/>
        </w:rPr>
      </w:pPr>
      <w:r>
        <w:rPr>
          <w:rFonts w:hint="eastAsia" w:ascii="方正小标宋简体" w:hAnsi="方正小标宋简体" w:eastAsia="方正小标宋简体" w:cs="方正小标宋简体"/>
          <w:kern w:val="2"/>
          <w:sz w:val="32"/>
          <w:szCs w:val="32"/>
          <w:lang w:val="en-US" w:eastAsia="zh-CN" w:bidi="ar-SA"/>
        </w:rPr>
        <w:t>五、主要经验及做法、存在问题及建议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outlineLvl w:val="9"/>
        <w:rPr>
          <w:rFonts w:hint="default"/>
          <w:lang w:val="en-US" w:eastAsia="zh-CN"/>
        </w:rPr>
      </w:pPr>
      <w:r>
        <w:rPr>
          <w:rFonts w:hint="eastAsia" w:ascii="方正小标宋简体" w:hAnsi="方正小标宋简体" w:eastAsia="方正小标宋简体" w:cs="方正小标宋简体"/>
          <w:kern w:val="2"/>
          <w:sz w:val="28"/>
          <w:szCs w:val="28"/>
          <w:lang w:val="en-US" w:eastAsia="zh-CN" w:bidi="ar-SA"/>
        </w:rPr>
        <w:t>县委、县政府对森林质量精准提升工程建设高度重视，成立了国有林场森林质量提升工程建设领导小组。项目得益于省林业局造林绿化处、市林业局营林科、县林业局营林生产股的有关专家的大力支持和技术指导。确保技术服务到位，2000亩人工森林质量精准提升能够按时按质按量完成。</w:t>
      </w:r>
      <w:r>
        <w:rPr>
          <w:rFonts w:hint="eastAsia"/>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outlineLvl w:val="9"/>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存在问题及建议：</w:t>
      </w:r>
    </w:p>
    <w:p>
      <w:pPr>
        <w:pStyle w:val="6"/>
        <w:shd w:val="clear" w:color="auto" w:fill="FFFFFF"/>
        <w:spacing w:before="0" w:beforeAutospacing="0" w:after="0" w:afterAutospacing="0" w:line="390" w:lineRule="atLeast"/>
        <w:ind w:firstLine="560" w:firstLineChars="200"/>
        <w:rPr>
          <w:rFonts w:hint="eastAsia" w:ascii="新宋体" w:hAnsi="新宋体" w:eastAsia="新宋体" w:cs="新宋体"/>
          <w:sz w:val="21"/>
          <w:szCs w:val="21"/>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方正小标宋简体" w:hAnsi="方正小标宋简体" w:eastAsia="方正小标宋简体" w:cs="方正小标宋简体"/>
          <w:kern w:val="2"/>
          <w:sz w:val="28"/>
          <w:szCs w:val="28"/>
          <w:lang w:val="en-US" w:eastAsia="zh-CN" w:bidi="ar-SA"/>
        </w:rPr>
        <w:t>林场自有资金不足，国家补助资金比率少，自筹资金比例太大。给林场太大的资金压力。因此为实现森林可持续经营，促进国有林区经济社会协调发展。希望政府加大对林场建设的投入！</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仿宋_GB2312" w:eastAsia="仿宋_GB2312"/>
          <w:sz w:val="32"/>
          <w:szCs w:val="32"/>
          <w:lang w:val="en-US" w:eastAsia="zh-CN"/>
        </w:rPr>
      </w:pPr>
    </w:p>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823E3B5-7659-41A1-A53F-5779634D5C0B}"/>
  </w:font>
  <w:font w:name="Arial">
    <w:panose1 w:val="020B0604020202020204"/>
    <w:charset w:val="01"/>
    <w:family w:val="swiss"/>
    <w:pitch w:val="default"/>
    <w:sig w:usb0="E0002AFF" w:usb1="C0007843" w:usb2="00000009" w:usb3="00000000" w:csb0="400001FF" w:csb1="FFFF0000"/>
    <w:embedRegular r:id="rId2" w:fontKey="{3BB54BF8-86A2-4EE8-BA52-D3CE33238048}"/>
  </w:font>
  <w:font w:name="黑体">
    <w:panose1 w:val="02010609060101010101"/>
    <w:charset w:val="86"/>
    <w:family w:val="auto"/>
    <w:pitch w:val="default"/>
    <w:sig w:usb0="800002BF" w:usb1="38CF7CFA" w:usb2="00000016" w:usb3="00000000" w:csb0="00040001" w:csb1="00000000"/>
    <w:embedRegular r:id="rId3" w:fontKey="{6E7642B1-0848-4E8B-962C-97F76B2876E0}"/>
  </w:font>
  <w:font w:name="Courier New">
    <w:panose1 w:val="02070309020205020404"/>
    <w:charset w:val="01"/>
    <w:family w:val="modern"/>
    <w:pitch w:val="default"/>
    <w:sig w:usb0="E0002AFF" w:usb1="C0007843" w:usb2="00000009" w:usb3="00000000" w:csb0="400001FF" w:csb1="FFFF0000"/>
    <w:embedRegular r:id="rId4" w:fontKey="{C7FC466B-E8AA-4B9D-9F56-D3C8D4042F37}"/>
  </w:font>
  <w:font w:name="Symbol">
    <w:panose1 w:val="05050102010706020507"/>
    <w:charset w:val="02"/>
    <w:family w:val="roman"/>
    <w:pitch w:val="default"/>
    <w:sig w:usb0="00000000" w:usb1="00000000" w:usb2="00000000" w:usb3="00000000" w:csb0="80000000" w:csb1="00000000"/>
    <w:embedRegular r:id="rId5" w:fontKey="{6249F512-5DAA-4B98-8416-9FA6914EB6A0}"/>
  </w:font>
  <w:font w:name="Calibri">
    <w:panose1 w:val="020F0502020204030204"/>
    <w:charset w:val="00"/>
    <w:family w:val="swiss"/>
    <w:pitch w:val="default"/>
    <w:sig w:usb0="E00002FF" w:usb1="4000ACFF" w:usb2="00000001" w:usb3="00000000" w:csb0="2000019F" w:csb1="00000000"/>
    <w:embedRegular r:id="rId6" w:fontKey="{19CFD90E-CB7E-4945-A97C-34371B90ECD5}"/>
  </w:font>
  <w:font w:name="仿宋_GB2312">
    <w:panose1 w:val="02010609030101010101"/>
    <w:charset w:val="86"/>
    <w:family w:val="auto"/>
    <w:pitch w:val="default"/>
    <w:sig w:usb0="00000001" w:usb1="080E0000" w:usb2="00000000" w:usb3="00000000" w:csb0="00040000" w:csb1="00000000"/>
    <w:embedRegular r:id="rId7" w:fontKey="{EF91917C-3105-47C2-A55E-D716E30C9795}"/>
  </w:font>
  <w:font w:name="方正小标宋_GBK">
    <w:panose1 w:val="03000509000000000000"/>
    <w:charset w:val="86"/>
    <w:family w:val="script"/>
    <w:pitch w:val="default"/>
    <w:sig w:usb0="00000001" w:usb1="080E0000" w:usb2="00000000" w:usb3="00000000" w:csb0="00040000" w:csb1="00000000"/>
    <w:embedRegular r:id="rId8" w:fontKey="{21498834-5339-41B0-AB97-F7A5D3583650}"/>
  </w:font>
  <w:font w:name="楷体_GB2312">
    <w:panose1 w:val="02010609030101010101"/>
    <w:charset w:val="86"/>
    <w:family w:val="auto"/>
    <w:pitch w:val="default"/>
    <w:sig w:usb0="00000001" w:usb1="080E0000" w:usb2="00000000" w:usb3="00000000" w:csb0="00040000" w:csb1="00000000"/>
    <w:embedRegular r:id="rId9" w:fontKey="{ECF4BCA6-CB37-4E7D-9375-D7D47E8E3EA7}"/>
  </w:font>
  <w:font w:name="华文楷体">
    <w:altName w:val="楷体_GB2312"/>
    <w:panose1 w:val="00000000000000000000"/>
    <w:charset w:val="86"/>
    <w:family w:val="auto"/>
    <w:pitch w:val="default"/>
    <w:sig w:usb0="00000000" w:usb1="00000000" w:usb2="00000010" w:usb3="00000000" w:csb0="0004009F" w:csb1="00000000"/>
  </w:font>
  <w:font w:name="方正小标宋简体">
    <w:altName w:val="仿宋_GB2312"/>
    <w:panose1 w:val="02010601030101010101"/>
    <w:charset w:val="86"/>
    <w:family w:val="auto"/>
    <w:pitch w:val="default"/>
    <w:sig w:usb0="00000000" w:usb1="00000000" w:usb2="00000000" w:usb3="00000000" w:csb0="00040000" w:csb1="00000000"/>
    <w:embedRegular r:id="rId10" w:fontKey="{3745D7C7-01BB-4ED3-9F90-AF7ED9C0AAF3}"/>
  </w:font>
  <w:font w:name="新宋体">
    <w:panose1 w:val="02010609030101010101"/>
    <w:charset w:val="86"/>
    <w:family w:val="auto"/>
    <w:pitch w:val="default"/>
    <w:sig w:usb0="00000003" w:usb1="288F0000" w:usb2="00000006" w:usb3="00000000" w:csb0="00040001" w:csb1="00000000"/>
    <w:embedRegular r:id="rId11" w:fontKey="{435E1183-9CFD-49F1-9E65-900ED103D723}"/>
  </w:font>
  <w:font w:name="仿宋">
    <w:panose1 w:val="02010609060101010101"/>
    <w:charset w:val="86"/>
    <w:family w:val="auto"/>
    <w:pitch w:val="default"/>
    <w:sig w:usb0="800002BF" w:usb1="38CF7CFA" w:usb2="00000016" w:usb3="00000000" w:csb0="00040001" w:csb1="00000000"/>
    <w:embedRegular r:id="rId12" w:fontKey="{1ED7E30D-ADE6-4241-898C-2BCD93B85ED3}"/>
  </w:font>
  <w:font w:name="微软雅黑">
    <w:panose1 w:val="020B0503020204020204"/>
    <w:charset w:val="86"/>
    <w:family w:val="auto"/>
    <w:pitch w:val="default"/>
    <w:sig w:usb0="80000287" w:usb1="280F3C52" w:usb2="00000016" w:usb3="00000000" w:csb0="0004001F" w:csb1="00000000"/>
    <w:embedRegular r:id="rId13" w:fontKey="{38EB48A5-9F74-48B4-8F80-0CDADB635C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3"/>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3AABCD"/>
    <w:multiLevelType w:val="singleLevel"/>
    <w:tmpl w:val="973AABCD"/>
    <w:lvl w:ilvl="0" w:tentative="0">
      <w:start w:val="1"/>
      <w:numFmt w:val="chineseCounting"/>
      <w:suff w:val="nothing"/>
      <w:lvlText w:val="%1、"/>
      <w:lvlJc w:val="left"/>
      <w:rPr>
        <w:rFonts w:hint="eastAsia"/>
      </w:rPr>
    </w:lvl>
  </w:abstractNum>
  <w:abstractNum w:abstractNumId="1">
    <w:nsid w:val="9D55DDB3"/>
    <w:multiLevelType w:val="singleLevel"/>
    <w:tmpl w:val="9D55DDB3"/>
    <w:lvl w:ilvl="0" w:tentative="0">
      <w:start w:val="1"/>
      <w:numFmt w:val="chineseCounting"/>
      <w:suff w:val="nothing"/>
      <w:lvlText w:val="%1、"/>
      <w:lvlJc w:val="left"/>
      <w:pPr>
        <w:ind w:left="0" w:firstLine="420"/>
      </w:pPr>
      <w:rPr>
        <w:rFonts w:hint="eastAsia"/>
      </w:rPr>
    </w:lvl>
  </w:abstractNum>
  <w:abstractNum w:abstractNumId="2">
    <w:nsid w:val="A561C7B5"/>
    <w:multiLevelType w:val="singleLevel"/>
    <w:tmpl w:val="A561C7B5"/>
    <w:lvl w:ilvl="0" w:tentative="0">
      <w:start w:val="2"/>
      <w:numFmt w:val="chineseCounting"/>
      <w:suff w:val="nothing"/>
      <w:lvlText w:val="（%1）"/>
      <w:lvlJc w:val="left"/>
      <w:rPr>
        <w:rFonts w:hint="eastAsia"/>
      </w:rPr>
    </w:lvl>
  </w:abstractNum>
  <w:abstractNum w:abstractNumId="3">
    <w:nsid w:val="AF3137EA"/>
    <w:multiLevelType w:val="singleLevel"/>
    <w:tmpl w:val="AF3137EA"/>
    <w:lvl w:ilvl="0" w:tentative="0">
      <w:start w:val="1"/>
      <w:numFmt w:val="chineseCounting"/>
      <w:suff w:val="nothing"/>
      <w:lvlText w:val="（%1）"/>
      <w:lvlJc w:val="left"/>
      <w:pPr>
        <w:ind w:left="0" w:firstLine="420"/>
      </w:pPr>
      <w:rPr>
        <w:rFonts w:hint="eastAsia"/>
      </w:rPr>
    </w:lvl>
  </w:abstractNum>
  <w:abstractNum w:abstractNumId="4">
    <w:nsid w:val="B4AD8991"/>
    <w:multiLevelType w:val="singleLevel"/>
    <w:tmpl w:val="B4AD8991"/>
    <w:lvl w:ilvl="0" w:tentative="0">
      <w:start w:val="1"/>
      <w:numFmt w:val="chineseCounting"/>
      <w:suff w:val="nothing"/>
      <w:lvlText w:val="（%1）"/>
      <w:lvlJc w:val="left"/>
      <w:rPr>
        <w:rFonts w:hint="eastAsia"/>
      </w:rPr>
    </w:lvl>
  </w:abstractNum>
  <w:abstractNum w:abstractNumId="5">
    <w:nsid w:val="1639B9BA"/>
    <w:multiLevelType w:val="singleLevel"/>
    <w:tmpl w:val="1639B9BA"/>
    <w:lvl w:ilvl="0" w:tentative="0">
      <w:start w:val="2"/>
      <w:numFmt w:val="decimal"/>
      <w:suff w:val="nothing"/>
      <w:lvlText w:val="%1、"/>
      <w:lvlJc w:val="left"/>
    </w:lvl>
  </w:abstractNum>
  <w:abstractNum w:abstractNumId="6">
    <w:nsid w:val="4F3459A1"/>
    <w:multiLevelType w:val="singleLevel"/>
    <w:tmpl w:val="4F3459A1"/>
    <w:lvl w:ilvl="0" w:tentative="0">
      <w:start w:val="2"/>
      <w:numFmt w:val="chineseCounting"/>
      <w:suff w:val="nothing"/>
      <w:lvlText w:val="%1、"/>
      <w:lvlJc w:val="left"/>
      <w:rPr>
        <w:rFonts w:hint="eastAsia"/>
      </w:rPr>
    </w:lvl>
  </w:abstractNum>
  <w:abstractNum w:abstractNumId="7">
    <w:nsid w:val="7D945C1A"/>
    <w:multiLevelType w:val="singleLevel"/>
    <w:tmpl w:val="7D945C1A"/>
    <w:lvl w:ilvl="0" w:tentative="0">
      <w:start w:val="1"/>
      <w:numFmt w:val="decimal"/>
      <w:suff w:val="nothing"/>
      <w:lvlText w:val="%1、"/>
      <w:lvlJc w:val="left"/>
    </w:lvl>
  </w:abstractNum>
  <w:num w:numId="1">
    <w:abstractNumId w:val="7"/>
  </w:num>
  <w:num w:numId="2">
    <w:abstractNumId w:val="2"/>
  </w:num>
  <w:num w:numId="3">
    <w:abstractNumId w:val="5"/>
  </w:num>
  <w:num w:numId="4">
    <w:abstractNumId w:val="6"/>
  </w:num>
  <w:num w:numId="5">
    <w:abstractNumId w:val="0"/>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zZjc5NTllMGFiYmY5NmVhMTllZTJlYTQ3YTVjMjgifQ=="/>
  </w:docVars>
  <w:rsids>
    <w:rsidRoot w:val="0CCB7736"/>
    <w:rsid w:val="00047FEF"/>
    <w:rsid w:val="000A3906"/>
    <w:rsid w:val="001776F1"/>
    <w:rsid w:val="00692FA7"/>
    <w:rsid w:val="006F0A16"/>
    <w:rsid w:val="00773328"/>
    <w:rsid w:val="00821883"/>
    <w:rsid w:val="00917857"/>
    <w:rsid w:val="00A755C2"/>
    <w:rsid w:val="016A347B"/>
    <w:rsid w:val="02B50488"/>
    <w:rsid w:val="02C170CB"/>
    <w:rsid w:val="0338470A"/>
    <w:rsid w:val="034822A9"/>
    <w:rsid w:val="03D86621"/>
    <w:rsid w:val="04EE6171"/>
    <w:rsid w:val="05395EA9"/>
    <w:rsid w:val="05DE1D42"/>
    <w:rsid w:val="07300CC3"/>
    <w:rsid w:val="07962460"/>
    <w:rsid w:val="0AB063A2"/>
    <w:rsid w:val="0ABD557B"/>
    <w:rsid w:val="0B57681E"/>
    <w:rsid w:val="0BBB5A8D"/>
    <w:rsid w:val="0BCD5792"/>
    <w:rsid w:val="0C104906"/>
    <w:rsid w:val="0C1E558E"/>
    <w:rsid w:val="0CCB7736"/>
    <w:rsid w:val="0D246BD4"/>
    <w:rsid w:val="0D9E0E8D"/>
    <w:rsid w:val="0E2844A2"/>
    <w:rsid w:val="0EAB7397"/>
    <w:rsid w:val="0EF755B3"/>
    <w:rsid w:val="0F17035E"/>
    <w:rsid w:val="0F4E168D"/>
    <w:rsid w:val="0F5B2655"/>
    <w:rsid w:val="0F5F3EF3"/>
    <w:rsid w:val="0F803E6A"/>
    <w:rsid w:val="11074842"/>
    <w:rsid w:val="111331E7"/>
    <w:rsid w:val="11154128"/>
    <w:rsid w:val="11365128"/>
    <w:rsid w:val="11404466"/>
    <w:rsid w:val="11963ADD"/>
    <w:rsid w:val="11EB0F5C"/>
    <w:rsid w:val="11F20483"/>
    <w:rsid w:val="12B409FA"/>
    <w:rsid w:val="136F31F8"/>
    <w:rsid w:val="138750E0"/>
    <w:rsid w:val="152B4878"/>
    <w:rsid w:val="15A620D3"/>
    <w:rsid w:val="15D62A35"/>
    <w:rsid w:val="164C2CF7"/>
    <w:rsid w:val="169F72CB"/>
    <w:rsid w:val="16A3369E"/>
    <w:rsid w:val="178536BD"/>
    <w:rsid w:val="17C358D1"/>
    <w:rsid w:val="187C5B16"/>
    <w:rsid w:val="194F4FD8"/>
    <w:rsid w:val="19516372"/>
    <w:rsid w:val="19575CC2"/>
    <w:rsid w:val="19A80228"/>
    <w:rsid w:val="1A101464"/>
    <w:rsid w:val="1AAE7A25"/>
    <w:rsid w:val="1AB74849"/>
    <w:rsid w:val="1AC52FF2"/>
    <w:rsid w:val="1AE6175D"/>
    <w:rsid w:val="1B742AA7"/>
    <w:rsid w:val="1B7E1BA5"/>
    <w:rsid w:val="1BA8777F"/>
    <w:rsid w:val="1C6B037B"/>
    <w:rsid w:val="1CA34935"/>
    <w:rsid w:val="1D015346"/>
    <w:rsid w:val="1D5A640E"/>
    <w:rsid w:val="1E540937"/>
    <w:rsid w:val="1F00520E"/>
    <w:rsid w:val="1F170346"/>
    <w:rsid w:val="1F345935"/>
    <w:rsid w:val="1F7640EC"/>
    <w:rsid w:val="1FE83A91"/>
    <w:rsid w:val="20125FC6"/>
    <w:rsid w:val="20D76C5F"/>
    <w:rsid w:val="21057490"/>
    <w:rsid w:val="214A230E"/>
    <w:rsid w:val="214E2EEB"/>
    <w:rsid w:val="215C6083"/>
    <w:rsid w:val="21B052C4"/>
    <w:rsid w:val="227855A0"/>
    <w:rsid w:val="22FF5445"/>
    <w:rsid w:val="238D0E57"/>
    <w:rsid w:val="24256710"/>
    <w:rsid w:val="24262DDA"/>
    <w:rsid w:val="251E7983"/>
    <w:rsid w:val="259C34F4"/>
    <w:rsid w:val="260D5D83"/>
    <w:rsid w:val="267A11BB"/>
    <w:rsid w:val="27B8643F"/>
    <w:rsid w:val="27BA21B7"/>
    <w:rsid w:val="284A2254"/>
    <w:rsid w:val="292F1467"/>
    <w:rsid w:val="29786927"/>
    <w:rsid w:val="297B51B4"/>
    <w:rsid w:val="29A46C7B"/>
    <w:rsid w:val="29E40467"/>
    <w:rsid w:val="29F527E2"/>
    <w:rsid w:val="2BF35971"/>
    <w:rsid w:val="2C487650"/>
    <w:rsid w:val="2CD05FD9"/>
    <w:rsid w:val="2E4F43C0"/>
    <w:rsid w:val="2EC7368E"/>
    <w:rsid w:val="30BF25EC"/>
    <w:rsid w:val="30FB4B41"/>
    <w:rsid w:val="31621165"/>
    <w:rsid w:val="317433D6"/>
    <w:rsid w:val="323C5548"/>
    <w:rsid w:val="32A47CEB"/>
    <w:rsid w:val="36CE3589"/>
    <w:rsid w:val="37450F88"/>
    <w:rsid w:val="374675C3"/>
    <w:rsid w:val="37D6106F"/>
    <w:rsid w:val="380A00CF"/>
    <w:rsid w:val="38F862EB"/>
    <w:rsid w:val="39343807"/>
    <w:rsid w:val="39887BBC"/>
    <w:rsid w:val="3A53023B"/>
    <w:rsid w:val="3AC0768C"/>
    <w:rsid w:val="3AF42D2D"/>
    <w:rsid w:val="3B3A041F"/>
    <w:rsid w:val="3BAE6BF9"/>
    <w:rsid w:val="3CCA47F2"/>
    <w:rsid w:val="3CDE0708"/>
    <w:rsid w:val="3D5877DF"/>
    <w:rsid w:val="3DC55CAA"/>
    <w:rsid w:val="3DD556CA"/>
    <w:rsid w:val="3E014244"/>
    <w:rsid w:val="3E295549"/>
    <w:rsid w:val="3F3B3785"/>
    <w:rsid w:val="3F450429"/>
    <w:rsid w:val="40226C80"/>
    <w:rsid w:val="40364AE1"/>
    <w:rsid w:val="40956EC5"/>
    <w:rsid w:val="40C451A5"/>
    <w:rsid w:val="4156470B"/>
    <w:rsid w:val="41943ACE"/>
    <w:rsid w:val="425D4066"/>
    <w:rsid w:val="43173FD4"/>
    <w:rsid w:val="44143822"/>
    <w:rsid w:val="44654A12"/>
    <w:rsid w:val="457C5F26"/>
    <w:rsid w:val="463906A6"/>
    <w:rsid w:val="46902609"/>
    <w:rsid w:val="482110CB"/>
    <w:rsid w:val="48D148BF"/>
    <w:rsid w:val="49CF255F"/>
    <w:rsid w:val="4B2C5DCD"/>
    <w:rsid w:val="4B775B45"/>
    <w:rsid w:val="4B7D1173"/>
    <w:rsid w:val="4BD375FC"/>
    <w:rsid w:val="4C150E22"/>
    <w:rsid w:val="4C6A38FC"/>
    <w:rsid w:val="4CE74BC3"/>
    <w:rsid w:val="4CF5000E"/>
    <w:rsid w:val="4DA42E3E"/>
    <w:rsid w:val="4DB17672"/>
    <w:rsid w:val="4E524648"/>
    <w:rsid w:val="4FA65B64"/>
    <w:rsid w:val="50AC44C4"/>
    <w:rsid w:val="50EA6DB9"/>
    <w:rsid w:val="51CA7471"/>
    <w:rsid w:val="521C2FA3"/>
    <w:rsid w:val="522529B2"/>
    <w:rsid w:val="53910AF4"/>
    <w:rsid w:val="555952B3"/>
    <w:rsid w:val="556B5A36"/>
    <w:rsid w:val="55AF40BB"/>
    <w:rsid w:val="568B6949"/>
    <w:rsid w:val="56F72F7C"/>
    <w:rsid w:val="57CF0AB7"/>
    <w:rsid w:val="586243BF"/>
    <w:rsid w:val="58FD3402"/>
    <w:rsid w:val="592F7A5F"/>
    <w:rsid w:val="597578F5"/>
    <w:rsid w:val="5A47527D"/>
    <w:rsid w:val="5A511C57"/>
    <w:rsid w:val="5AAF7799"/>
    <w:rsid w:val="5B5C1753"/>
    <w:rsid w:val="5B6559BA"/>
    <w:rsid w:val="5C1D6295"/>
    <w:rsid w:val="5C657C3C"/>
    <w:rsid w:val="5CAD7F21"/>
    <w:rsid w:val="5E134100"/>
    <w:rsid w:val="5F7A1C50"/>
    <w:rsid w:val="601C4AB5"/>
    <w:rsid w:val="60BE691E"/>
    <w:rsid w:val="61444403"/>
    <w:rsid w:val="61EB2991"/>
    <w:rsid w:val="62265BDF"/>
    <w:rsid w:val="6266739B"/>
    <w:rsid w:val="62E1699A"/>
    <w:rsid w:val="64147F0D"/>
    <w:rsid w:val="64A37553"/>
    <w:rsid w:val="64D66362"/>
    <w:rsid w:val="653463FD"/>
    <w:rsid w:val="65860217"/>
    <w:rsid w:val="65CF322C"/>
    <w:rsid w:val="65FA13F5"/>
    <w:rsid w:val="667E0AA1"/>
    <w:rsid w:val="66A17AC3"/>
    <w:rsid w:val="681744E0"/>
    <w:rsid w:val="68FB17C3"/>
    <w:rsid w:val="694E3F32"/>
    <w:rsid w:val="695F12F9"/>
    <w:rsid w:val="69636C3A"/>
    <w:rsid w:val="69CF7B2C"/>
    <w:rsid w:val="6A0B0004"/>
    <w:rsid w:val="6A356EA0"/>
    <w:rsid w:val="6A4148B3"/>
    <w:rsid w:val="6A6041B6"/>
    <w:rsid w:val="6BA1010E"/>
    <w:rsid w:val="6CE47E41"/>
    <w:rsid w:val="6CED5810"/>
    <w:rsid w:val="6CF21078"/>
    <w:rsid w:val="6CF92413"/>
    <w:rsid w:val="6CFE7A1D"/>
    <w:rsid w:val="6D7D4DE5"/>
    <w:rsid w:val="6DFE5E04"/>
    <w:rsid w:val="6E87203D"/>
    <w:rsid w:val="6F6D70DC"/>
    <w:rsid w:val="6F9278BB"/>
    <w:rsid w:val="71572F19"/>
    <w:rsid w:val="719B7427"/>
    <w:rsid w:val="720107C3"/>
    <w:rsid w:val="724A6793"/>
    <w:rsid w:val="72D1172F"/>
    <w:rsid w:val="741F26FA"/>
    <w:rsid w:val="74470DF8"/>
    <w:rsid w:val="7487654A"/>
    <w:rsid w:val="750A2CD7"/>
    <w:rsid w:val="75DA08FB"/>
    <w:rsid w:val="75FD1676"/>
    <w:rsid w:val="781F6726"/>
    <w:rsid w:val="784A1D68"/>
    <w:rsid w:val="799536BA"/>
    <w:rsid w:val="7AA5772A"/>
    <w:rsid w:val="7AD16771"/>
    <w:rsid w:val="7B170752"/>
    <w:rsid w:val="7B611B9A"/>
    <w:rsid w:val="7B8F681B"/>
    <w:rsid w:val="7BDE109C"/>
    <w:rsid w:val="7BFC781D"/>
    <w:rsid w:val="7DD96C0E"/>
    <w:rsid w:val="7E474F7B"/>
    <w:rsid w:val="7E8F7AC1"/>
    <w:rsid w:val="7F604313"/>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locked/>
    <w:uiPriority w:val="0"/>
    <w:pPr>
      <w:keepNext/>
      <w:keepLines/>
      <w:outlineLvl w:val="0"/>
    </w:pPr>
    <w:rPr>
      <w:rFonts w:eastAsia="黑体"/>
      <w:bCs/>
      <w:kern w:val="44"/>
      <w:szCs w:val="44"/>
    </w:rPr>
  </w:style>
  <w:style w:type="character" w:default="1" w:styleId="9">
    <w:name w:val="Default Paragraph Font"/>
    <w:autoRedefine/>
    <w:semiHidden/>
    <w:qFormat/>
    <w:uiPriority w:val="99"/>
  </w:style>
  <w:style w:type="table" w:default="1" w:styleId="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3">
    <w:name w:val="footer"/>
    <w:basedOn w:val="1"/>
    <w:link w:val="11"/>
    <w:qFormat/>
    <w:uiPriority w:val="99"/>
    <w:pPr>
      <w:tabs>
        <w:tab w:val="center" w:pos="4153"/>
        <w:tab w:val="right" w:pos="8306"/>
      </w:tabs>
      <w:snapToGrid w:val="0"/>
      <w:jc w:val="left"/>
    </w:pPr>
    <w:rPr>
      <w:sz w:val="18"/>
      <w:szCs w:val="18"/>
    </w:rPr>
  </w:style>
  <w:style w:type="paragraph" w:styleId="4">
    <w:name w:val="header"/>
    <w:basedOn w:val="1"/>
    <w:link w:val="12"/>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footnote text"/>
    <w:basedOn w:val="1"/>
    <w:next w:val="1"/>
    <w:qFormat/>
    <w:uiPriority w:val="0"/>
    <w:pPr>
      <w:snapToGrid w:val="0"/>
      <w:jc w:val="left"/>
    </w:pPr>
    <w:rPr>
      <w:sz w:val="18"/>
      <w:szCs w:val="18"/>
    </w:rPr>
  </w:style>
  <w:style w:type="paragraph" w:styleId="6">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table" w:styleId="8">
    <w:name w:val="Table Grid"/>
    <w:basedOn w:val="7"/>
    <w:autoRedefine/>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page number"/>
    <w:basedOn w:val="9"/>
    <w:autoRedefine/>
    <w:qFormat/>
    <w:uiPriority w:val="99"/>
    <w:rPr>
      <w:rFonts w:cs="Times New Roman"/>
    </w:rPr>
  </w:style>
  <w:style w:type="character" w:customStyle="1" w:styleId="11">
    <w:name w:val="Footer Char"/>
    <w:basedOn w:val="9"/>
    <w:link w:val="3"/>
    <w:autoRedefine/>
    <w:semiHidden/>
    <w:qFormat/>
    <w:uiPriority w:val="99"/>
    <w:rPr>
      <w:sz w:val="18"/>
      <w:szCs w:val="18"/>
    </w:rPr>
  </w:style>
  <w:style w:type="character" w:customStyle="1" w:styleId="12">
    <w:name w:val="Header Char"/>
    <w:basedOn w:val="9"/>
    <w:link w:val="4"/>
    <w:autoRedefine/>
    <w:semiHidden/>
    <w:qFormat/>
    <w:uiPriority w:val="99"/>
    <w:rPr>
      <w:sz w:val="18"/>
      <w:szCs w:val="18"/>
    </w:rPr>
  </w:style>
  <w:style w:type="paragraph" w:styleId="13">
    <w:name w:val="List Paragraph"/>
    <w:basedOn w:val="1"/>
    <w:autoRedefine/>
    <w:qFormat/>
    <w:uiPriority w:val="99"/>
    <w:pPr>
      <w:ind w:firstLine="420" w:firstLineChars="200"/>
    </w:pPr>
    <w:rPr>
      <w:rFonts w:ascii="Calibri" w:hAnsi="Calibri"/>
      <w:szCs w:val="22"/>
    </w:rPr>
  </w:style>
  <w:style w:type="character" w:customStyle="1" w:styleId="14">
    <w:name w:val="font11"/>
    <w:basedOn w:val="9"/>
    <w:autoRedefine/>
    <w:qFormat/>
    <w:uiPriority w:val="0"/>
    <w:rPr>
      <w:rFonts w:hint="eastAsia" w:ascii="仿宋_GB2312" w:eastAsia="仿宋_GB2312" w:cs="仿宋_GB2312"/>
      <w:color w:val="000000"/>
      <w:sz w:val="22"/>
      <w:szCs w:val="22"/>
      <w:u w:val="non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34</Pages>
  <Words>12905</Words>
  <Characters>13836</Characters>
  <Lines>0</Lines>
  <Paragraphs>0</Paragraphs>
  <TotalTime>10</TotalTime>
  <ScaleCrop>false</ScaleCrop>
  <LinksUpToDate>false</LinksUpToDate>
  <CharactersWithSpaces>14580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戴</cp:lastModifiedBy>
  <cp:lastPrinted>2023-07-11T07:55:00Z</cp:lastPrinted>
  <dcterms:modified xsi:type="dcterms:W3CDTF">2023-12-13T02:51:40Z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KSOSaveFontToCloudKey">
    <vt:lpwstr>386772509_embed</vt:lpwstr>
  </property>
  <property fmtid="{D5CDD505-2E9C-101B-9397-08002B2CF9AE}" pid="4" name="ICV">
    <vt:lpwstr>BB05EEBA67EC428D9B93F872AF6F1F07_13</vt:lpwstr>
  </property>
</Properties>
</file>