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民政局（本级）</w:t>
      </w:r>
      <w:r>
        <w:rPr>
          <w:rFonts w:hint="eastAsia" w:ascii="方正小标宋简体" w:hAnsi="方正小标宋简体" w:eastAsia="方正小标宋简体" w:cs="方正小标宋简体"/>
          <w:sz w:val="44"/>
          <w:szCs w:val="44"/>
        </w:rPr>
        <w:t>整体支出绩效</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评价基础数据表</w:t>
      </w:r>
    </w:p>
    <w:tbl>
      <w:tblPr>
        <w:tblStyle w:val="5"/>
        <w:tblW w:w="4996" w:type="pct"/>
        <w:jc w:val="center"/>
        <w:tblLayout w:type="autofit"/>
        <w:tblCellMar>
          <w:top w:w="0" w:type="dxa"/>
          <w:left w:w="108" w:type="dxa"/>
          <w:bottom w:w="0" w:type="dxa"/>
          <w:right w:w="108" w:type="dxa"/>
        </w:tblCellMar>
      </w:tblPr>
      <w:tblGrid>
        <w:gridCol w:w="2951"/>
        <w:gridCol w:w="1794"/>
        <w:gridCol w:w="2235"/>
        <w:gridCol w:w="1535"/>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61</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59</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96.7%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1622.21</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661.6</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1724.84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9.65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5.96</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8.12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8.12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3.31</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1.53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2.65</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0.06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23459.63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2697.53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.其他优抚支出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.其他一般公共服务</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3.儿童福利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320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250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4.殡葬</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809.6</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90"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5.残疾人生活和护理补贴</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1328.38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1349.8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6.城市最低生活保障金支出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7.农村最低生活保障金支出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8.临时救助支出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14.82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0.34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9.流浪乞讨人员救助支出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114</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10.城市特困人员救助供养支出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15.71</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26.74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11.农村特困人员救助供养支出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639.59</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206.67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12.其他农村生活救助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16.5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13.公墓建设</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20000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14.福利彩票销售机构的业务费支出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8.95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24.61</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15.用于社会福利的彩票公益金支出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103.07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97.9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16.其他支出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16.8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17.其他民政管理事务</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351.15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18.老年福利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3.3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19.其他社会福利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47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20.殡仪馆建设</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lang w:val="en-US" w:eastAsia="zh-CN"/>
                <w14:textFill>
                  <w14:solidFill>
                    <w14:schemeClr w14:val="tx1"/>
                  </w14:solidFill>
                </w14:textFill>
              </w:rPr>
              <w:t>340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left"/>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严格财务管理制度，严格按中央“八项”规定，控制一般性支出，按预算支出管理。</w:t>
            </w: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rPr>
          <w:rFonts w:hint="eastAsia"/>
          <w:lang w:val="en-US"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p>
    <w:p>
      <w:pPr>
        <w:pStyle w:val="2"/>
        <w:rPr>
          <w:rFonts w:hint="eastAsia"/>
          <w:lang w:val="en-US" w:eastAsia="zh-CN"/>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民政局（本级）</w:t>
      </w:r>
      <w:r>
        <w:rPr>
          <w:rFonts w:hint="eastAsia" w:ascii="方正小标宋简体" w:hAnsi="方正小标宋简体" w:eastAsia="方正小标宋简体" w:cs="方正小标宋简体"/>
          <w:sz w:val="44"/>
          <w:szCs w:val="44"/>
        </w:rPr>
        <w:t>整体支出</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绩效自评表</w:t>
      </w:r>
    </w:p>
    <w:tbl>
      <w:tblPr>
        <w:tblStyle w:val="5"/>
        <w:tblW w:w="4997" w:type="pct"/>
        <w:jc w:val="center"/>
        <w:tblLayout w:type="fixed"/>
        <w:tblCellMar>
          <w:top w:w="0" w:type="dxa"/>
          <w:left w:w="108" w:type="dxa"/>
          <w:bottom w:w="0" w:type="dxa"/>
          <w:right w:w="108" w:type="dxa"/>
        </w:tblCellMar>
      </w:tblPr>
      <w:tblGrid>
        <w:gridCol w:w="1007"/>
        <w:gridCol w:w="807"/>
        <w:gridCol w:w="796"/>
        <w:gridCol w:w="969"/>
        <w:gridCol w:w="1070"/>
        <w:gridCol w:w="928"/>
        <w:gridCol w:w="540"/>
        <w:gridCol w:w="938"/>
        <w:gridCol w:w="1461"/>
      </w:tblGrid>
      <w:tr>
        <w:tblPrEx>
          <w:tblCellMar>
            <w:top w:w="0" w:type="dxa"/>
            <w:left w:w="108" w:type="dxa"/>
            <w:bottom w:w="0" w:type="dxa"/>
            <w:right w:w="108" w:type="dxa"/>
          </w:tblCellMar>
        </w:tblPrEx>
        <w:trPr>
          <w:trHeight w:val="1003" w:hRule="atLeast"/>
          <w:jc w:val="center"/>
        </w:trPr>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09"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华容县民政局</w:t>
            </w:r>
          </w:p>
        </w:tc>
      </w:tr>
      <w:tr>
        <w:tblPrEx>
          <w:tblCellMar>
            <w:top w:w="0" w:type="dxa"/>
            <w:left w:w="108" w:type="dxa"/>
            <w:bottom w:w="0" w:type="dxa"/>
            <w:right w:w="108" w:type="dxa"/>
          </w:tblCellMar>
        </w:tblPrEx>
        <w:trPr>
          <w:trHeight w:val="863" w:hRule="atLeast"/>
          <w:jc w:val="center"/>
        </w:trPr>
        <w:tc>
          <w:tcPr>
            <w:tcW w:w="590"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584" w:hRule="atLeast"/>
          <w:jc w:val="center"/>
        </w:trPr>
        <w:tc>
          <w:tcPr>
            <w:tcW w:w="590"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40"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661.6</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4422.37</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i w:val="0"/>
                <w:iCs w:val="0"/>
                <w:sz w:val="21"/>
                <w:szCs w:val="21"/>
                <w:lang w:val="en-US" w:eastAsia="zh-CN"/>
              </w:rPr>
              <w:t>4422.37</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4299.84</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1724.84</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r>
              <w:rPr>
                <w:rFonts w:hint="eastAsia" w:ascii="新宋体" w:hAnsi="新宋体" w:eastAsia="新宋体" w:cs="新宋体"/>
                <w:i w:val="0"/>
                <w:iCs w:val="0"/>
                <w:color w:val="000000"/>
                <w:sz w:val="21"/>
                <w:szCs w:val="21"/>
                <w:lang w:val="en-US" w:eastAsia="zh-CN"/>
              </w:rPr>
              <w:t>122.52</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2697.53</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27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27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6541" w:hRule="atLeast"/>
          <w:jc w:val="center"/>
        </w:trPr>
        <w:tc>
          <w:tcPr>
            <w:tcW w:w="59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lang w:val="en-US" w:eastAsia="zh-CN"/>
              </w:rPr>
            </w:pPr>
            <w:r>
              <w:rPr>
                <w:rFonts w:hint="default"/>
                <w:lang w:val="en-US" w:eastAsia="zh-CN"/>
              </w:rPr>
              <w:t>规范城乡低保</w:t>
            </w:r>
            <w:r>
              <w:rPr>
                <w:rFonts w:hint="eastAsia"/>
                <w:lang w:val="en-US" w:eastAsia="zh-CN"/>
              </w:rPr>
              <w:t>、城乡特困供养、临时救助、孤儿、流浪乞讨救助</w:t>
            </w:r>
            <w:r>
              <w:rPr>
                <w:rFonts w:hint="default"/>
                <w:lang w:val="en-US" w:eastAsia="zh-CN"/>
              </w:rPr>
              <w:t>政策实施，合理确定保障标准，使</w:t>
            </w:r>
            <w:r>
              <w:rPr>
                <w:rFonts w:hint="eastAsia"/>
                <w:lang w:val="en-US" w:eastAsia="zh-CN"/>
              </w:rPr>
              <w:t>救助</w:t>
            </w:r>
            <w:r>
              <w:rPr>
                <w:rFonts w:hint="default"/>
                <w:lang w:val="en-US" w:eastAsia="zh-CN"/>
              </w:rPr>
              <w:t>对象基本生活得到有效保障</w:t>
            </w:r>
            <w:r>
              <w:rPr>
                <w:rFonts w:hint="eastAsia"/>
                <w:lang w:val="en-US" w:eastAsia="zh-CN"/>
              </w:rPr>
              <w:t>；</w:t>
            </w:r>
          </w:p>
          <w:p>
            <w:pPr>
              <w:pStyle w:val="2"/>
              <w:keepNext w:val="0"/>
              <w:keepLines w:val="0"/>
              <w:numPr>
                <w:ilvl w:val="0"/>
                <w:numId w:val="1"/>
              </w:numPr>
              <w:suppressLineNumbers w:val="0"/>
              <w:spacing w:before="0" w:beforeAutospacing="0" w:after="0" w:afterAutospacing="0"/>
              <w:ind w:left="0" w:right="0"/>
              <w:rPr>
                <w:rFonts w:hint="eastAsia"/>
                <w:lang w:val="en-US" w:eastAsia="zh-CN"/>
              </w:rPr>
            </w:pPr>
            <w:r>
              <w:rPr>
                <w:rFonts w:hint="eastAsia"/>
                <w:lang w:val="en-US" w:eastAsia="zh-CN"/>
              </w:rPr>
              <w:t>加强社工站建设，加强基层民政服务能力建设；</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加强社会组织监管；</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提高养老服务质量；</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稳步推进殡葬改革；</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有效巩固基层政权。</w:t>
            </w:r>
          </w:p>
        </w:tc>
        <w:tc>
          <w:tcPr>
            <w:tcW w:w="227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合理保障各类救助对象保障标准，使救助对象基本生活得以有效保障，</w:t>
            </w:r>
            <w:r>
              <w:rPr>
                <w:rFonts w:hint="default"/>
                <w:lang w:val="en-US" w:eastAsia="zh-CN"/>
              </w:rPr>
              <w:t>为生活无着的流浪乞讨人员提供临时食宿、疾病救治、协助返回等救助，并妥善安置返乡受助人员</w:t>
            </w:r>
            <w:r>
              <w:rPr>
                <w:rFonts w:hint="eastAsia"/>
                <w:lang w:val="en-US" w:eastAsia="zh-CN"/>
              </w:rPr>
              <w:t>；</w:t>
            </w:r>
            <w:r>
              <w:rPr>
                <w:rFonts w:hint="default"/>
                <w:lang w:val="en-US" w:eastAsia="zh-CN"/>
              </w:rPr>
              <w:t>规范实施农村留守儿童关爱服务和困境儿童保障相关政策，使农村留守儿童和困境儿童得到更加精准的专业服务和基本生活保障</w:t>
            </w:r>
            <w:r>
              <w:rPr>
                <w:rFonts w:hint="eastAsia"/>
                <w:lang w:val="en-US" w:eastAsia="zh-CN"/>
              </w:rPr>
              <w:t>；</w:t>
            </w:r>
            <w:r>
              <w:rPr>
                <w:rFonts w:hint="default"/>
                <w:lang w:val="en-US" w:eastAsia="zh-CN"/>
              </w:rPr>
              <w:t>提高孤儿生活保障水平，孤儿生活保障政策规范高效实施；使孤儿、艾滋病病毒感染儿童和事实无人抚养儿童基本生活得到保障</w:t>
            </w:r>
            <w:r>
              <w:rPr>
                <w:rFonts w:hint="eastAsia"/>
                <w:lang w:val="en-US" w:eastAsia="zh-CN"/>
              </w:rPr>
              <w:t>；</w:t>
            </w:r>
          </w:p>
          <w:p>
            <w:pPr>
              <w:pStyle w:val="2"/>
              <w:keepNext w:val="0"/>
              <w:keepLines w:val="0"/>
              <w:numPr>
                <w:ilvl w:val="0"/>
                <w:numId w:val="2"/>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通过第三方社会组织招聘社工充实到各乡镇社工站，为基层群众提供了更加方便、快捷、优质的社会救助和民政其它领域的社会工作服务；</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对全县各社会组织开展了年度检查，涉检组织共74家，加快推进社会建设和社会管理，激化社会活力，促进社会公平；</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百岁老人保健费、失能老人基本服务补贴、高龄补贴等优待政策全面落实。</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科学统筹推进城乡殡葬服务设施建设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积极指导城乡社区争创省级和谐示范社区、省级农村幸福社区、市级美丽社区。</w:t>
            </w:r>
          </w:p>
          <w:p>
            <w:pPr>
              <w:keepNext w:val="0"/>
              <w:keepLines w:val="0"/>
              <w:widowControl w:val="0"/>
              <w:numPr>
                <w:ilvl w:val="0"/>
                <w:numId w:val="0"/>
              </w:numPr>
              <w:suppressLineNumbers w:val="0"/>
              <w:spacing w:before="0" w:beforeAutospacing="0" w:after="0" w:afterAutospacing="0"/>
              <w:ind w:left="0" w:right="0"/>
              <w:jc w:val="both"/>
              <w:rPr>
                <w:rFonts w:hint="default"/>
                <w:lang w:val="en-US" w:eastAsia="zh-CN"/>
              </w:rPr>
            </w:pPr>
          </w:p>
          <w:p>
            <w:pPr>
              <w:pStyle w:val="2"/>
              <w:keepNext w:val="0"/>
              <w:keepLines w:val="0"/>
              <w:suppressLineNumbers w:val="0"/>
              <w:spacing w:before="0" w:beforeAutospacing="0" w:after="0" w:afterAutospacing="0"/>
              <w:ind w:left="0" w:right="0"/>
              <w:rPr>
                <w:rFonts w:hint="eastAsia"/>
                <w:lang w:val="en-US" w:eastAsia="zh-CN"/>
              </w:rPr>
            </w:pP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Times New Roman" w:hAnsi="Times New Roman" w:cs="Times New Roman" w:eastAsiaTheme="minorEastAsia"/>
                <w:color w:val="000000"/>
                <w:kern w:val="0"/>
                <w:sz w:val="21"/>
                <w:szCs w:val="21"/>
                <w:lang w:val="en-US" w:eastAsia="zh-CN" w:bidi="ar"/>
              </w:rPr>
              <w:t>救助</w:t>
            </w:r>
            <w:r>
              <w:rPr>
                <w:rFonts w:hint="default" w:ascii="Times New Roman" w:hAnsi="Times New Roman" w:cs="Times New Roman" w:eastAsiaTheme="minorEastAsia"/>
                <w:color w:val="000000"/>
                <w:kern w:val="0"/>
                <w:sz w:val="21"/>
                <w:szCs w:val="21"/>
                <w:lang w:val="en-US" w:eastAsia="zh-CN" w:bidi="ar"/>
              </w:rPr>
              <w:t>对象人数</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应保尽保、应救尽救</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应保尽保、应救尽救</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孤儿、艾滋病病毒感染儿童、生活困难家庭中的和纳入特困人员救助供养范围的事实无人抚养儿童纳入保障范围率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1276"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农村留守儿童、困境儿童纳入监测范围率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≥85%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85%</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城乡低保标准</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建立社会救助家庭经济状况核对机制的县市区比例</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资金使用率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37"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救助对象生活费按时发放率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98%</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受助人员救助情况当天录入救助业务管理信息系统率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资金到位时效</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人员支出</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210" w:firstLineChars="10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1292.99</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公用经费</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431.84</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3</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项目支出</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2697.53</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困难群众生活水平情况</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生活水平有所提升</w:t>
            </w: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生活水平有所提升</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7</w:t>
            </w: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帮助查明身份滞留流浪乞讨人员返乡情况</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自愿前来救助站或由公安等部门送至救助站的传销解救人员、打拐解救人员、家暴受害者等提供临时救助服务率</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 w:hAnsi="仿宋" w:eastAsia="仿宋" w:cs="仿宋"/>
                <w:sz w:val="24"/>
              </w:rPr>
              <w:t>稳步推进殡葬改</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有利于树立科学、文明、健康的生活方式，简化丧事，减轻群众办丧负担，提高人们的生活水平和质量。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有利于树立科学、文明、健康的生活方式，简化丧事，减轻群众办丧负担，提高人们的生活水平和质量。</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6"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政策实施满意度</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w:t>
            </w:r>
            <w:r>
              <w:rPr>
                <w:rFonts w:hint="eastAsia" w:ascii="Times New Roman" w:hAnsi="Times New Roman" w:cs="Times New Roman" w:eastAsiaTheme="minorEastAsia"/>
                <w:color w:val="000000"/>
                <w:kern w:val="0"/>
                <w:sz w:val="21"/>
                <w:szCs w:val="21"/>
                <w:lang w:val="en-US" w:eastAsia="zh-CN" w:bidi="ar"/>
              </w:rPr>
              <w:t>90</w:t>
            </w:r>
            <w:r>
              <w:rPr>
                <w:rFonts w:hint="default" w:ascii="Times New Roman" w:hAnsi="Times New Roman" w:cs="Times New Roman" w:eastAsiaTheme="minorEastAsia"/>
                <w:color w:val="000000"/>
                <w:kern w:val="0"/>
                <w:sz w:val="21"/>
                <w:szCs w:val="21"/>
                <w:lang w:val="en-US" w:eastAsia="zh-CN" w:bidi="ar"/>
              </w:rPr>
              <w:t>%</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00" w:hRule="atLeast"/>
          <w:jc w:val="center"/>
        </w:trPr>
        <w:tc>
          <w:tcPr>
            <w:tcW w:w="59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3"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6"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9"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62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73"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550"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2"/>
        <w:rPr>
          <w:rFonts w:hint="default"/>
          <w:lang w:val="en-US" w:eastAsia="zh-CN"/>
        </w:rPr>
      </w:pPr>
    </w:p>
    <w:p>
      <w:pPr>
        <w:rPr>
          <w:rFonts w:hint="eastAsia"/>
          <w:lang w:val="en-US"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p>
    <w:p>
      <w:pPr>
        <w:pStyle w:val="2"/>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lang w:val="en-US" w:eastAsia="zh-CN"/>
        </w:rPr>
        <w:t>(本级)</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民政局（本级）</w:t>
      </w:r>
      <w:r>
        <w:rPr>
          <w:rFonts w:hint="eastAsia" w:ascii="方正小标宋简体" w:hAnsi="方正小标宋简体" w:eastAsia="方正小标宋简体" w:cs="方正小标宋简体"/>
          <w:sz w:val="44"/>
          <w:szCs w:val="44"/>
        </w:rPr>
        <w:t>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3"/>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pStyle w:val="4"/>
        <w:widowControl/>
        <w:wordWrap w:val="0"/>
        <w:spacing w:line="560" w:lineRule="exact"/>
        <w:ind w:firstLine="600" w:firstLineChars="200"/>
        <w:rPr>
          <w:rFonts w:ascii="仿宋" w:hAnsi="仿宋" w:eastAsia="仿宋"/>
          <w:sz w:val="30"/>
          <w:szCs w:val="30"/>
        </w:rPr>
      </w:pPr>
      <w:r>
        <w:rPr>
          <w:rFonts w:hint="eastAsia" w:ascii="仿宋" w:hAnsi="仿宋" w:eastAsia="仿宋" w:cs="仿宋"/>
          <w:color w:val="000000"/>
          <w:sz w:val="30"/>
          <w:szCs w:val="30"/>
        </w:rPr>
        <w:t>华容县民政局负责全县的社会救助、社会福利、社会组织、社区建设、殡葬改革、婚姻登记、区划地名等项工作。</w:t>
      </w:r>
      <w:r>
        <w:rPr>
          <w:rFonts w:hint="eastAsia" w:ascii="仿宋" w:hAnsi="仿宋" w:eastAsia="仿宋" w:cs="仿宋_GB2312"/>
          <w:sz w:val="30"/>
          <w:szCs w:val="30"/>
        </w:rPr>
        <w:t>内设办公室、财务统计股、社会事务股、儿童福利股、政策法规股和行政审批股、慈善事业促进与社会工作股、基层政权和区划地名股、养老服务股、社会组织管理股9个股室，辖县社会救助局</w:t>
      </w:r>
      <w:r>
        <w:rPr>
          <w:rFonts w:ascii="仿宋" w:hAnsi="仿宋" w:eastAsia="仿宋" w:cs="仿宋_GB2312"/>
          <w:sz w:val="30"/>
          <w:szCs w:val="30"/>
        </w:rPr>
        <w:t>1</w:t>
      </w:r>
      <w:r>
        <w:rPr>
          <w:rFonts w:hint="eastAsia" w:ascii="仿宋" w:hAnsi="仿宋" w:eastAsia="仿宋" w:cs="仿宋_GB2312"/>
          <w:sz w:val="30"/>
          <w:szCs w:val="30"/>
        </w:rPr>
        <w:t>个副科级二级单位，募捐办、社会福利中心、殡葬管理所、殡葬执法大队、救助管理站、婚姻登记处、儿童福利院7个二级事业单位。指导</w:t>
      </w:r>
      <w:r>
        <w:rPr>
          <w:rFonts w:ascii="仿宋" w:hAnsi="仿宋" w:eastAsia="仿宋" w:cs="仿宋_GB2312"/>
          <w:sz w:val="30"/>
          <w:szCs w:val="30"/>
        </w:rPr>
        <w:t>16</w:t>
      </w:r>
      <w:r>
        <w:rPr>
          <w:rFonts w:hint="eastAsia" w:ascii="仿宋" w:hAnsi="仿宋" w:eastAsia="仿宋" w:cs="仿宋_GB2312"/>
          <w:sz w:val="30"/>
          <w:szCs w:val="30"/>
        </w:rPr>
        <w:t>个乡镇民政办（含工业园和田家湖生态新区管委会）和</w:t>
      </w:r>
      <w:r>
        <w:rPr>
          <w:rFonts w:ascii="仿宋" w:hAnsi="仿宋" w:eastAsia="仿宋" w:cs="仿宋_GB2312"/>
          <w:sz w:val="30"/>
          <w:szCs w:val="30"/>
        </w:rPr>
        <w:t>21</w:t>
      </w:r>
      <w:r>
        <w:rPr>
          <w:rFonts w:hint="eastAsia" w:ascii="仿宋" w:hAnsi="仿宋" w:eastAsia="仿宋" w:cs="仿宋_GB2312"/>
          <w:sz w:val="30"/>
          <w:szCs w:val="30"/>
        </w:rPr>
        <w:t>所乡镇敬老院。</w:t>
      </w:r>
    </w:p>
    <w:p>
      <w:pPr>
        <w:pStyle w:val="2"/>
        <w:numPr>
          <w:ilvl w:val="0"/>
          <w:numId w:val="0"/>
        </w:numPr>
        <w:rPr>
          <w:rFonts w:hint="default"/>
        </w:rPr>
      </w:pPr>
    </w:p>
    <w:p>
      <w:pPr>
        <w:pStyle w:val="7"/>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二、基本支出情况</w:t>
      </w:r>
    </w:p>
    <w:p>
      <w:pPr>
        <w:pStyle w:val="4"/>
        <w:widowControl/>
        <w:wordWrap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年度财政预算</w:t>
      </w:r>
      <w:r>
        <w:rPr>
          <w:rFonts w:hint="eastAsia" w:ascii="仿宋" w:hAnsi="仿宋" w:eastAsia="仿宋" w:cs="仿宋_GB2312"/>
          <w:sz w:val="30"/>
          <w:szCs w:val="30"/>
          <w:lang w:eastAsia="zh-CN"/>
        </w:rPr>
        <w:t>基本支出</w:t>
      </w:r>
      <w:r>
        <w:rPr>
          <w:rFonts w:hint="eastAsia" w:ascii="仿宋" w:hAnsi="仿宋" w:eastAsia="仿宋" w:cs="仿宋_GB2312"/>
          <w:sz w:val="30"/>
          <w:szCs w:val="30"/>
          <w:lang w:val="en-US" w:eastAsia="zh-CN"/>
        </w:rPr>
        <w:t>1724.84</w:t>
      </w:r>
      <w:r>
        <w:rPr>
          <w:rFonts w:hint="eastAsia" w:ascii="仿宋" w:hAnsi="仿宋" w:eastAsia="仿宋" w:cs="仿宋_GB2312"/>
          <w:sz w:val="30"/>
          <w:szCs w:val="30"/>
        </w:rPr>
        <w:t>万元，其中：人员支出</w:t>
      </w:r>
      <w:r>
        <w:rPr>
          <w:rFonts w:hint="eastAsia" w:ascii="仿宋" w:hAnsi="仿宋" w:eastAsia="仿宋" w:cs="仿宋_GB2312"/>
          <w:sz w:val="30"/>
          <w:szCs w:val="30"/>
          <w:lang w:val="en-US" w:eastAsia="zh-CN"/>
        </w:rPr>
        <w:t>1292.99</w:t>
      </w:r>
      <w:r>
        <w:rPr>
          <w:rFonts w:hint="eastAsia" w:ascii="仿宋" w:hAnsi="仿宋" w:eastAsia="仿宋" w:cs="仿宋_GB2312"/>
          <w:sz w:val="30"/>
          <w:szCs w:val="30"/>
        </w:rPr>
        <w:t>万元，公用支出</w:t>
      </w:r>
      <w:r>
        <w:rPr>
          <w:rFonts w:hint="eastAsia" w:ascii="仿宋" w:hAnsi="仿宋" w:eastAsia="仿宋" w:cs="仿宋_GB2312"/>
          <w:sz w:val="30"/>
          <w:szCs w:val="30"/>
          <w:lang w:val="en-US" w:eastAsia="zh-CN"/>
        </w:rPr>
        <w:t>431.84</w:t>
      </w:r>
      <w:r>
        <w:rPr>
          <w:rFonts w:hint="eastAsia" w:ascii="仿宋" w:hAnsi="仿宋" w:eastAsia="仿宋" w:cs="仿宋_GB2312"/>
          <w:sz w:val="30"/>
          <w:szCs w:val="30"/>
        </w:rPr>
        <w:t>万元。</w:t>
      </w:r>
    </w:p>
    <w:p>
      <w:pPr>
        <w:pStyle w:val="7"/>
        <w:keepNext w:val="0"/>
        <w:keepLines w:val="0"/>
        <w:pageBreakBefore w:val="0"/>
        <w:widowControl/>
        <w:kinsoku/>
        <w:wordWrap/>
        <w:overflowPunct/>
        <w:topLinePunct w:val="0"/>
        <w:autoSpaceDE/>
        <w:autoSpaceDN/>
        <w:bidi w:val="0"/>
        <w:adjustRightInd/>
        <w:snapToGrid/>
        <w:spacing w:line="61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三、项目支出情况</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1、专项资金安排落实、总投入等情况分析</w:t>
      </w:r>
    </w:p>
    <w:p>
      <w:pPr>
        <w:pStyle w:val="4"/>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我县民政专项资金总额2697.52万元，主要用于社会福利300.3万元、残疾人事业费1349.8万元、最低基本生活保障0万元、临时救助0.34万元、特困人员救助供养233.41万元和其他农村社会救助0万元、彩票机构销售业务费24.61万元、彩票公益金支出97.9万元、殡仪馆建设340万元、其他民政管理事务351.15万元。</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2、专项资金实际使用情况及管理情况分析</w:t>
      </w:r>
    </w:p>
    <w:p>
      <w:pPr>
        <w:pStyle w:val="4"/>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社会福利300.3万元、残疾人事业费1349.8万元、最低基本生活保障0万元、临时救助0.34万元、特困人员救助供养233.41万元和其他农村社会救助0万元、彩票机构销售业务费24.61万元、彩票公益金支出97.9万元、殡仪馆建设340万元、其他民政管理事务351.15万元。</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总结归纳本部门（单位）“四本预算”支出的绩效目标完成情况，实现产出和取得效益的情况。围绕部门（单位）职责、行业发展规划，以预算资金管理为主线，总结部门（单位）资产管理和开展业务情况，从运行成本、管理效率、履职效能、社会效应、可持续发展能力和服务对象满意度等方面，衡量部门（单位）整体及核心业务实施效果。</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为贯彻执行国家预算法，加强预算绩效管理，我局严格按预算绩效管理的相关要求开展预算工作，我局2022年总支出为</w:t>
      </w:r>
      <w:r>
        <w:rPr>
          <w:rFonts w:hint="eastAsia" w:eastAsia="仿宋_GB2312" w:cs="Times New Roman"/>
          <w:color w:val="000000"/>
          <w:sz w:val="32"/>
          <w:szCs w:val="32"/>
          <w:lang w:val="en-US" w:eastAsia="zh-CN"/>
        </w:rPr>
        <w:t>4422.37</w:t>
      </w:r>
      <w:r>
        <w:rPr>
          <w:rFonts w:hint="eastAsia" w:ascii="Times New Roman" w:hAnsi="Times New Roman" w:eastAsia="仿宋_GB2312" w:cs="Times New Roman"/>
          <w:color w:val="000000"/>
          <w:sz w:val="32"/>
          <w:szCs w:val="32"/>
          <w:lang w:val="en-US" w:eastAsia="zh-CN"/>
        </w:rPr>
        <w:t>万元。其中：基本支出</w:t>
      </w:r>
      <w:r>
        <w:rPr>
          <w:rFonts w:hint="eastAsia" w:eastAsia="仿宋_GB2312" w:cs="Times New Roman"/>
          <w:color w:val="000000"/>
          <w:sz w:val="32"/>
          <w:szCs w:val="32"/>
          <w:lang w:val="en-US" w:eastAsia="zh-CN"/>
        </w:rPr>
        <w:t>1724.84</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39</w:t>
      </w:r>
      <w:r>
        <w:rPr>
          <w:rFonts w:hint="eastAsia" w:ascii="Times New Roman" w:hAnsi="Times New Roman" w:eastAsia="仿宋_GB2312" w:cs="Times New Roman"/>
          <w:color w:val="000000"/>
          <w:sz w:val="32"/>
          <w:szCs w:val="32"/>
          <w:lang w:val="en-US" w:eastAsia="zh-CN"/>
        </w:rPr>
        <w:t>%;项目支出</w:t>
      </w:r>
      <w:r>
        <w:rPr>
          <w:rFonts w:hint="eastAsia" w:eastAsia="仿宋_GB2312" w:cs="Times New Roman"/>
          <w:color w:val="000000"/>
          <w:sz w:val="32"/>
          <w:szCs w:val="32"/>
          <w:lang w:val="en-US" w:eastAsia="zh-CN"/>
        </w:rPr>
        <w:t>2697.53</w:t>
      </w:r>
      <w:r>
        <w:rPr>
          <w:rFonts w:hint="eastAsia" w:ascii="Times New Roman" w:hAnsi="Times New Roman" w:eastAsia="仿宋_GB2312" w:cs="Times New Roman"/>
          <w:color w:val="000000"/>
          <w:sz w:val="32"/>
          <w:szCs w:val="32"/>
          <w:lang w:val="en-US" w:eastAsia="zh-CN"/>
        </w:rPr>
        <w:t>万元,占总支出的</w:t>
      </w:r>
      <w:r>
        <w:rPr>
          <w:rFonts w:hint="eastAsia" w:eastAsia="仿宋_GB2312" w:cs="Times New Roman"/>
          <w:color w:val="000000"/>
          <w:sz w:val="32"/>
          <w:szCs w:val="32"/>
          <w:lang w:val="en-US" w:eastAsia="zh-CN"/>
        </w:rPr>
        <w:t>61</w:t>
      </w:r>
      <w:r>
        <w:rPr>
          <w:rFonts w:hint="eastAsia" w:ascii="Times New Roman" w:hAnsi="Times New Roman" w:eastAsia="仿宋_GB2312" w:cs="Times New Roman"/>
          <w:color w:val="000000"/>
          <w:sz w:val="32"/>
          <w:szCs w:val="32"/>
          <w:lang w:val="en-US" w:eastAsia="zh-CN"/>
        </w:rPr>
        <w:t>%。我局切实以绩效管理为目标，健全单位绩效管理工作机制，明确责任，努力提高绩效管理工作水平；加强单位制度建设，提升预算管理质量。合理保障各类救助对象保障标准，使救助对象基本生活得以有效保障，</w:t>
      </w:r>
      <w:r>
        <w:rPr>
          <w:rFonts w:hint="default" w:ascii="Times New Roman" w:hAnsi="Times New Roman" w:eastAsia="仿宋_GB2312" w:cs="Times New Roman"/>
          <w:color w:val="000000"/>
          <w:sz w:val="32"/>
          <w:szCs w:val="32"/>
          <w:lang w:val="en-US" w:eastAsia="zh-CN"/>
        </w:rPr>
        <w:t>为生活无着的流浪乞讨人员提供临时食宿、疾病救治、协助返回等救助，并妥善安置返乡受助人员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规范实施农村留守儿童关爱服务和困境儿童保障相关政策，使农村留守儿童和困境儿童得到更加精准的专业服务和基本生活保障</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提高孤儿生活保障水平，孤儿生活保障政策规范高效实施；使孤儿、艾滋病病毒感染儿童和事实无人抚养儿童基本生活得到保障</w:t>
      </w:r>
      <w:r>
        <w:rPr>
          <w:rFonts w:hint="eastAsia" w:ascii="Times New Roman" w:hAnsi="Times New Roman" w:eastAsia="仿宋_GB2312" w:cs="Times New Roman"/>
          <w:color w:val="000000"/>
          <w:sz w:val="32"/>
          <w:szCs w:val="32"/>
          <w:lang w:val="en-US" w:eastAsia="zh-CN"/>
        </w:rPr>
        <w:t>；通过第三方社会组织招聘社工充实到各乡镇社工站，为基层群众提供了更加方便、快捷、优质的社会救助和民政其它领域的社会工作服务；对全县各社会组织开展了年度检查，涉检组织共74家，加快推进社会建设和社会管理，激化社会活力，促进社会公平；百岁老人保健费、失能老人基本服务补贴、高龄补贴等优待政策全面落实。科学统筹推进城乡殡葬服务设施建设</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积极指导城乡社区争创省级和谐示范社区、省级农村幸福社区、市级美丽社区。</w:t>
      </w:r>
    </w:p>
    <w:p>
      <w:pPr>
        <w:pStyle w:val="7"/>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1、资金预算刚性不够，预算编制与实际支出项目有的存在差异</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2、资金预算量与民政事业发展需求增加存在矛盾</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、下一步改进措施</w:t>
      </w:r>
    </w:p>
    <w:p>
      <w:pPr>
        <w:pStyle w:val="3"/>
        <w:ind w:firstLine="1280" w:firstLineChars="4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1、严格按预算安排支出，压缩非必要的机构运行经费、</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2、有效运用绩效评价结果，逐步增加预算资金，缓解资金不足与民政事业发展需求的矛盾。</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r>
        <w:rPr>
          <w:rFonts w:hint="eastAsia" w:eastAsia="黑体" w:cs="Times New Roman"/>
          <w:sz w:val="32"/>
          <w:szCs w:val="32"/>
          <w:lang w:eastAsia="zh-CN"/>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C230A"/>
    <w:multiLevelType w:val="singleLevel"/>
    <w:tmpl w:val="FB2C230A"/>
    <w:lvl w:ilvl="0" w:tentative="0">
      <w:start w:val="1"/>
      <w:numFmt w:val="chineseCounting"/>
      <w:suff w:val="nothing"/>
      <w:lvlText w:val="%1、"/>
      <w:lvlJc w:val="left"/>
      <w:rPr>
        <w:rFonts w:hint="eastAsia"/>
      </w:rPr>
    </w:lvl>
  </w:abstractNum>
  <w:abstractNum w:abstractNumId="1">
    <w:nsid w:val="03810D02"/>
    <w:multiLevelType w:val="singleLevel"/>
    <w:tmpl w:val="03810D02"/>
    <w:lvl w:ilvl="0" w:tentative="0">
      <w:start w:val="1"/>
      <w:numFmt w:val="decimal"/>
      <w:lvlText w:val="%1."/>
      <w:lvlJc w:val="left"/>
      <w:pPr>
        <w:tabs>
          <w:tab w:val="left" w:pos="312"/>
        </w:tabs>
      </w:pPr>
    </w:lvl>
  </w:abstractNum>
  <w:abstractNum w:abstractNumId="2">
    <w:nsid w:val="6E509AEA"/>
    <w:multiLevelType w:val="singleLevel"/>
    <w:tmpl w:val="6E509AEA"/>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407A307A"/>
    <w:rsid w:val="407A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Body Text"/>
    <w:basedOn w:val="1"/>
    <w:qFormat/>
    <w:uiPriority w:val="0"/>
    <w:pPr>
      <w:spacing w:after="120"/>
    </w:pPr>
  </w:style>
  <w:style w:type="paragraph" w:styleId="4">
    <w:name w:val="Normal (Web)"/>
    <w:basedOn w:val="1"/>
    <w:qFormat/>
    <w:uiPriority w:val="99"/>
    <w:rPr>
      <w:sz w:val="24"/>
    </w:rPr>
  </w:style>
  <w:style w:type="paragraph" w:styleId="7">
    <w:name w:val="List Paragraph"/>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2023-12-13T02:43:00Z</dcterms:created>
  <dc:creator>戴</dc:creator>
  <cp:lastModifiedBy>戴</cp:lastModifiedBy>
  <dcterms:modified xsi:type="dcterms:W3CDTF">2023-12-13T02:43:32Z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81B547B883884A3FB6B82D6D323DBF9E_11</vt:lpwstr>
  </property>
</Properties>
</file>