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24" w:lineRule="auto"/>
        <w:rPr>
          <w:rFonts w:ascii="黑体" w:hAnsi="黑体" w:eastAsia="黑体" w:cs="黑体"/>
          <w:sz w:val="33"/>
          <w:szCs w:val="33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附件1</w:t>
      </w:r>
    </w:p>
    <w:p>
      <w:pPr>
        <w:spacing w:before="244" w:line="218" w:lineRule="auto"/>
        <w:ind w:left="39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"/>
          <w:sz w:val="44"/>
          <w:szCs w:val="44"/>
        </w:rPr>
        <w:t>2022年度部门整体支出绩效评价基础数据表</w:t>
      </w:r>
    </w:p>
    <w:p/>
    <w:p>
      <w:pPr>
        <w:spacing w:line="65" w:lineRule="exact"/>
      </w:pPr>
    </w:p>
    <w:tbl>
      <w:tblPr>
        <w:tblStyle w:val="6"/>
        <w:tblW w:w="92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7"/>
        <w:gridCol w:w="1863"/>
        <w:gridCol w:w="2427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297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财政供养人员情况(人)</w:t>
            </w:r>
          </w:p>
        </w:tc>
        <w:tc>
          <w:tcPr>
            <w:tcW w:w="1863" w:type="dxa"/>
            <w:vAlign w:val="top"/>
          </w:tcPr>
          <w:p>
            <w:pPr>
              <w:spacing w:before="163" w:line="219" w:lineRule="auto"/>
              <w:ind w:left="6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编制数</w:t>
            </w:r>
          </w:p>
        </w:tc>
        <w:tc>
          <w:tcPr>
            <w:tcW w:w="2427" w:type="dxa"/>
            <w:vAlign w:val="top"/>
          </w:tcPr>
          <w:p>
            <w:pPr>
              <w:spacing w:before="163" w:line="219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2022年实际在职人数</w:t>
            </w:r>
          </w:p>
        </w:tc>
        <w:tc>
          <w:tcPr>
            <w:tcW w:w="1673" w:type="dxa"/>
            <w:vAlign w:val="top"/>
          </w:tcPr>
          <w:p>
            <w:pPr>
              <w:spacing w:before="163" w:line="219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控制率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17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97" w:type="dxa"/>
            <w:vAlign w:val="top"/>
          </w:tcPr>
          <w:p>
            <w:pPr>
              <w:spacing w:before="170" w:line="220" w:lineRule="auto"/>
              <w:ind w:left="5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经费控制情况(万元)</w:t>
            </w:r>
          </w:p>
        </w:tc>
        <w:tc>
          <w:tcPr>
            <w:tcW w:w="1863" w:type="dxa"/>
            <w:vAlign w:val="top"/>
          </w:tcPr>
          <w:p>
            <w:pPr>
              <w:spacing w:before="169" w:line="219" w:lineRule="auto"/>
              <w:ind w:left="3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2021年决算数</w:t>
            </w:r>
          </w:p>
        </w:tc>
        <w:tc>
          <w:tcPr>
            <w:tcW w:w="2427" w:type="dxa"/>
            <w:vAlign w:val="top"/>
          </w:tcPr>
          <w:p>
            <w:pPr>
              <w:spacing w:before="169" w:line="219" w:lineRule="auto"/>
              <w:ind w:left="5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2022年预算数</w:t>
            </w:r>
          </w:p>
        </w:tc>
        <w:tc>
          <w:tcPr>
            <w:tcW w:w="1673" w:type="dxa"/>
            <w:vAlign w:val="top"/>
          </w:tcPr>
          <w:p>
            <w:pPr>
              <w:spacing w:before="169" w:line="219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2022年决算数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97" w:type="dxa"/>
            <w:vAlign w:val="top"/>
          </w:tcPr>
          <w:p>
            <w:pPr>
              <w:spacing w:before="168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、基本支出：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557.74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350.6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350.60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3297" w:type="dxa"/>
            <w:vAlign w:val="top"/>
          </w:tcPr>
          <w:p>
            <w:pPr>
              <w:spacing w:before="161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其中：三公经费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2.86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97" w:type="dxa"/>
            <w:vAlign w:val="top"/>
          </w:tcPr>
          <w:p>
            <w:pPr>
              <w:spacing w:before="171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1.公务用车购置和维护经费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97" w:type="dxa"/>
            <w:vAlign w:val="top"/>
          </w:tcPr>
          <w:p>
            <w:pPr>
              <w:spacing w:before="171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其中：公车购置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297" w:type="dxa"/>
            <w:vAlign w:val="top"/>
          </w:tcPr>
          <w:p>
            <w:pPr>
              <w:spacing w:before="162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公车运行维护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3297" w:type="dxa"/>
            <w:vAlign w:val="top"/>
          </w:tcPr>
          <w:p>
            <w:pPr>
              <w:spacing w:before="163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2.出国经费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97" w:type="dxa"/>
            <w:vAlign w:val="top"/>
          </w:tcPr>
          <w:p>
            <w:pPr>
              <w:spacing w:before="173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3.公务接待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2.86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297" w:type="dxa"/>
            <w:vAlign w:val="top"/>
          </w:tcPr>
          <w:p>
            <w:pPr>
              <w:spacing w:before="165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二、项目支出：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6617.7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6793.9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6793.9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3297" w:type="dxa"/>
            <w:vAlign w:val="center"/>
          </w:tcPr>
          <w:p>
            <w:pPr>
              <w:spacing w:before="162" w:line="219" w:lineRule="auto"/>
              <w:ind w:left="95"/>
              <w:rPr>
                <w:rFonts w:hint="default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1.其他巩固脱贫衔接乡村振兴支出</w:t>
            </w:r>
          </w:p>
        </w:tc>
        <w:tc>
          <w:tcPr>
            <w:tcW w:w="1863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3394.00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3394.00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297" w:type="dxa"/>
            <w:vAlign w:val="center"/>
          </w:tcPr>
          <w:p>
            <w:pPr>
              <w:spacing w:before="162" w:line="219" w:lineRule="auto"/>
              <w:ind w:left="95"/>
              <w:rPr>
                <w:rFonts w:hint="default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2.公路建设支出</w:t>
            </w:r>
          </w:p>
        </w:tc>
        <w:tc>
          <w:tcPr>
            <w:tcW w:w="1863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250.00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97" w:type="dxa"/>
            <w:vAlign w:val="center"/>
          </w:tcPr>
          <w:p>
            <w:pPr>
              <w:spacing w:before="162" w:line="219" w:lineRule="auto"/>
              <w:ind w:left="95"/>
              <w:rPr>
                <w:rFonts w:hint="default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3.公路养护支出</w:t>
            </w:r>
          </w:p>
        </w:tc>
        <w:tc>
          <w:tcPr>
            <w:tcW w:w="1863" w:type="dxa"/>
            <w:vAlign w:val="center"/>
          </w:tcPr>
          <w:p>
            <w:pPr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1188.00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1188.00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3297" w:type="dxa"/>
            <w:vAlign w:val="center"/>
          </w:tcPr>
          <w:p>
            <w:pPr>
              <w:spacing w:before="162" w:line="219" w:lineRule="auto"/>
              <w:ind w:left="95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4.其他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公路水路运输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支出</w:t>
            </w:r>
          </w:p>
        </w:tc>
        <w:tc>
          <w:tcPr>
            <w:tcW w:w="1863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1958.90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1958.90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97" w:type="dxa"/>
            <w:vAlign w:val="center"/>
          </w:tcPr>
          <w:p>
            <w:pPr>
              <w:spacing w:before="162" w:line="219" w:lineRule="auto"/>
              <w:ind w:left="95"/>
              <w:rPr>
                <w:rFonts w:hint="default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5. 一般行政管理事务支出</w:t>
            </w:r>
          </w:p>
        </w:tc>
        <w:tc>
          <w:tcPr>
            <w:tcW w:w="1863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3.00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3297" w:type="dxa"/>
            <w:vAlign w:val="center"/>
          </w:tcPr>
          <w:p>
            <w:pPr>
              <w:spacing w:before="162" w:line="219" w:lineRule="auto"/>
              <w:ind w:left="9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厉行节约</w:t>
            </w:r>
            <w:r>
              <w:rPr>
                <w:rFonts w:ascii="宋体" w:hAnsi="宋体" w:eastAsia="宋体" w:cs="宋体"/>
                <w:color w:val="auto"/>
                <w:spacing w:val="1"/>
                <w:sz w:val="21"/>
                <w:szCs w:val="21"/>
              </w:rPr>
              <w:t>保障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措施</w:t>
            </w:r>
          </w:p>
        </w:tc>
        <w:tc>
          <w:tcPr>
            <w:tcW w:w="5963" w:type="dxa"/>
            <w:gridSpan w:val="3"/>
            <w:vAlign w:val="center"/>
          </w:tcPr>
          <w:p>
            <w:pPr>
              <w:spacing w:before="162" w:line="219" w:lineRule="auto"/>
              <w:ind w:left="95" w:firstLine="420" w:firstLineChars="200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宣传动员过紧</w:t>
            </w:r>
            <w:r>
              <w:rPr>
                <w:rFonts w:hint="eastAsia" w:eastAsia="宋体"/>
                <w:sz w:val="21"/>
                <w:lang w:eastAsia="zh-CN"/>
              </w:rPr>
              <w:t>日子的观念，强化勤俭认识；加强党风廉政建设，严格控制行政支出，节约办公耗材、水电，压缩三公经费；严肃财经纪律，加强督查，认真开展自查自纠。</w:t>
            </w:r>
          </w:p>
        </w:tc>
      </w:tr>
    </w:tbl>
    <w:p>
      <w:pPr>
        <w:spacing w:before="132" w:line="336" w:lineRule="auto"/>
        <w:ind w:left="95" w:right="10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1"/>
          <w:sz w:val="22"/>
          <w:szCs w:val="22"/>
        </w:rPr>
        <w:t>说明：以上数据均来源于部门决算报表，其中“基本支出”数据参照基本支出决算明细表(财决05-1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6"/>
          <w:sz w:val="22"/>
          <w:szCs w:val="22"/>
        </w:rPr>
        <w:t>表);“三公经费”数据参照机构运行信息表(财决附03表);“项目支出”数据参照项目支出决算</w:t>
      </w:r>
      <w:r>
        <w:rPr>
          <w:rFonts w:ascii="宋体" w:hAnsi="宋体" w:eastAsia="宋体" w:cs="宋体"/>
          <w:spacing w:val="-7"/>
          <w:sz w:val="22"/>
          <w:szCs w:val="22"/>
        </w:rPr>
        <w:t>明</w:t>
      </w:r>
    </w:p>
    <w:p>
      <w:pPr>
        <w:spacing w:line="219" w:lineRule="auto"/>
        <w:ind w:left="9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9"/>
          <w:sz w:val="22"/>
          <w:szCs w:val="22"/>
        </w:rPr>
        <w:t>细表(财决05-2表)。</w:t>
      </w:r>
    </w:p>
    <w:p>
      <w:pPr>
        <w:spacing w:line="453" w:lineRule="auto"/>
        <w:rPr>
          <w:rFonts w:ascii="Arial"/>
          <w:sz w:val="21"/>
        </w:rPr>
      </w:pPr>
    </w:p>
    <w:p>
      <w:pPr>
        <w:spacing w:before="72" w:line="232" w:lineRule="auto"/>
        <w:ind w:left="95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ascii="仿宋" w:hAnsi="仿宋" w:eastAsia="仿宋" w:cs="仿宋"/>
          <w:spacing w:val="-22"/>
          <w:position w:val="-1"/>
          <w:sz w:val="22"/>
          <w:szCs w:val="22"/>
        </w:rPr>
        <w:t>填表人：</w:t>
      </w:r>
      <w:r>
        <w:rPr>
          <w:rFonts w:hint="eastAsia" w:ascii="仿宋" w:hAnsi="仿宋" w:eastAsia="仿宋" w:cs="仿宋"/>
          <w:spacing w:val="-22"/>
          <w:position w:val="-1"/>
          <w:sz w:val="22"/>
          <w:szCs w:val="22"/>
          <w:lang w:val="en-US" w:eastAsia="zh-CN"/>
        </w:rPr>
        <w:t>吴丹</w:t>
      </w:r>
      <w:r>
        <w:rPr>
          <w:rFonts w:ascii="仿宋" w:hAnsi="仿宋" w:eastAsia="仿宋" w:cs="仿宋"/>
          <w:spacing w:val="3"/>
          <w:position w:val="-1"/>
          <w:sz w:val="22"/>
          <w:szCs w:val="22"/>
        </w:rPr>
        <w:t xml:space="preserve">       </w:t>
      </w:r>
      <w:r>
        <w:rPr>
          <w:rFonts w:ascii="仿宋" w:hAnsi="仿宋" w:eastAsia="仿宋" w:cs="仿宋"/>
          <w:spacing w:val="-22"/>
          <w:sz w:val="22"/>
          <w:szCs w:val="22"/>
        </w:rPr>
        <w:t>填报日期：</w:t>
      </w:r>
      <w:r>
        <w:rPr>
          <w:rFonts w:hint="eastAsia" w:ascii="仿宋" w:hAnsi="仿宋" w:eastAsia="仿宋" w:cs="仿宋"/>
          <w:spacing w:val="-22"/>
          <w:sz w:val="22"/>
          <w:szCs w:val="22"/>
          <w:lang w:val="en-US" w:eastAsia="zh-CN"/>
        </w:rPr>
        <w:t>2023-7-6</w:t>
      </w:r>
      <w:r>
        <w:rPr>
          <w:rFonts w:ascii="仿宋" w:hAnsi="仿宋" w:eastAsia="仿宋" w:cs="仿宋"/>
          <w:spacing w:val="2"/>
          <w:sz w:val="22"/>
          <w:szCs w:val="22"/>
        </w:rPr>
        <w:t xml:space="preserve">        </w:t>
      </w:r>
      <w:r>
        <w:rPr>
          <w:rFonts w:ascii="仿宋" w:hAnsi="仿宋" w:eastAsia="仿宋" w:cs="仿宋"/>
          <w:spacing w:val="-22"/>
          <w:sz w:val="22"/>
          <w:szCs w:val="22"/>
        </w:rPr>
        <w:t>联系电话：</w:t>
      </w:r>
      <w:r>
        <w:rPr>
          <w:rFonts w:hint="eastAsia" w:ascii="仿宋" w:hAnsi="仿宋" w:eastAsia="仿宋" w:cs="仿宋"/>
          <w:spacing w:val="-22"/>
          <w:sz w:val="22"/>
          <w:szCs w:val="22"/>
          <w:lang w:val="en-US" w:eastAsia="zh-CN"/>
        </w:rPr>
        <w:t>4131157</w:t>
      </w:r>
      <w:r>
        <w:rPr>
          <w:rFonts w:ascii="仿宋" w:hAnsi="仿宋" w:eastAsia="仿宋" w:cs="仿宋"/>
          <w:spacing w:val="3"/>
          <w:sz w:val="22"/>
          <w:szCs w:val="22"/>
        </w:rPr>
        <w:t xml:space="preserve">     </w:t>
      </w:r>
      <w:r>
        <w:rPr>
          <w:rFonts w:ascii="仿宋" w:hAnsi="仿宋" w:eastAsia="仿宋" w:cs="仿宋"/>
          <w:spacing w:val="-22"/>
          <w:sz w:val="22"/>
          <w:szCs w:val="22"/>
        </w:rPr>
        <w:t>单位负责人签字：</w:t>
      </w:r>
      <w:r>
        <w:rPr>
          <w:rFonts w:hint="eastAsia" w:ascii="仿宋" w:hAnsi="仿宋" w:eastAsia="仿宋" w:cs="仿宋"/>
          <w:spacing w:val="-22"/>
          <w:sz w:val="22"/>
          <w:szCs w:val="22"/>
          <w:lang w:val="en-US" w:eastAsia="zh-CN"/>
        </w:rPr>
        <w:t>唐龙</w:t>
      </w:r>
    </w:p>
    <w:p>
      <w:pPr>
        <w:sectPr>
          <w:pgSz w:w="11900" w:h="16830"/>
          <w:pgMar w:top="1430" w:right="1314" w:bottom="1283" w:left="1314" w:header="0" w:footer="995" w:gutter="0"/>
          <w:cols w:space="720" w:num="1"/>
        </w:sectPr>
      </w:pPr>
    </w:p>
    <w:p>
      <w:pPr>
        <w:spacing w:before="113" w:line="224" w:lineRule="auto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1"/>
          <w:sz w:val="35"/>
          <w:szCs w:val="35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" w:line="219" w:lineRule="auto"/>
        <w:ind w:left="1871"/>
        <w:textAlignment w:val="baseline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2"/>
          <w:sz w:val="44"/>
          <w:szCs w:val="44"/>
        </w:rPr>
        <w:t>2022年度部门整体支出绩效自评表</w:t>
      </w:r>
    </w:p>
    <w:p/>
    <w:tbl>
      <w:tblPr>
        <w:tblStyle w:val="6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11"/>
        <w:gridCol w:w="773"/>
        <w:gridCol w:w="1547"/>
        <w:gridCol w:w="1228"/>
        <w:gridCol w:w="1179"/>
        <w:gridCol w:w="659"/>
        <w:gridCol w:w="1129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ind w:right="168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县级预算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部门名称</w:t>
            </w:r>
          </w:p>
        </w:tc>
        <w:tc>
          <w:tcPr>
            <w:tcW w:w="919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73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华容县交通运输局（本级）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2" w:lineRule="auto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2" w:lineRule="auto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2" w:lineRule="auto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2" w:lineRule="auto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3" w:lineRule="auto"/>
              <w:jc w:val="both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ind w:right="188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年度预算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(万元)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362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262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预算数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393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293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预算数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375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265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执行数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76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247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执行率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668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33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年度资金总额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277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7144.50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7144.50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jc w:val="center"/>
              <w:textAlignment w:val="baseline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4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60"/>
              <w:jc w:val="both"/>
              <w:textAlignment w:val="baseline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按收入性质分：</w:t>
            </w: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lang w:val="en-US" w:eastAsia="zh-CN"/>
              </w:rPr>
              <w:t>7144.50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96"/>
              <w:jc w:val="both"/>
              <w:textAlignment w:val="baseline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按支出性质分：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  <w:lang w:val="en-US" w:eastAsia="zh-CN"/>
              </w:rPr>
              <w:t>7144.50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4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60"/>
              <w:jc w:val="both"/>
              <w:textAlignment w:val="baseline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其中：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一般公共预算：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7144.50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96"/>
              <w:jc w:val="both"/>
              <w:textAlignment w:val="baseline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其中：基本支出：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lang w:val="en-US" w:eastAsia="zh-CN"/>
              </w:rPr>
              <w:t>350.60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4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70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政府性基金拨款：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705"/>
              <w:jc w:val="both"/>
              <w:textAlignment w:val="baseline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项目支出：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lang w:val="en-US" w:eastAsia="zh-CN"/>
              </w:rPr>
              <w:t>6793.90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4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6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纳入专户管理的非税收入拨款：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4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135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其他资金：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right="210"/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6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1"/>
                <w:szCs w:val="21"/>
                <w:highlight w:val="none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right="21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1"/>
                <w:szCs w:val="21"/>
                <w:highlight w:val="none"/>
              </w:rPr>
              <w:t>总体目标</w:t>
            </w:r>
          </w:p>
        </w:tc>
        <w:tc>
          <w:tcPr>
            <w:tcW w:w="44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1710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预期目标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705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1"/>
                <w:szCs w:val="21"/>
                <w:highlight w:val="none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0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44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2" w:firstLine="360" w:firstLineChars="200"/>
              <w:textAlignment w:val="baseline"/>
              <w:rPr>
                <w:rFonts w:ascii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Arial"/>
                <w:color w:val="auto"/>
                <w:sz w:val="18"/>
                <w:szCs w:val="18"/>
                <w:highlight w:val="none"/>
              </w:rPr>
              <w:t>按照县委、县政府总体部署，围绕人民满意交通目标为抓手</w:t>
            </w: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，争项争资，</w:t>
            </w:r>
            <w:r>
              <w:rPr>
                <w:rFonts w:hint="eastAsia" w:ascii="Arial"/>
                <w:color w:val="auto"/>
                <w:sz w:val="18"/>
                <w:szCs w:val="18"/>
                <w:highlight w:val="none"/>
              </w:rPr>
              <w:t>推进项目建设</w:t>
            </w: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，提升乡村振兴</w:t>
            </w:r>
            <w:r>
              <w:rPr>
                <w:rFonts w:hint="eastAsia" w:ascii="Arial"/>
                <w:color w:val="auto"/>
                <w:sz w:val="18"/>
                <w:szCs w:val="18"/>
                <w:highlight w:val="none"/>
              </w:rPr>
              <w:t>；</w:t>
            </w: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强化市场秩序管理，</w:t>
            </w:r>
            <w:r>
              <w:rPr>
                <w:rFonts w:hint="eastAsia" w:ascii="Arial"/>
                <w:color w:val="auto"/>
                <w:sz w:val="18"/>
                <w:szCs w:val="18"/>
                <w:highlight w:val="none"/>
              </w:rPr>
              <w:t>优化管理服务；强化基础保障</w:t>
            </w: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，严格预算管理，确保行政运行正常，队伍稳定</w:t>
            </w:r>
            <w:r>
              <w:rPr>
                <w:rFonts w:hint="eastAsia" w:ascii="Arial"/>
                <w:color w:val="auto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2" w:firstLine="360" w:firstLineChars="200"/>
              <w:textAlignment w:val="baseline"/>
              <w:rPr>
                <w:rFonts w:hint="eastAsia" w:ascii="Arial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  <w:t>年度预算收支平衡，部门运转稳定；完成基本民生和重大项目交工通行，完成农村公路建设和养护任务；市场秩序良好，完成营商环境治理，完成春运等重点运输保障工作；公路管理进一步深入，完成路域环境整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8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2814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标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271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2"/>
                <w:sz w:val="21"/>
                <w:szCs w:val="21"/>
                <w:highlight w:val="none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271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t>指标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9" w:lineRule="exact"/>
              <w:ind w:left="261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position w:val="4"/>
                <w:sz w:val="21"/>
                <w:szCs w:val="21"/>
                <w:highlight w:val="none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261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t>指标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362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1"/>
                <w:szCs w:val="21"/>
                <w:highlight w:val="none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362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t>指标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393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1"/>
                <w:szCs w:val="21"/>
                <w:highlight w:val="none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293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t>指标值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9" w:lineRule="exact"/>
              <w:ind w:left="375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position w:val="4"/>
                <w:sz w:val="21"/>
                <w:szCs w:val="21"/>
                <w:highlight w:val="none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265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t>完成值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176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348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t>得分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6" w:lineRule="auto"/>
              <w:ind w:left="457" w:right="152" w:hanging="309"/>
              <w:jc w:val="both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  <w:highlight w:val="none"/>
              </w:rPr>
              <w:t>偏差原因分析及</w:t>
            </w:r>
            <w:r>
              <w:rPr>
                <w:rFonts w:ascii="宋体" w:hAnsi="宋体" w:eastAsia="宋体" w:cs="宋体"/>
                <w:color w:val="auto"/>
                <w:spacing w:val="2"/>
                <w:sz w:val="21"/>
                <w:szCs w:val="21"/>
                <w:highlight w:val="none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9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12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2"/>
                <w:sz w:val="21"/>
                <w:szCs w:val="21"/>
                <w:highlight w:val="none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1"/>
                <w:szCs w:val="21"/>
                <w:highlight w:val="none"/>
              </w:rPr>
              <w:t>(50分)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t>指标</w:t>
            </w:r>
          </w:p>
        </w:tc>
        <w:tc>
          <w:tcPr>
            <w:tcW w:w="15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开展重点主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题宣传策划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安全生产、文明创建、市场维稳、行政执法主题宣传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4次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开展党风廉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政教育活动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2次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8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73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交通公共基础设施项目建设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农村公路管养、建设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2000公里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  <w:jc w:val="center"/>
        </w:trPr>
        <w:tc>
          <w:tcPr>
            <w:tcW w:w="108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73" w:lineRule="exact"/>
              <w:ind w:left="322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重点项目建设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1座桥梁、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重启塔市码头建设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  <w:jc w:val="center"/>
        </w:trPr>
        <w:tc>
          <w:tcPr>
            <w:tcW w:w="108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73" w:lineRule="exact"/>
              <w:ind w:left="322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规划编制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以花注公路前期为主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" w:hRule="atLeast"/>
          <w:jc w:val="center"/>
        </w:trPr>
        <w:tc>
          <w:tcPr>
            <w:tcW w:w="108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t>指标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交工检测合格率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≧90%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100%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241"/>
              <w:jc w:val="center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学法考法合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格率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100%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普通公路超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限超载率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98%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  <w:jc w:val="center"/>
        </w:trPr>
        <w:tc>
          <w:tcPr>
            <w:tcW w:w="108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两客一危车辆上传交通部数据覆盖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；水上交通安全视频监控信息处置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100%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100%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1"/>
                <w:szCs w:val="21"/>
                <w:highlight w:val="none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t>指标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年度目标任务完成情况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98%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  <w:jc w:val="center"/>
        </w:trPr>
        <w:tc>
          <w:tcPr>
            <w:tcW w:w="108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t>指标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预算执行率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  <w:jc w:val="center"/>
        </w:trPr>
        <w:tc>
          <w:tcPr>
            <w:tcW w:w="108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资金使用效率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0" w:hRule="atLeast"/>
          <w:jc w:val="center"/>
        </w:trPr>
        <w:tc>
          <w:tcPr>
            <w:tcW w:w="1080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项目合约执行情况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p>
      <w:pPr>
        <w:pStyle w:val="2"/>
        <w:ind w:left="0" w:leftChars="0" w:firstLine="0" w:firstLineChars="0"/>
      </w:pPr>
    </w:p>
    <w:tbl>
      <w:tblPr>
        <w:tblStyle w:val="6"/>
        <w:tblW w:w="102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989"/>
        <w:gridCol w:w="925"/>
        <w:gridCol w:w="1193"/>
        <w:gridCol w:w="1228"/>
        <w:gridCol w:w="1179"/>
        <w:gridCol w:w="659"/>
        <w:gridCol w:w="1119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4" w:hRule="atLeast"/>
          <w:jc w:val="center"/>
        </w:trPr>
        <w:tc>
          <w:tcPr>
            <w:tcW w:w="120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9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7" w:line="217" w:lineRule="auto"/>
              <w:ind w:left="3643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3"/>
                <w:szCs w:val="23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23"/>
                <w:szCs w:val="23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23"/>
                <w:szCs w:val="23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23"/>
                <w:szCs w:val="23"/>
              </w:rPr>
              <w:t>标</w:t>
            </w:r>
          </w:p>
        </w:tc>
        <w:tc>
          <w:tcPr>
            <w:tcW w:w="989" w:type="dxa"/>
            <w:vAlign w:val="top"/>
          </w:tcPr>
          <w:p>
            <w:pPr>
              <w:spacing w:before="147" w:line="231" w:lineRule="auto"/>
              <w:ind w:left="251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13"/>
                <w:sz w:val="23"/>
                <w:szCs w:val="23"/>
              </w:rPr>
              <w:t>一级</w:t>
            </w:r>
          </w:p>
          <w:p>
            <w:pPr>
              <w:spacing w:line="220" w:lineRule="auto"/>
              <w:ind w:left="251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925" w:type="dxa"/>
            <w:vAlign w:val="top"/>
          </w:tcPr>
          <w:p>
            <w:pPr>
              <w:spacing w:before="167" w:line="207" w:lineRule="auto"/>
              <w:ind w:left="231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3"/>
                <w:szCs w:val="23"/>
              </w:rPr>
              <w:t>二级</w:t>
            </w:r>
          </w:p>
          <w:p>
            <w:pPr>
              <w:spacing w:line="220" w:lineRule="auto"/>
              <w:ind w:left="231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1193" w:type="dxa"/>
            <w:vAlign w:val="top"/>
          </w:tcPr>
          <w:p>
            <w:pPr>
              <w:spacing w:before="167" w:line="207" w:lineRule="auto"/>
              <w:ind w:left="343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3"/>
                <w:szCs w:val="23"/>
              </w:rPr>
              <w:t>三级</w:t>
            </w:r>
          </w:p>
          <w:p>
            <w:pPr>
              <w:spacing w:line="220" w:lineRule="auto"/>
              <w:ind w:left="343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1228" w:type="dxa"/>
            <w:vAlign w:val="top"/>
          </w:tcPr>
          <w:p>
            <w:pPr>
              <w:spacing w:before="144" w:line="225" w:lineRule="auto"/>
              <w:ind w:left="374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3"/>
                <w:szCs w:val="23"/>
              </w:rPr>
              <w:t>年度</w:t>
            </w:r>
          </w:p>
          <w:p>
            <w:pPr>
              <w:spacing w:line="219" w:lineRule="auto"/>
              <w:ind w:left="263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3"/>
                <w:szCs w:val="23"/>
              </w:rPr>
              <w:t>指标值</w:t>
            </w:r>
          </w:p>
        </w:tc>
        <w:tc>
          <w:tcPr>
            <w:tcW w:w="1179" w:type="dxa"/>
            <w:vAlign w:val="top"/>
          </w:tcPr>
          <w:p>
            <w:pPr>
              <w:spacing w:before="145" w:line="232" w:lineRule="auto"/>
              <w:ind w:left="356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实际</w:t>
            </w:r>
          </w:p>
          <w:p>
            <w:pPr>
              <w:spacing w:line="219" w:lineRule="auto"/>
              <w:ind w:left="235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3"/>
                <w:szCs w:val="23"/>
              </w:rPr>
              <w:t>完成值</w:t>
            </w:r>
          </w:p>
        </w:tc>
        <w:tc>
          <w:tcPr>
            <w:tcW w:w="659" w:type="dxa"/>
            <w:vAlign w:val="top"/>
          </w:tcPr>
          <w:p>
            <w:pPr>
              <w:spacing w:before="314" w:line="219" w:lineRule="auto"/>
              <w:ind w:left="97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分值</w:t>
            </w:r>
          </w:p>
        </w:tc>
        <w:tc>
          <w:tcPr>
            <w:tcW w:w="1119" w:type="dxa"/>
            <w:vAlign w:val="top"/>
          </w:tcPr>
          <w:p>
            <w:pPr>
              <w:spacing w:before="314" w:line="219" w:lineRule="auto"/>
              <w:ind w:left="328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3"/>
                <w:szCs w:val="23"/>
              </w:rPr>
              <w:t>得分</w:t>
            </w:r>
          </w:p>
        </w:tc>
        <w:tc>
          <w:tcPr>
            <w:tcW w:w="1753" w:type="dxa"/>
            <w:vAlign w:val="top"/>
          </w:tcPr>
          <w:p>
            <w:pPr>
              <w:spacing w:before="184" w:line="222" w:lineRule="auto"/>
              <w:ind w:left="408" w:right="51" w:hanging="339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3"/>
                <w:szCs w:val="23"/>
              </w:rPr>
              <w:t>偏差原因分析及</w:t>
            </w: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"/>
                <w:sz w:val="23"/>
                <w:szCs w:val="23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  <w:jc w:val="center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4" w:line="221" w:lineRule="auto"/>
              <w:ind w:left="140" w:right="97" w:firstLine="110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3"/>
                <w:szCs w:val="23"/>
              </w:rPr>
              <w:t>效益</w:t>
            </w:r>
            <w:r>
              <w:rPr>
                <w:rFonts w:ascii="宋体" w:hAnsi="宋体" w:eastAsia="宋体" w:cs="宋体"/>
                <w:color w:val="auto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20"/>
                <w:w w:val="117"/>
                <w:sz w:val="23"/>
                <w:szCs w:val="23"/>
              </w:rPr>
              <w:t>指标</w:t>
            </w:r>
            <w:r>
              <w:rPr>
                <w:rFonts w:ascii="宋体" w:hAnsi="宋体" w:eastAsia="宋体" w:cs="宋体"/>
                <w:color w:val="auto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10"/>
                <w:sz w:val="23"/>
                <w:szCs w:val="23"/>
              </w:rPr>
              <w:t>(30分)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spacing w:line="384" w:lineRule="auto"/>
              <w:jc w:val="center"/>
              <w:rPr>
                <w:rFonts w:ascii="Arial"/>
                <w:color w:val="auto"/>
                <w:sz w:val="21"/>
              </w:rPr>
            </w:pPr>
          </w:p>
          <w:p>
            <w:pPr>
              <w:spacing w:before="75" w:line="214" w:lineRule="auto"/>
              <w:ind w:left="122" w:right="117"/>
              <w:jc w:val="center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3"/>
                <w:szCs w:val="23"/>
              </w:rPr>
              <w:t>经济效</w:t>
            </w:r>
            <w:r>
              <w:rPr>
                <w:rFonts w:ascii="宋体" w:hAnsi="宋体" w:eastAsia="宋体" w:cs="宋体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积极对接国省交通强国战略，促进我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展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争项争资完成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1.5亿元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1.5亿元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降低超限超载车辆对路面的损坏，保护路产路权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开展科技治超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培育、升级运输市场，打造良好营商环境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社会公众出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行成本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下降、安全指标提高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出行方式多元化、安全事故下降。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9" w:hRule="atLeast"/>
          <w:jc w:val="center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25" w:type="dxa"/>
            <w:vMerge w:val="continue"/>
            <w:tcBorders>
              <w:bottom w:val="nil"/>
            </w:tcBorders>
            <w:vAlign w:val="center"/>
          </w:tcPr>
          <w:p>
            <w:pPr>
              <w:spacing w:before="75" w:line="219" w:lineRule="auto"/>
              <w:ind w:left="122" w:right="117"/>
              <w:jc w:val="center"/>
              <w:rPr>
                <w:rFonts w:ascii="宋体" w:hAnsi="宋体" w:eastAsia="宋体" w:cs="宋体"/>
                <w:color w:val="auto"/>
                <w:spacing w:val="3"/>
                <w:sz w:val="23"/>
                <w:szCs w:val="23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交通项目建设投资成本下降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配合财政评审，严格控制项目变更、调差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实际成本有控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25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219" w:lineRule="auto"/>
              <w:ind w:left="122" w:right="117"/>
              <w:jc w:val="center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3"/>
                <w:szCs w:val="23"/>
              </w:rPr>
              <w:t>社会效</w:t>
            </w:r>
            <w:r>
              <w:rPr>
                <w:rFonts w:ascii="宋体" w:hAnsi="宋体" w:eastAsia="宋体" w:cs="宋体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提高安全生产和应急管理水平，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护社会稳定，提高人民群众幸福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感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提高安全生产和应急管理水平，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护社会稳定，提高人民群众幸福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感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  <w:jc w:val="center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2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强化企业安全生产主体责任，排查整治安全隐患，维护安全形势的基本稳定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强化企业安全生产主体责任，排查整治安全隐患，维护安全形势的基本稳定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2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优化交通项目建设方案，提升项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目服务水平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优化交通项目建设方案，提升项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目服务水平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  <w:jc w:val="center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25" w:type="dxa"/>
            <w:tcBorders>
              <w:bottom w:val="nil"/>
            </w:tcBorders>
            <w:vAlign w:val="center"/>
          </w:tcPr>
          <w:p>
            <w:pPr>
              <w:spacing w:before="75" w:line="230" w:lineRule="auto"/>
              <w:ind w:left="122" w:right="117"/>
              <w:jc w:val="center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3"/>
                <w:szCs w:val="23"/>
              </w:rPr>
              <w:t>生态效</w:t>
            </w:r>
            <w:r>
              <w:rPr>
                <w:rFonts w:ascii="宋体" w:hAnsi="宋体" w:eastAsia="宋体" w:cs="宋体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领域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环境保护管理水平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提高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提高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25" w:type="dxa"/>
            <w:vMerge w:val="restart"/>
            <w:tcBorders>
              <w:bottom w:val="nil"/>
            </w:tcBorders>
            <w:vAlign w:val="center"/>
          </w:tcPr>
          <w:p>
            <w:pPr>
              <w:spacing w:before="315" w:line="218" w:lineRule="auto"/>
              <w:ind w:left="122"/>
              <w:jc w:val="center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3"/>
                <w:szCs w:val="23"/>
              </w:rPr>
              <w:t>可持续</w:t>
            </w:r>
          </w:p>
          <w:p>
            <w:pPr>
              <w:spacing w:before="1" w:line="215" w:lineRule="auto"/>
              <w:ind w:left="122"/>
              <w:jc w:val="center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3"/>
                <w:szCs w:val="23"/>
              </w:rPr>
              <w:t>影响指</w:t>
            </w:r>
          </w:p>
          <w:p>
            <w:pPr>
              <w:spacing w:line="220" w:lineRule="auto"/>
              <w:ind w:left="351"/>
              <w:jc w:val="center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z w:val="23"/>
                <w:szCs w:val="23"/>
              </w:rPr>
              <w:t>标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交通运输行业安全稳定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保持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保持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  <w:jc w:val="center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2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服务乡村振兴，交通项目建设稳步推进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保持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保持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9" w:hRule="atLeast"/>
          <w:jc w:val="center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color w:val="auto"/>
                <w:sz w:val="15"/>
                <w:szCs w:val="15"/>
              </w:rPr>
            </w:pPr>
          </w:p>
          <w:p>
            <w:pPr>
              <w:spacing w:before="75" w:line="223" w:lineRule="auto"/>
              <w:ind w:left="140" w:right="97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15"/>
                <w:szCs w:val="15"/>
              </w:rPr>
              <w:t>满意度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0"/>
                <w:w w:val="117"/>
                <w:sz w:val="15"/>
                <w:szCs w:val="15"/>
              </w:rPr>
              <w:t>指标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10"/>
                <w:sz w:val="15"/>
                <w:szCs w:val="15"/>
              </w:rPr>
              <w:t>(10分)</w:t>
            </w:r>
          </w:p>
        </w:tc>
        <w:tc>
          <w:tcPr>
            <w:tcW w:w="925" w:type="dxa"/>
            <w:vMerge w:val="restart"/>
            <w:tcBorders>
              <w:bottom w:val="nil"/>
            </w:tcBorders>
            <w:vAlign w:val="center"/>
          </w:tcPr>
          <w:p>
            <w:pPr>
              <w:spacing w:line="398" w:lineRule="auto"/>
              <w:jc w:val="center"/>
              <w:rPr>
                <w:rFonts w:ascii="Arial"/>
                <w:color w:val="auto"/>
                <w:sz w:val="15"/>
                <w:szCs w:val="15"/>
              </w:rPr>
            </w:pPr>
          </w:p>
          <w:p>
            <w:pPr>
              <w:spacing w:before="74" w:line="221" w:lineRule="auto"/>
              <w:ind w:left="122" w:right="111"/>
              <w:jc w:val="center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15"/>
                <w:szCs w:val="15"/>
              </w:rPr>
              <w:t>服务对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"/>
                <w:sz w:val="15"/>
                <w:szCs w:val="15"/>
              </w:rPr>
              <w:t>象满意</w:t>
            </w:r>
            <w:r>
              <w:rPr>
                <w:rFonts w:ascii="宋体" w:hAnsi="宋体" w:eastAsia="宋体" w:cs="宋体"/>
                <w:color w:val="auto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15"/>
                <w:szCs w:val="15"/>
              </w:rPr>
              <w:t>度指标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运输服务对象满意度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  <w:jc w:val="center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2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项目建设受益群众满意度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≦100%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≦100%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4" w:hRule="atLeast"/>
          <w:jc w:val="center"/>
        </w:trPr>
        <w:tc>
          <w:tcPr>
            <w:tcW w:w="6718" w:type="dxa"/>
            <w:gridSpan w:val="6"/>
            <w:vAlign w:val="top"/>
          </w:tcPr>
          <w:p>
            <w:pPr>
              <w:spacing w:before="139" w:line="220" w:lineRule="auto"/>
              <w:ind w:left="3124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总分</w:t>
            </w:r>
          </w:p>
        </w:tc>
        <w:tc>
          <w:tcPr>
            <w:tcW w:w="659" w:type="dxa"/>
            <w:vAlign w:val="center"/>
          </w:tcPr>
          <w:p>
            <w:pPr>
              <w:spacing w:before="196" w:line="184" w:lineRule="auto"/>
              <w:ind w:left="146"/>
              <w:jc w:val="center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3"/>
                <w:szCs w:val="23"/>
              </w:rPr>
              <w:t>100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spacing w:before="34" w:line="219" w:lineRule="auto"/>
        <w:ind w:left="585"/>
        <w:rPr>
          <w:rFonts w:ascii="宋体" w:hAnsi="宋体" w:eastAsia="宋体" w:cs="宋体"/>
          <w:color w:val="auto"/>
          <w:sz w:val="23"/>
          <w:szCs w:val="23"/>
        </w:rPr>
      </w:pPr>
      <w:r>
        <w:rPr>
          <w:rFonts w:ascii="宋体" w:hAnsi="宋体" w:eastAsia="宋体" w:cs="宋体"/>
          <w:color w:val="auto"/>
          <w:spacing w:val="3"/>
          <w:sz w:val="23"/>
          <w:szCs w:val="23"/>
        </w:rPr>
        <w:t>说明：以上数据参照2022年部门决算报表中的“收入支出决算总表”(财</w:t>
      </w:r>
      <w:r>
        <w:rPr>
          <w:rFonts w:ascii="宋体" w:hAnsi="宋体" w:eastAsia="宋体" w:cs="宋体"/>
          <w:color w:val="auto"/>
          <w:spacing w:val="2"/>
          <w:sz w:val="23"/>
          <w:szCs w:val="23"/>
        </w:rPr>
        <w:t>决01表)。</w:t>
      </w:r>
    </w:p>
    <w:p>
      <w:pPr>
        <w:spacing w:before="63" w:line="221" w:lineRule="auto"/>
        <w:ind w:left="595"/>
        <w:rPr>
          <w:rFonts w:hint="eastAsia" w:ascii="仿宋" w:hAnsi="仿宋" w:eastAsia="仿宋" w:cs="仿宋"/>
          <w:color w:val="auto"/>
          <w:sz w:val="23"/>
          <w:szCs w:val="23"/>
          <w:lang w:val="en-US" w:eastAsia="zh-CN"/>
        </w:rPr>
      </w:pPr>
      <w:r>
        <w:rPr>
          <w:rFonts w:ascii="仿宋" w:hAnsi="仿宋" w:eastAsia="仿宋" w:cs="仿宋"/>
          <w:color w:val="auto"/>
          <w:spacing w:val="-26"/>
          <w:sz w:val="23"/>
          <w:szCs w:val="23"/>
        </w:rPr>
        <w:t>填表人：</w:t>
      </w:r>
      <w:r>
        <w:rPr>
          <w:rFonts w:hint="eastAsia" w:ascii="仿宋" w:hAnsi="仿宋" w:eastAsia="仿宋" w:cs="仿宋"/>
          <w:color w:val="auto"/>
          <w:spacing w:val="-26"/>
          <w:sz w:val="23"/>
          <w:szCs w:val="23"/>
          <w:lang w:val="en-US" w:eastAsia="zh-CN"/>
        </w:rPr>
        <w:t>吴丹</w:t>
      </w:r>
      <w:r>
        <w:rPr>
          <w:rFonts w:ascii="仿宋" w:hAnsi="仿宋" w:eastAsia="仿宋" w:cs="仿宋"/>
          <w:color w:val="auto"/>
          <w:spacing w:val="11"/>
          <w:sz w:val="23"/>
          <w:szCs w:val="23"/>
        </w:rPr>
        <w:t xml:space="preserve">      </w:t>
      </w:r>
      <w:r>
        <w:rPr>
          <w:rFonts w:ascii="仿宋" w:hAnsi="仿宋" w:eastAsia="仿宋" w:cs="仿宋"/>
          <w:color w:val="auto"/>
          <w:spacing w:val="-26"/>
          <w:sz w:val="23"/>
          <w:szCs w:val="23"/>
        </w:rPr>
        <w:t>填报日期：</w:t>
      </w:r>
      <w:r>
        <w:rPr>
          <w:rFonts w:ascii="仿宋" w:hAnsi="仿宋" w:eastAsia="仿宋" w:cs="仿宋"/>
          <w:color w:val="auto"/>
          <w:spacing w:val="5"/>
          <w:sz w:val="23"/>
          <w:szCs w:val="23"/>
        </w:rPr>
        <w:t xml:space="preserve"> </w:t>
      </w:r>
      <w:r>
        <w:rPr>
          <w:rFonts w:hint="eastAsia" w:ascii="仿宋" w:hAnsi="仿宋" w:eastAsia="仿宋" w:cs="仿宋"/>
          <w:color w:val="auto"/>
          <w:spacing w:val="5"/>
          <w:sz w:val="23"/>
          <w:szCs w:val="23"/>
          <w:lang w:val="en-US" w:eastAsia="zh-CN"/>
        </w:rPr>
        <w:t>2023-7-6</w:t>
      </w:r>
      <w:r>
        <w:rPr>
          <w:rFonts w:ascii="仿宋" w:hAnsi="仿宋" w:eastAsia="仿宋" w:cs="仿宋"/>
          <w:color w:val="auto"/>
          <w:spacing w:val="5"/>
          <w:sz w:val="23"/>
          <w:szCs w:val="23"/>
        </w:rPr>
        <w:t xml:space="preserve">      </w:t>
      </w:r>
      <w:r>
        <w:rPr>
          <w:rFonts w:ascii="仿宋" w:hAnsi="仿宋" w:eastAsia="仿宋" w:cs="仿宋"/>
          <w:color w:val="auto"/>
          <w:spacing w:val="-26"/>
          <w:sz w:val="23"/>
          <w:szCs w:val="23"/>
        </w:rPr>
        <w:t>联系电话：</w:t>
      </w:r>
      <w:r>
        <w:rPr>
          <w:rFonts w:hint="eastAsia" w:ascii="仿宋" w:hAnsi="仿宋" w:eastAsia="仿宋" w:cs="仿宋"/>
          <w:color w:val="auto"/>
          <w:spacing w:val="-26"/>
          <w:sz w:val="23"/>
          <w:szCs w:val="23"/>
          <w:lang w:val="en-US" w:eastAsia="zh-CN"/>
        </w:rPr>
        <w:t>4313157</w:t>
      </w:r>
      <w:r>
        <w:rPr>
          <w:rFonts w:ascii="仿宋" w:hAnsi="仿宋" w:eastAsia="仿宋" w:cs="仿宋"/>
          <w:color w:val="auto"/>
          <w:spacing w:val="2"/>
          <w:sz w:val="23"/>
          <w:szCs w:val="23"/>
        </w:rPr>
        <w:t xml:space="preserve">      </w:t>
      </w:r>
      <w:r>
        <w:rPr>
          <w:rFonts w:ascii="仿宋" w:hAnsi="仿宋" w:eastAsia="仿宋" w:cs="仿宋"/>
          <w:color w:val="auto"/>
          <w:spacing w:val="-26"/>
          <w:sz w:val="23"/>
          <w:szCs w:val="23"/>
        </w:rPr>
        <w:t>单位负责人签字：</w:t>
      </w:r>
      <w:r>
        <w:rPr>
          <w:rFonts w:hint="eastAsia" w:ascii="仿宋" w:hAnsi="仿宋" w:eastAsia="仿宋" w:cs="仿宋"/>
          <w:color w:val="auto"/>
          <w:spacing w:val="-26"/>
          <w:sz w:val="23"/>
          <w:szCs w:val="23"/>
          <w:lang w:val="en-US" w:eastAsia="zh-CN"/>
        </w:rPr>
        <w:t>唐龙</w:t>
      </w:r>
    </w:p>
    <w:p>
      <w:pPr>
        <w:sectPr>
          <w:footerReference r:id="rId5" w:type="default"/>
          <w:pgSz w:w="11900" w:h="16838"/>
          <w:pgMar w:top="1134" w:right="794" w:bottom="1134" w:left="794" w:header="0" w:footer="945" w:gutter="0"/>
          <w:cols w:space="720" w:num="1"/>
        </w:sectPr>
      </w:pPr>
    </w:p>
    <w:p>
      <w:pPr>
        <w:spacing w:line="402" w:lineRule="auto"/>
        <w:rPr>
          <w:rFonts w:ascii="Arial"/>
          <w:sz w:val="21"/>
        </w:rPr>
      </w:pPr>
    </w:p>
    <w:p>
      <w:pPr>
        <w:spacing w:before="108" w:line="224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附件3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43" w:line="917" w:lineRule="exact"/>
        <w:ind w:left="931"/>
        <w:jc w:val="center"/>
        <w:rPr>
          <w:rFonts w:ascii="宋体" w:hAnsi="宋体" w:eastAsia="宋体" w:cs="宋体"/>
          <w:b/>
          <w:bCs/>
          <w:spacing w:val="27"/>
          <w:position w:val="35"/>
          <w:sz w:val="44"/>
          <w:szCs w:val="44"/>
        </w:rPr>
      </w:pPr>
      <w:r>
        <w:rPr>
          <w:rFonts w:ascii="宋体" w:hAnsi="宋体" w:eastAsia="宋体" w:cs="宋体"/>
          <w:b/>
          <w:bCs/>
          <w:spacing w:val="27"/>
          <w:position w:val="35"/>
          <w:sz w:val="44"/>
          <w:szCs w:val="44"/>
        </w:rPr>
        <w:t>2022年度</w:t>
      </w:r>
      <w:r>
        <w:rPr>
          <w:rFonts w:hint="eastAsia" w:ascii="宋体" w:hAnsi="宋体" w:eastAsia="宋体" w:cs="宋体"/>
          <w:b/>
          <w:bCs/>
          <w:spacing w:val="27"/>
          <w:position w:val="35"/>
          <w:sz w:val="44"/>
          <w:szCs w:val="44"/>
          <w:lang w:val="en-US" w:eastAsia="zh-CN"/>
        </w:rPr>
        <w:t>华容县交通运输局</w:t>
      </w:r>
      <w:r>
        <w:rPr>
          <w:rFonts w:ascii="宋体" w:hAnsi="宋体" w:eastAsia="宋体" w:cs="宋体"/>
          <w:b/>
          <w:bCs/>
          <w:spacing w:val="27"/>
          <w:position w:val="35"/>
          <w:sz w:val="44"/>
          <w:szCs w:val="44"/>
        </w:rPr>
        <w:t>(</w:t>
      </w:r>
      <w:r>
        <w:rPr>
          <w:rFonts w:hint="eastAsia" w:ascii="宋体" w:hAnsi="宋体" w:eastAsia="宋体" w:cs="宋体"/>
          <w:b/>
          <w:bCs/>
          <w:spacing w:val="27"/>
          <w:position w:val="35"/>
          <w:sz w:val="44"/>
          <w:szCs w:val="44"/>
          <w:lang w:val="en-US" w:eastAsia="zh-CN"/>
        </w:rPr>
        <w:t>本级</w:t>
      </w:r>
      <w:r>
        <w:rPr>
          <w:rFonts w:ascii="宋体" w:hAnsi="宋体" w:eastAsia="宋体" w:cs="宋体"/>
          <w:b/>
          <w:bCs/>
          <w:spacing w:val="27"/>
          <w:position w:val="35"/>
          <w:sz w:val="44"/>
          <w:szCs w:val="44"/>
        </w:rPr>
        <w:t>)</w:t>
      </w:r>
    </w:p>
    <w:p>
      <w:pPr>
        <w:spacing w:before="143" w:line="917" w:lineRule="exact"/>
        <w:ind w:left="931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"/>
          <w:sz w:val="44"/>
          <w:szCs w:val="44"/>
          <w:lang w:val="en-US" w:eastAsia="zh-CN"/>
        </w:rPr>
        <w:t>整体支出</w:t>
      </w:r>
      <w:r>
        <w:rPr>
          <w:rFonts w:ascii="宋体" w:hAnsi="宋体" w:eastAsia="宋体" w:cs="宋体"/>
          <w:b/>
          <w:bCs/>
          <w:spacing w:val="-2"/>
          <w:sz w:val="44"/>
          <w:szCs w:val="44"/>
        </w:rPr>
        <w:t>绩效自评报告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7" w:line="326" w:lineRule="auto"/>
        <w:jc w:val="center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>部门(单位)名称：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5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4"/>
          <w:sz w:val="33"/>
          <w:szCs w:val="33"/>
          <w:u w:val="single" w:color="auto"/>
        </w:rPr>
        <w:t>(盖章)</w:t>
      </w:r>
    </w:p>
    <w:p>
      <w:pPr>
        <w:spacing w:line="222" w:lineRule="auto"/>
        <w:ind w:firstLine="3432" w:firstLineChars="1200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2023 </w:t>
      </w:r>
      <w:r>
        <w:rPr>
          <w:rFonts w:ascii="仿宋" w:hAnsi="仿宋" w:eastAsia="仿宋" w:cs="仿宋"/>
          <w:spacing w:val="-22"/>
          <w:sz w:val="33"/>
          <w:szCs w:val="33"/>
        </w:rPr>
        <w:t>年</w:t>
      </w: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 7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3"/>
          <w:sz w:val="33"/>
          <w:szCs w:val="33"/>
          <w:lang w:val="en-US" w:eastAsia="zh-CN"/>
        </w:rPr>
        <w:t>6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>
      <w:pPr>
        <w:sectPr>
          <w:footerReference r:id="rId6" w:type="default"/>
          <w:pgSz w:w="11900" w:h="16830"/>
          <w:pgMar w:top="1430" w:right="1505" w:bottom="1138" w:left="1444" w:header="0" w:footer="85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pacing w:val="25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5"/>
          <w:sz w:val="44"/>
          <w:szCs w:val="44"/>
        </w:rPr>
        <w:t>2022年度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5"/>
          <w:sz w:val="44"/>
          <w:szCs w:val="44"/>
          <w:lang w:val="en-US" w:eastAsia="zh-CN"/>
        </w:rPr>
        <w:t>华容县交通运输局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5"/>
          <w:sz w:val="44"/>
          <w:szCs w:val="44"/>
        </w:rPr>
        <w:t>(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5"/>
          <w:sz w:val="44"/>
          <w:szCs w:val="44"/>
          <w:lang w:val="en-US" w:eastAsia="zh-CN"/>
        </w:rPr>
        <w:t>本级）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pacing w:val="25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5"/>
          <w:sz w:val="44"/>
          <w:szCs w:val="44"/>
          <w:lang w:val="en-US" w:eastAsia="zh-CN"/>
        </w:rPr>
        <w:t>整体支出绩效自评报告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/>
        <w:jc w:val="both"/>
        <w:textAlignment w:val="baseline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731" w:firstLineChars="200"/>
        <w:jc w:val="both"/>
        <w:textAlignment w:val="baseline"/>
        <w:rPr>
          <w:rFonts w:ascii="黑体" w:hAnsi="黑体" w:eastAsia="黑体" w:cs="黑体"/>
          <w:b/>
          <w:bCs/>
          <w:spacing w:val="22"/>
          <w:sz w:val="32"/>
          <w:szCs w:val="32"/>
        </w:rPr>
      </w:pPr>
      <w:r>
        <w:rPr>
          <w:rFonts w:ascii="黑体" w:hAnsi="黑体" w:eastAsia="黑体" w:cs="黑体"/>
          <w:b/>
          <w:bCs/>
          <w:spacing w:val="22"/>
          <w:sz w:val="32"/>
          <w:szCs w:val="32"/>
        </w:rPr>
        <w:t>部门(单位)基本情况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2" w:firstLineChars="200"/>
        <w:jc w:val="both"/>
        <w:textAlignment w:val="baseline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单位基本情况：</w:t>
      </w:r>
      <w:r>
        <w:rPr>
          <w:rFonts w:hint="eastAsia" w:ascii="仿宋" w:hAnsi="仿宋" w:eastAsia="仿宋"/>
          <w:sz w:val="28"/>
          <w:szCs w:val="28"/>
        </w:rPr>
        <w:t>华容县交通运输局系县财政全额预算拨款单位。202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年编制部门核实交通局人员编制17人，实有人数为2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人。该局本级内设机构8个：办公室、人事股、财务审计股、规划建养</w:t>
      </w:r>
      <w:r>
        <w:rPr>
          <w:rFonts w:ascii="仿宋" w:hAnsi="仿宋" w:eastAsia="仿宋"/>
          <w:sz w:val="28"/>
          <w:szCs w:val="28"/>
        </w:rPr>
        <w:t>股</w:t>
      </w:r>
      <w:r>
        <w:rPr>
          <w:rFonts w:hint="eastAsia" w:ascii="仿宋" w:hAnsi="仿宋" w:eastAsia="仿宋"/>
          <w:sz w:val="28"/>
          <w:szCs w:val="28"/>
        </w:rPr>
        <w:t>、法制</w:t>
      </w:r>
      <w:r>
        <w:rPr>
          <w:rFonts w:ascii="仿宋" w:hAnsi="仿宋" w:eastAsia="仿宋"/>
          <w:sz w:val="28"/>
          <w:szCs w:val="28"/>
        </w:rPr>
        <w:t>股</w:t>
      </w:r>
      <w:r>
        <w:rPr>
          <w:rFonts w:hint="eastAsia" w:ascii="仿宋" w:hAnsi="仿宋" w:eastAsia="仿宋"/>
          <w:sz w:val="28"/>
          <w:szCs w:val="28"/>
        </w:rPr>
        <w:t>、安全监督股、运输管理股、行政审批股。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部门主要职能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/>
          <w:sz w:val="28"/>
          <w:szCs w:val="28"/>
        </w:rPr>
        <w:t>执行落实交通运输行业各项法规政策；组织拟订或参与拟订交通</w:t>
      </w:r>
      <w:r>
        <w:rPr>
          <w:rFonts w:hint="eastAsia" w:ascii="仿宋" w:hAnsi="仿宋" w:eastAsia="仿宋"/>
          <w:spacing w:val="-6"/>
          <w:sz w:val="28"/>
          <w:szCs w:val="28"/>
        </w:rPr>
        <w:t>运输规划、</w:t>
      </w:r>
      <w:r>
        <w:rPr>
          <w:rFonts w:hint="eastAsia" w:ascii="仿宋" w:hAnsi="仿宋" w:eastAsia="仿宋"/>
          <w:spacing w:val="-11"/>
          <w:sz w:val="28"/>
          <w:szCs w:val="28"/>
        </w:rPr>
        <w:t>计划并监督实施；负责交通基础设施项目建设、管理维护和行业监管协调；负责交通运输行业监管工作交通运输行业管理、农村公路管、建、养、运输市场</w:t>
      </w:r>
      <w:r>
        <w:rPr>
          <w:rFonts w:hint="eastAsia" w:ascii="仿宋" w:hAnsi="仿宋" w:eastAsia="仿宋"/>
          <w:spacing w:val="-6"/>
          <w:sz w:val="28"/>
          <w:szCs w:val="28"/>
        </w:rPr>
        <w:t>管理、交通建设</w:t>
      </w:r>
      <w:r>
        <w:rPr>
          <w:rFonts w:hint="eastAsia" w:ascii="仿宋" w:hAnsi="仿宋" w:eastAsia="仿宋"/>
          <w:sz w:val="28"/>
          <w:szCs w:val="28"/>
        </w:rPr>
        <w:t>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87" w:firstLineChars="200"/>
        <w:jc w:val="both"/>
        <w:textAlignment w:val="baseline"/>
        <w:outlineLvl w:val="1"/>
        <w:rPr>
          <w:rFonts w:ascii="黑体" w:hAnsi="黑体" w:eastAsia="黑体" w:cs="黑体"/>
          <w:b/>
          <w:bCs/>
          <w:spacing w:val="-14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4"/>
          <w:sz w:val="32"/>
          <w:szCs w:val="32"/>
          <w:lang w:val="en-US" w:eastAsia="zh-CN"/>
        </w:rPr>
        <w:t>二、</w:t>
      </w: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基本支出情况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2022年华容县交通运输局全年基本支出350.6万元，其中：工资福利支出287.48万元，商品和服务支出58.98万元，对个人和家庭的补助支出4.14万元。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2022年“三公”经费实际支出0.55万元，比2021年“三公”经费支出2.86万元减少2.31万元，减少80.7%，主要是根据中央八项规定，厉行节约压减机关运行经费。其中公务接待费0.55万元，无公务用车运维费。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75" w:firstLineChars="200"/>
        <w:jc w:val="both"/>
        <w:textAlignment w:val="baseline"/>
        <w:outlineLvl w:val="1"/>
        <w:rPr>
          <w:rFonts w:ascii="黑体" w:hAnsi="黑体" w:eastAsia="黑体" w:cs="黑体"/>
          <w:b/>
          <w:bCs/>
          <w:spacing w:val="-1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7"/>
          <w:sz w:val="32"/>
          <w:szCs w:val="32"/>
          <w:lang w:val="en-US" w:eastAsia="zh-CN"/>
        </w:rPr>
        <w:t>三、</w:t>
      </w: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项目支出情况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2022年华容县交通运输局全年项目支出6793.9万元，其中：其他巩固脱贫衔接乡村振兴支出3394.00万元，公路建设支出250.00万元，公路养护支出1188.00万元，其他公路水路运输支出1958.9万元，一般行政管理事务支出3.00万元。比2021年增加176.2万元，增长2.66%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99" w:firstLineChars="200"/>
        <w:jc w:val="both"/>
        <w:textAlignment w:val="baseline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四、</w:t>
      </w:r>
      <w:r>
        <w:rPr>
          <w:rFonts w:ascii="黑体" w:hAnsi="黑体" w:eastAsia="黑体" w:cs="黑体"/>
          <w:spacing w:val="-77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部门整体支出绩效情况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2" w:firstLineChars="200"/>
        <w:jc w:val="both"/>
        <w:textAlignment w:val="baseline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（一）严格预算支出管理。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支出预算编制上，人员经费按照配置定额，逐人核定编制，公用经费分类分档，按定额编制；根据“总量控制、计划管理”的要求从严控制行政经费，压缩公务费开支，严格控制“三公”经费，资产的配置严格政府采购，按照预算科目和项目资金的规定使用财政资金，保障部门整体支出的规范化、制度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2" w:firstLineChars="200"/>
        <w:jc w:val="both"/>
        <w:textAlignment w:val="baseline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（二）财务管理上，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按照国家相关法律法规，制定了机关财务、公物购置使用、接待、会务、因公出国、车辆使用等管理制度，并严格按照制度管理和执行，防范风险，保证财政资金的安全和高效运行。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2" w:firstLineChars="200"/>
        <w:jc w:val="both"/>
        <w:textAlignment w:val="baseline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（三）整体支出绩效情况分析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2022年，根据该局年初工作规划和重点工作，围绕县委、县政府的工作部署，积极履行职责，强化管理，较好地完成了年度工作目标，同时加强预算收支的管理，建立健全内部管理制度，严格内部管理流程，部门整体支出管理得到了提升。2022年度部门整体支出绩效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1、预算执行方面，该单位预算资金按规定管理使用。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2、预算管理方面，交通部门制定了切实有效的内部财务、资产内部管理制度，执行总体较为有效。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3、重大项目建设协调推进有力。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月12日，梅田湖大桥主桥顺利合龙，已完成建安投资1.2亿元，目前正在抓紧扫尾工作，旧历年前可交工通车。团州乡通三级公路11.51公里已全部完成，投资约2200万元；华一水库至桃花山旅游公路19公里已完工通车；注朝公路目前已完成路基土方和碎石垫层，预计元旦节前完成沥青路面施工、通车运行；梅田湖镇通三级公路2.777公里正在建设中，预计年前完工通车。塔市驿码头10月31日已与湖南省湘水集团签订了合作协议，完成了门座式起重机设备招标工作，正在抓紧设备定制，有望明年上半年投产使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 w:cs="Arial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napToGrid w:val="0"/>
          <w:color w:val="000000"/>
          <w:kern w:val="0"/>
          <w:sz w:val="28"/>
          <w:szCs w:val="28"/>
          <w:lang w:val="en-US" w:eastAsia="zh-CN"/>
        </w:rPr>
        <w:t>常岳九高铁、荆岳铁路、华容至益阳铁路、利华公铁两用桥、监利至华容至汨罗高速公路已纳入国家、省“十四五”规划，华容将成为高铁、高速“双十字路口”；S218花注公路已完成工可编制及审查，10月17日完成勘察设计招标工作，确定了设计中标单位，启动了用地预审、规划选址、环评等专项技术编制工作；G234杨家桥至田家湖公路、新河至北景港公路已完成工程可行性研究报告审查。洪山头码头目前已完成全过程工程咨询招标、项目选址、现场测量和工程可行性研究报告编制工作，启动了前期专题报告，预计年内取得立项批复；华阳公交首末站作为2023年储备项目，正在开展相关前期工作，“一环二路三高四桥”规划蓝图正在逐步实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 w:cs="Arial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napToGrid w:val="0"/>
          <w:color w:val="000000"/>
          <w:kern w:val="0"/>
          <w:sz w:val="28"/>
          <w:szCs w:val="28"/>
          <w:lang w:val="en-US" w:eastAsia="zh-CN"/>
        </w:rPr>
        <w:t>着力优化农村公路路网结构，助推乡村振兴发展。今年完成农村公路里程86公里，改建35条公路，涉及13个乡镇，总投资约1.3亿元；G234新河段大修工程已竣工通车，投资约1500万元；G240东山墟场至三封松木桥大修工程建设13.285公里，总投资约4154万元，计划春运前路面主体施工完成；完成铭心桥等20座危桥拆除、重建工作。中心车站提质改造工程于7月底正式完工，已投入使用；北景港运输服务站提质改造工程顺利推进，年内可交付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99" w:firstLineChars="200"/>
        <w:jc w:val="both"/>
        <w:textAlignment w:val="baseline"/>
        <w:outlineLvl w:val="1"/>
        <w:rPr>
          <w:rFonts w:ascii="黑体" w:hAnsi="黑体" w:eastAsia="黑体" w:cs="黑体"/>
          <w:b/>
          <w:bCs/>
          <w:spacing w:val="-11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1"/>
          <w:sz w:val="32"/>
          <w:szCs w:val="32"/>
          <w:lang w:val="en-US" w:eastAsia="zh-CN"/>
        </w:rPr>
        <w:t>五、</w:t>
      </w: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存在的问题及原因分析</w:t>
      </w:r>
    </w:p>
    <w:p>
      <w:pPr>
        <w:keepNext w:val="0"/>
        <w:keepLines w:val="0"/>
        <w:pageBreakBefore w:val="0"/>
        <w:widowControl w:val="0"/>
        <w:tabs>
          <w:tab w:val="left" w:pos="75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 w:cs="Arial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napToGrid w:val="0"/>
          <w:color w:val="000000"/>
          <w:kern w:val="0"/>
          <w:sz w:val="28"/>
          <w:szCs w:val="28"/>
          <w:lang w:val="en-US" w:eastAsia="zh-CN"/>
        </w:rPr>
        <w:t>预算编制有待更严格执行，预算编制与实际支出项目有的存在差异。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79" w:firstLineChars="200"/>
        <w:jc w:val="both"/>
        <w:textAlignment w:val="baseline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-16"/>
          <w:sz w:val="32"/>
          <w:szCs w:val="32"/>
          <w:lang w:val="en-US" w:eastAsia="zh-CN"/>
        </w:rPr>
        <w:t>六、</w:t>
      </w: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下一步改进措施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 w:cs="Arial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napToGrid w:val="0"/>
          <w:color w:val="000000"/>
          <w:kern w:val="0"/>
          <w:sz w:val="28"/>
          <w:szCs w:val="28"/>
          <w:lang w:val="en-US" w:eastAsia="zh-CN"/>
        </w:rPr>
        <w:t>一是按照预算规定的项目和用途严格财务审核，经费支出严格按预算规定项目的财务支出内容进行财务核算，在预算金额内严格控制费用的支出。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 w:cs="Arial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napToGrid w:val="0"/>
          <w:color w:val="000000"/>
          <w:kern w:val="0"/>
          <w:sz w:val="28"/>
          <w:szCs w:val="28"/>
          <w:lang w:val="en-US" w:eastAsia="zh-CN"/>
        </w:rPr>
        <w:t>二是严格控制“三公”经费支出，杜绝挪用和挤占其他预算资金；进一步细化“三公”经费管理，压缩“三公”经费支出。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 w:cs="Arial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napToGrid w:val="0"/>
          <w:color w:val="000000"/>
          <w:kern w:val="0"/>
          <w:sz w:val="28"/>
          <w:szCs w:val="28"/>
          <w:lang w:val="en-US" w:eastAsia="zh-CN"/>
        </w:rPr>
        <w:t>三是预算财务分析常态化，定期做好预算支出财务分析，做好部门整体支出预算评价工作。</w:t>
      </w:r>
    </w:p>
    <w:p>
      <w:pPr>
        <w:keepNext w:val="0"/>
        <w:keepLines w:val="0"/>
        <w:pageBreakBefore w:val="0"/>
        <w:widowControl w:val="0"/>
        <w:tabs>
          <w:tab w:val="left" w:pos="75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2240" w:firstLineChars="800"/>
        <w:textAlignment w:val="baseline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5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2240" w:firstLineChars="800"/>
        <w:textAlignment w:val="baseline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5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2240" w:firstLineChars="800"/>
        <w:textAlignment w:val="baseline"/>
        <w:rPr>
          <w:rFonts w:hint="eastAsia"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840" w:firstLineChars="300"/>
        <w:jc w:val="right"/>
        <w:textAlignment w:val="baseline"/>
        <w:rPr>
          <w:rFonts w:hint="eastAsia" w:ascii="仿宋" w:hAnsi="仿宋" w:eastAsia="仿宋" w:cs="Arial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napToGrid w:val="0"/>
          <w:color w:val="000000"/>
          <w:kern w:val="0"/>
          <w:sz w:val="28"/>
          <w:szCs w:val="28"/>
          <w:lang w:val="en-US" w:eastAsia="zh-CN"/>
        </w:rPr>
        <w:t>华容县交通运输局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840" w:firstLineChars="300"/>
        <w:jc w:val="center"/>
        <w:textAlignment w:val="baseline"/>
        <w:rPr>
          <w:rFonts w:ascii="Arial"/>
          <w:sz w:val="21"/>
        </w:rPr>
      </w:pPr>
      <w:r>
        <w:rPr>
          <w:rFonts w:hint="eastAsia" w:ascii="仿宋" w:hAnsi="仿宋" w:eastAsia="仿宋" w:cs="Arial"/>
          <w:snapToGrid w:val="0"/>
          <w:color w:val="000000"/>
          <w:kern w:val="0"/>
          <w:sz w:val="28"/>
          <w:szCs w:val="28"/>
          <w:lang w:val="en-US" w:eastAsia="zh-CN"/>
        </w:rPr>
        <w:t xml:space="preserve">                                         2023年7月</w:t>
      </w:r>
    </w:p>
    <w:p>
      <w:pPr>
        <w:spacing w:line="261" w:lineRule="auto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headerReference r:id="rId7" w:type="default"/>
      <w:footerReference r:id="rId8" w:type="default"/>
      <w:pgSz w:w="11900" w:h="16830"/>
      <w:pgMar w:top="1701" w:right="1701" w:bottom="1701" w:left="1701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5090ED"/>
    <w:multiLevelType w:val="singleLevel"/>
    <w:tmpl w:val="B95090E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B62288E"/>
    <w:multiLevelType w:val="singleLevel"/>
    <w:tmpl w:val="3B6228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IyOTRiNzkwZGM3N2JhZGFlZDc0Y2Y3N2I2YzFiNzMifQ=="/>
  </w:docVars>
  <w:rsids>
    <w:rsidRoot w:val="00000000"/>
    <w:rsid w:val="00824069"/>
    <w:rsid w:val="00B701B7"/>
    <w:rsid w:val="01695955"/>
    <w:rsid w:val="01F6718B"/>
    <w:rsid w:val="026B1259"/>
    <w:rsid w:val="02A97FD3"/>
    <w:rsid w:val="034026E5"/>
    <w:rsid w:val="03B1713F"/>
    <w:rsid w:val="03C63CBE"/>
    <w:rsid w:val="03DD1CE2"/>
    <w:rsid w:val="042E1D38"/>
    <w:rsid w:val="045A1585"/>
    <w:rsid w:val="05D830A9"/>
    <w:rsid w:val="060914B4"/>
    <w:rsid w:val="067D155B"/>
    <w:rsid w:val="06F5548C"/>
    <w:rsid w:val="07043A2A"/>
    <w:rsid w:val="0730481F"/>
    <w:rsid w:val="07C9726D"/>
    <w:rsid w:val="07E8334B"/>
    <w:rsid w:val="07ED2710"/>
    <w:rsid w:val="081952B3"/>
    <w:rsid w:val="08E91129"/>
    <w:rsid w:val="09594501"/>
    <w:rsid w:val="098109B2"/>
    <w:rsid w:val="0A161889"/>
    <w:rsid w:val="0A4725AB"/>
    <w:rsid w:val="0A5E16A3"/>
    <w:rsid w:val="0A943317"/>
    <w:rsid w:val="0AC263CD"/>
    <w:rsid w:val="0AEE2A27"/>
    <w:rsid w:val="0B7A075E"/>
    <w:rsid w:val="0BB215F7"/>
    <w:rsid w:val="0C9B098C"/>
    <w:rsid w:val="0CAD06C0"/>
    <w:rsid w:val="0CE546F8"/>
    <w:rsid w:val="0D132C19"/>
    <w:rsid w:val="0D2C3CDA"/>
    <w:rsid w:val="0D454F4B"/>
    <w:rsid w:val="0D705975"/>
    <w:rsid w:val="0DC54629"/>
    <w:rsid w:val="0E59465B"/>
    <w:rsid w:val="0EB83A78"/>
    <w:rsid w:val="0ECE3CAC"/>
    <w:rsid w:val="0F4672D5"/>
    <w:rsid w:val="0FD06B9F"/>
    <w:rsid w:val="106043C7"/>
    <w:rsid w:val="10E01064"/>
    <w:rsid w:val="11401B02"/>
    <w:rsid w:val="11472E91"/>
    <w:rsid w:val="11C12C43"/>
    <w:rsid w:val="12085128"/>
    <w:rsid w:val="12415B32"/>
    <w:rsid w:val="13070B2A"/>
    <w:rsid w:val="133302A9"/>
    <w:rsid w:val="134A0A16"/>
    <w:rsid w:val="13A75E69"/>
    <w:rsid w:val="13E96481"/>
    <w:rsid w:val="14011A1D"/>
    <w:rsid w:val="14ED1FA1"/>
    <w:rsid w:val="14F0383F"/>
    <w:rsid w:val="15A07014"/>
    <w:rsid w:val="15C2342E"/>
    <w:rsid w:val="15F66C34"/>
    <w:rsid w:val="16A305AF"/>
    <w:rsid w:val="16F13FCB"/>
    <w:rsid w:val="17365E81"/>
    <w:rsid w:val="187D188E"/>
    <w:rsid w:val="193E726F"/>
    <w:rsid w:val="198E3107"/>
    <w:rsid w:val="1A475CB0"/>
    <w:rsid w:val="1AA9696A"/>
    <w:rsid w:val="1BC51582"/>
    <w:rsid w:val="1C0A3439"/>
    <w:rsid w:val="1CF3211F"/>
    <w:rsid w:val="1EBA7398"/>
    <w:rsid w:val="1F572E39"/>
    <w:rsid w:val="20374989"/>
    <w:rsid w:val="203942EC"/>
    <w:rsid w:val="206C6470"/>
    <w:rsid w:val="21090163"/>
    <w:rsid w:val="213521D5"/>
    <w:rsid w:val="21A954A2"/>
    <w:rsid w:val="22AC6FF8"/>
    <w:rsid w:val="22C73E32"/>
    <w:rsid w:val="235B27CC"/>
    <w:rsid w:val="236B0C61"/>
    <w:rsid w:val="237F6C74"/>
    <w:rsid w:val="24376D95"/>
    <w:rsid w:val="247578BD"/>
    <w:rsid w:val="24E46F1D"/>
    <w:rsid w:val="25453733"/>
    <w:rsid w:val="257D111F"/>
    <w:rsid w:val="25B14925"/>
    <w:rsid w:val="25C44658"/>
    <w:rsid w:val="25F52A64"/>
    <w:rsid w:val="261A4BC0"/>
    <w:rsid w:val="27333CBA"/>
    <w:rsid w:val="273870AC"/>
    <w:rsid w:val="27C2106B"/>
    <w:rsid w:val="287C746C"/>
    <w:rsid w:val="2881002E"/>
    <w:rsid w:val="29053906"/>
    <w:rsid w:val="2996630C"/>
    <w:rsid w:val="2AA44A58"/>
    <w:rsid w:val="2ADB491E"/>
    <w:rsid w:val="2AE35581"/>
    <w:rsid w:val="2B9845BD"/>
    <w:rsid w:val="2C416A03"/>
    <w:rsid w:val="2C491D5B"/>
    <w:rsid w:val="2C5129BE"/>
    <w:rsid w:val="2C8C4B8D"/>
    <w:rsid w:val="2C9A6113"/>
    <w:rsid w:val="2CBF201D"/>
    <w:rsid w:val="2CEF46B1"/>
    <w:rsid w:val="2E075A2A"/>
    <w:rsid w:val="2E47276C"/>
    <w:rsid w:val="2F452CAE"/>
    <w:rsid w:val="2FEC137B"/>
    <w:rsid w:val="300D4E4E"/>
    <w:rsid w:val="30191A45"/>
    <w:rsid w:val="30F57DBC"/>
    <w:rsid w:val="31280191"/>
    <w:rsid w:val="3140197F"/>
    <w:rsid w:val="317E6003"/>
    <w:rsid w:val="31FD161E"/>
    <w:rsid w:val="32002EBC"/>
    <w:rsid w:val="32476D3D"/>
    <w:rsid w:val="339B7340"/>
    <w:rsid w:val="352E7D40"/>
    <w:rsid w:val="355754E9"/>
    <w:rsid w:val="355D23D3"/>
    <w:rsid w:val="3578720D"/>
    <w:rsid w:val="359C73A0"/>
    <w:rsid w:val="35BB49D0"/>
    <w:rsid w:val="35E11E09"/>
    <w:rsid w:val="3642059B"/>
    <w:rsid w:val="366E5795"/>
    <w:rsid w:val="37465815"/>
    <w:rsid w:val="37621F23"/>
    <w:rsid w:val="37751C56"/>
    <w:rsid w:val="37E64902"/>
    <w:rsid w:val="38B90269"/>
    <w:rsid w:val="38CE5AC2"/>
    <w:rsid w:val="38DC5B2C"/>
    <w:rsid w:val="38EE1CC0"/>
    <w:rsid w:val="38EF24A6"/>
    <w:rsid w:val="38F46820"/>
    <w:rsid w:val="39912B26"/>
    <w:rsid w:val="39A16D33"/>
    <w:rsid w:val="39D23390"/>
    <w:rsid w:val="39ED1F78"/>
    <w:rsid w:val="39F94DC1"/>
    <w:rsid w:val="3A0948D8"/>
    <w:rsid w:val="3A7C32FC"/>
    <w:rsid w:val="3A8D5509"/>
    <w:rsid w:val="3AA30888"/>
    <w:rsid w:val="3AED5FA8"/>
    <w:rsid w:val="3B135A0E"/>
    <w:rsid w:val="3B651FE2"/>
    <w:rsid w:val="3D6A38DF"/>
    <w:rsid w:val="3D965BA7"/>
    <w:rsid w:val="3DD1395F"/>
    <w:rsid w:val="3E99447C"/>
    <w:rsid w:val="3EBC016B"/>
    <w:rsid w:val="404B17A6"/>
    <w:rsid w:val="41027567"/>
    <w:rsid w:val="411E0E78"/>
    <w:rsid w:val="414D154E"/>
    <w:rsid w:val="41984EBF"/>
    <w:rsid w:val="42DC0DDB"/>
    <w:rsid w:val="43301127"/>
    <w:rsid w:val="435C016E"/>
    <w:rsid w:val="4391606A"/>
    <w:rsid w:val="4416031D"/>
    <w:rsid w:val="44A439A4"/>
    <w:rsid w:val="45E00BE3"/>
    <w:rsid w:val="46133233"/>
    <w:rsid w:val="463F7FFF"/>
    <w:rsid w:val="465F41FD"/>
    <w:rsid w:val="473C62ED"/>
    <w:rsid w:val="474433F3"/>
    <w:rsid w:val="47AC3472"/>
    <w:rsid w:val="484F2050"/>
    <w:rsid w:val="489D100D"/>
    <w:rsid w:val="48D27585"/>
    <w:rsid w:val="490177EE"/>
    <w:rsid w:val="49920446"/>
    <w:rsid w:val="49CE3543"/>
    <w:rsid w:val="4A0E7ADB"/>
    <w:rsid w:val="4AC97E97"/>
    <w:rsid w:val="4BDB2578"/>
    <w:rsid w:val="4C235CCD"/>
    <w:rsid w:val="4CB977FD"/>
    <w:rsid w:val="4D1D096E"/>
    <w:rsid w:val="4D250E2D"/>
    <w:rsid w:val="4D387556"/>
    <w:rsid w:val="4D477799"/>
    <w:rsid w:val="4D555F59"/>
    <w:rsid w:val="4D9C7AE5"/>
    <w:rsid w:val="4DA93FB0"/>
    <w:rsid w:val="4DAC2D37"/>
    <w:rsid w:val="4DF07E31"/>
    <w:rsid w:val="4F035942"/>
    <w:rsid w:val="4F4F0B87"/>
    <w:rsid w:val="503F0BFC"/>
    <w:rsid w:val="508A631B"/>
    <w:rsid w:val="50E81293"/>
    <w:rsid w:val="510460CD"/>
    <w:rsid w:val="51721459"/>
    <w:rsid w:val="521D4101"/>
    <w:rsid w:val="525E180D"/>
    <w:rsid w:val="538C05FC"/>
    <w:rsid w:val="53982AFD"/>
    <w:rsid w:val="53C75190"/>
    <w:rsid w:val="53DF697E"/>
    <w:rsid w:val="545A0401"/>
    <w:rsid w:val="549F7EBB"/>
    <w:rsid w:val="550A17D8"/>
    <w:rsid w:val="56513437"/>
    <w:rsid w:val="56C360E3"/>
    <w:rsid w:val="572F3778"/>
    <w:rsid w:val="58676F42"/>
    <w:rsid w:val="58E42340"/>
    <w:rsid w:val="58F05189"/>
    <w:rsid w:val="5903310E"/>
    <w:rsid w:val="59BD32BD"/>
    <w:rsid w:val="59E36918"/>
    <w:rsid w:val="59E45C04"/>
    <w:rsid w:val="5AC266B1"/>
    <w:rsid w:val="5B092876"/>
    <w:rsid w:val="5B6A7475"/>
    <w:rsid w:val="5C7D31D8"/>
    <w:rsid w:val="5C877B46"/>
    <w:rsid w:val="5CC606DB"/>
    <w:rsid w:val="5D7E7207"/>
    <w:rsid w:val="5D845EA0"/>
    <w:rsid w:val="5D973E25"/>
    <w:rsid w:val="5E401BF3"/>
    <w:rsid w:val="5E451AD3"/>
    <w:rsid w:val="5EB822A5"/>
    <w:rsid w:val="5EEC76C7"/>
    <w:rsid w:val="5EFD415C"/>
    <w:rsid w:val="5F092B01"/>
    <w:rsid w:val="5F2319B3"/>
    <w:rsid w:val="5F610B8F"/>
    <w:rsid w:val="6003562D"/>
    <w:rsid w:val="60210924"/>
    <w:rsid w:val="61142A0A"/>
    <w:rsid w:val="61642270"/>
    <w:rsid w:val="617526CF"/>
    <w:rsid w:val="61DA03D6"/>
    <w:rsid w:val="622D6B06"/>
    <w:rsid w:val="62650996"/>
    <w:rsid w:val="635307EE"/>
    <w:rsid w:val="63620A31"/>
    <w:rsid w:val="63A454EE"/>
    <w:rsid w:val="66391F1D"/>
    <w:rsid w:val="664E2757"/>
    <w:rsid w:val="66CA7019"/>
    <w:rsid w:val="66CF63DE"/>
    <w:rsid w:val="672F1572"/>
    <w:rsid w:val="673D77EB"/>
    <w:rsid w:val="678A0557"/>
    <w:rsid w:val="686139AD"/>
    <w:rsid w:val="69AB1384"/>
    <w:rsid w:val="69F04FE9"/>
    <w:rsid w:val="69F06D97"/>
    <w:rsid w:val="6A507835"/>
    <w:rsid w:val="6AFE54E3"/>
    <w:rsid w:val="6B5B46E4"/>
    <w:rsid w:val="6C635F46"/>
    <w:rsid w:val="6C661592"/>
    <w:rsid w:val="6CA34594"/>
    <w:rsid w:val="6CB00A5F"/>
    <w:rsid w:val="6D3433A6"/>
    <w:rsid w:val="6E7F4B8D"/>
    <w:rsid w:val="6F5C4ECE"/>
    <w:rsid w:val="6FBD1E09"/>
    <w:rsid w:val="6FD131C7"/>
    <w:rsid w:val="6FEC0000"/>
    <w:rsid w:val="70383EEB"/>
    <w:rsid w:val="71D15700"/>
    <w:rsid w:val="71FB41EE"/>
    <w:rsid w:val="7315161C"/>
    <w:rsid w:val="74E7348C"/>
    <w:rsid w:val="750B0F29"/>
    <w:rsid w:val="75BA46FD"/>
    <w:rsid w:val="75F714AD"/>
    <w:rsid w:val="76860C77"/>
    <w:rsid w:val="76C21ABB"/>
    <w:rsid w:val="770A5210"/>
    <w:rsid w:val="775F555C"/>
    <w:rsid w:val="77ED2B68"/>
    <w:rsid w:val="782B3690"/>
    <w:rsid w:val="795F1843"/>
    <w:rsid w:val="79F05FF4"/>
    <w:rsid w:val="7AF75AAB"/>
    <w:rsid w:val="7BB57E40"/>
    <w:rsid w:val="7BC57958"/>
    <w:rsid w:val="7BE67FFA"/>
    <w:rsid w:val="7CB41EA6"/>
    <w:rsid w:val="7CCD4D16"/>
    <w:rsid w:val="7DDB3462"/>
    <w:rsid w:val="7E5A6A7D"/>
    <w:rsid w:val="7E9E2E0E"/>
    <w:rsid w:val="7EC30AC6"/>
    <w:rsid w:val="7EFB0260"/>
    <w:rsid w:val="7F721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3597</Words>
  <Characters>4043</Characters>
  <TotalTime>28</TotalTime>
  <ScaleCrop>false</ScaleCrop>
  <LinksUpToDate>false</LinksUpToDate>
  <CharactersWithSpaces>4163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2023-07-03T08:28:00Z</dcterms:created>
  <dc:creator>Kingsoft-PDF</dc:creator>
  <cp:lastModifiedBy>吴丹</cp:lastModifiedBy>
  <dcterms:modified xsi:type="dcterms:W3CDTF">2023-07-06T08:12:21Z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2023-07-03T08:28:50Z</vt:filetime>
  </property>
  <property fmtid="{D5CDD505-2E9C-101B-9397-08002B2CF9AE}" pid="4" name="UsrData">
    <vt:lpwstr>64a2163bdaff7b001fdb57b9wl</vt:lpwstr>
  </property>
  <property fmtid="{D5CDD505-2E9C-101B-9397-08002B2CF9AE}" pid="5" name="KSOProductBuildVer">
    <vt:lpwstr>2052-11.1.0.12980</vt:lpwstr>
  </property>
  <property fmtid="{D5CDD505-2E9C-101B-9397-08002B2CF9AE}" pid="6" name="ICV">
    <vt:lpwstr>D8618E7B63414DD0B510AB7F093E3A0A</vt:lpwstr>
  </property>
</Properties>
</file>