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林业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汇总级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整体支出绩效评价基础数据表</w:t>
      </w:r>
    </w:p>
    <w:tbl>
      <w:tblPr>
        <w:tblStyle w:val="6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1"/>
        <w:gridCol w:w="1836"/>
        <w:gridCol w:w="2287"/>
        <w:gridCol w:w="157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1902.68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1934.05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1934.05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3.35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2.82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3.35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2.82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8.56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6.44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2033.06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4661.46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4661.46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1.行政运行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2.其他发展改革事务支出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2.7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3.其他税收事务支出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4.行政运行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2.03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5.其他人力资源和社会保障管理事务支出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0.26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6.公益性岗位补贴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1.19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7.临时救助支出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8.停伐补助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9.其他节能环保支出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29.07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353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10.一般行政管理事务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420.4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504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11.森林资源培育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310.44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1092.62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12.森林生态效益补偿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76.97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81.59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13.动植物保护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14.湿地保护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15.林业草原防灾减灾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16.其他林业和草原支出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1808.08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17.其他巩固脱贫衔接乡村振兴支出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18.其他农林水支出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19.其他交通运输支出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20.其他支出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265.82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162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21.其他科技条件与服务支出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22.其他就业补助支出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23.其他自然生态保护支出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24.森林管护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8.97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25.其他国有土地收益基金支出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411.2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27.对外合作与交流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28.产业化管理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29.林区公共支出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30.其他扶贫支出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减少非必要开支，常态化宣传节约意识。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）。0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</w:t>
      </w:r>
      <w:r>
        <w:rPr>
          <w:rFonts w:hint="eastAsia" w:eastAsia="仿宋_GB2312" w:cs="Times New Roman"/>
          <w:sz w:val="22"/>
          <w:lang w:eastAsia="zh-CN"/>
        </w:rPr>
        <w:t>：</w:t>
      </w:r>
      <w:r>
        <w:rPr>
          <w:rFonts w:hint="eastAsia" w:eastAsia="仿宋_GB2312" w:cs="Times New Roman"/>
          <w:sz w:val="22"/>
          <w:lang w:val="en-US" w:eastAsia="zh-CN"/>
        </w:rPr>
        <w:t xml:space="preserve">李天乐  </w:t>
      </w:r>
      <w:r>
        <w:rPr>
          <w:rFonts w:hint="default" w:ascii="Times New Roman" w:hAnsi="Times New Roman" w:eastAsia="仿宋_GB2312" w:cs="Times New Roman"/>
          <w:sz w:val="22"/>
        </w:rPr>
        <w:t>填报日期：</w:t>
      </w:r>
      <w:r>
        <w:rPr>
          <w:rFonts w:hint="eastAsia" w:eastAsia="仿宋_GB2312" w:cs="Times New Roman"/>
          <w:sz w:val="22"/>
          <w:lang w:val="en-US" w:eastAsia="zh-CN"/>
        </w:rPr>
        <w:t xml:space="preserve">2023.7.7  </w:t>
      </w:r>
      <w:r>
        <w:rPr>
          <w:rFonts w:hint="default" w:ascii="Times New Roman" w:hAnsi="Times New Roman" w:eastAsia="仿宋_GB2312" w:cs="Times New Roman"/>
          <w:sz w:val="22"/>
        </w:rPr>
        <w:t>联系电话</w:t>
      </w:r>
      <w:r>
        <w:rPr>
          <w:rFonts w:hint="eastAsia" w:eastAsia="仿宋_GB2312" w:cs="Times New Roman"/>
          <w:sz w:val="22"/>
          <w:lang w:eastAsia="zh-CN"/>
        </w:rPr>
        <w:t>：</w:t>
      </w:r>
      <w:r>
        <w:rPr>
          <w:rFonts w:hint="eastAsia" w:eastAsia="仿宋_GB2312" w:cs="Times New Roman"/>
          <w:sz w:val="22"/>
          <w:lang w:val="en-US" w:eastAsia="zh-CN"/>
        </w:rPr>
        <w:t>19100789779</w:t>
      </w:r>
      <w:r>
        <w:rPr>
          <w:rFonts w:hint="default" w:ascii="Times New Roman" w:hAnsi="Times New Roman" w:eastAsia="仿宋_GB2312" w:cs="Times New Roman"/>
          <w:sz w:val="22"/>
        </w:rPr>
        <w:t xml:space="preserve"> </w:t>
      </w:r>
      <w:r>
        <w:rPr>
          <w:rFonts w:hint="eastAsia" w:eastAsia="仿宋_GB2312" w:cs="Times New Roman"/>
          <w:sz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林业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汇总级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绩效自评表</w:t>
      </w:r>
    </w:p>
    <w:tbl>
      <w:tblPr>
        <w:tblStyle w:val="6"/>
        <w:tblW w:w="4999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2"/>
        <w:gridCol w:w="817"/>
        <w:gridCol w:w="804"/>
        <w:gridCol w:w="982"/>
        <w:gridCol w:w="1056"/>
        <w:gridCol w:w="1056"/>
        <w:gridCol w:w="543"/>
        <w:gridCol w:w="951"/>
        <w:gridCol w:w="148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07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华容县林业局汇总级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92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1526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6592.47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6592.47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6587.47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1927.01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4661.46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123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促进全县森林资源总量和质量稳步提升，加快林业产业发展，不断提升林业治理体系和治理能力现代化水平，实现林业可持续发展。</w:t>
            </w:r>
          </w:p>
        </w:tc>
        <w:tc>
          <w:tcPr>
            <w:tcW w:w="23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促进了全县森林资源总量和质量稳步提升，加快林业产业发展，不断提升林业治理体系和治理能力现代化水平，实现林业可持续发展。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9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造林面积（万亩）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1.087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1.087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森林抚育面积（万亩）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0.8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0.8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国家级国有公益林管护面积（万亩）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1.6646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1.6646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造林完成合格率（%）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≥85%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森林抚育合格率（%）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≥90%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主要林业有害生物成灾率（%）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≤1%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≤0.4%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然林和国家级公益林管护当期任务完成率（%）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≥90%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造林当期任务完成率（%）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≥80%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森林抚育当期任务完成率（%）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≥80%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国有天然林管护中央财政补助标准（10元/亩）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10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10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非国有天然商品林停伐管护中央财政补助标准（16元/亩）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16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16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国有国家级公益林管护中央财政补助标准（10元/亩）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10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10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9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林业有害生物防治有效挽回经济损失（是/否）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森林草原防火有效挽回经济损失（是/否）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林业生产有效带动林农增收（是/否）　</w:t>
            </w:r>
          </w:p>
        </w:tc>
        <w:tc>
          <w:tcPr>
            <w:tcW w:w="59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公益林减少水土流失有效维护林区发展（是/否）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林业生产有效带动林农就业（是/否）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为人民群众提供生态休闲等社会服务能力（是/否）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林业有害生物无公害防治率（%）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≥90%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95%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辖区内生态环境质量有所提升（是/否）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林区森林质量有效增强（是/否）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公益林有效维护林区稳定（是/否）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是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是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公益林有效保障经济可持续发展（是/否）</w:t>
            </w:r>
          </w:p>
        </w:tc>
        <w:tc>
          <w:tcPr>
            <w:tcW w:w="59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是</w:t>
            </w:r>
          </w:p>
        </w:tc>
        <w:tc>
          <w:tcPr>
            <w:tcW w:w="5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是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9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森林、湿地、荒漠生态系统功能改善可持续影响（是否明显）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是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是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基层林业单位满意度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≥80%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造林户满意度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≥80%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群众满意度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≥80%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72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</w:t>
      </w:r>
      <w:r>
        <w:rPr>
          <w:rFonts w:hint="eastAsia" w:eastAsia="仿宋_GB2312" w:cs="Times New Roman"/>
          <w:sz w:val="22"/>
          <w:lang w:eastAsia="zh-CN"/>
        </w:rPr>
        <w:t>：</w:t>
      </w:r>
      <w:r>
        <w:rPr>
          <w:rFonts w:hint="eastAsia" w:eastAsia="仿宋_GB2312" w:cs="Times New Roman"/>
          <w:sz w:val="22"/>
          <w:lang w:val="en-US" w:eastAsia="zh-CN"/>
        </w:rPr>
        <w:t xml:space="preserve">李天乐  </w:t>
      </w:r>
      <w:r>
        <w:rPr>
          <w:rFonts w:hint="default" w:ascii="Times New Roman" w:hAnsi="Times New Roman" w:eastAsia="仿宋_GB2312" w:cs="Times New Roman"/>
          <w:sz w:val="22"/>
        </w:rPr>
        <w:t>填报日期：</w:t>
      </w:r>
      <w:r>
        <w:rPr>
          <w:rFonts w:hint="eastAsia" w:eastAsia="仿宋_GB2312" w:cs="Times New Roman"/>
          <w:sz w:val="22"/>
          <w:lang w:val="en-US" w:eastAsia="zh-CN"/>
        </w:rPr>
        <w:t xml:space="preserve">2023.7.7  </w:t>
      </w:r>
      <w:r>
        <w:rPr>
          <w:rFonts w:hint="default" w:ascii="Times New Roman" w:hAnsi="Times New Roman" w:eastAsia="仿宋_GB2312" w:cs="Times New Roman"/>
          <w:sz w:val="22"/>
        </w:rPr>
        <w:t>联系电话</w:t>
      </w:r>
      <w:r>
        <w:rPr>
          <w:rFonts w:hint="eastAsia" w:eastAsia="仿宋_GB2312" w:cs="Times New Roman"/>
          <w:sz w:val="22"/>
          <w:lang w:eastAsia="zh-CN"/>
        </w:rPr>
        <w:t>：</w:t>
      </w:r>
      <w:r>
        <w:rPr>
          <w:rFonts w:hint="eastAsia" w:eastAsia="仿宋_GB2312" w:cs="Times New Roman"/>
          <w:sz w:val="22"/>
          <w:lang w:val="en-US" w:eastAsia="zh-CN"/>
        </w:rPr>
        <w:t>19100789779</w:t>
      </w:r>
      <w:r>
        <w:rPr>
          <w:rFonts w:hint="default" w:ascii="Times New Roman" w:hAnsi="Times New Roman" w:eastAsia="仿宋_GB2312" w:cs="Times New Roman"/>
          <w:sz w:val="22"/>
        </w:rPr>
        <w:t xml:space="preserve"> </w:t>
      </w:r>
      <w:r>
        <w:rPr>
          <w:rFonts w:hint="eastAsia" w:eastAsia="仿宋_GB2312" w:cs="Times New Roman"/>
          <w:sz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华容县林业局汇总级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ind w:firstLine="1280" w:firstLineChars="400"/>
        <w:jc w:val="both"/>
        <w:rPr>
          <w:rFonts w:hint="default" w:ascii="Times New Roman" w:hAnsi="Times New Roman" w:eastAsia="仿宋_GB2312" w:cs="Times New Roman"/>
          <w:sz w:val="32"/>
          <w:szCs w:val="32"/>
          <w:u w:val="singl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华容县林业局汇总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华容县林业局汇总级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</w:pPr>
      <w:r>
        <w:rPr>
          <w:rFonts w:hint="eastAsia" w:eastAsia="仿宋_GB2312" w:cs="Times New Roman"/>
          <w:b/>
          <w:bCs/>
          <w:color w:val="000000"/>
          <w:sz w:val="32"/>
          <w:szCs w:val="32"/>
          <w:lang w:val="en-US" w:eastAsia="zh-CN"/>
        </w:rPr>
        <w:t>一、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  <w:t>部门（单位）基本情况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华容县林业局是县人民政府工作部门，为正科级，由县自然资源局统一领导和管理。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负责林业及生态保护修复的监督管理，组织指导林业生态保护修复和造林绿化工作。负责森林、湿地资源的监督管理。指导开展林业产业工作。负责陆生野生动植物资源监督管理。负责监督管理各类自然保护地。负责推进林业改革相关工作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0" w:firstLineChars="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指导国有林场基本建设和发展，组织林木种子种质资源普查。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0" w:firstLineChars="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指导县森林公安工作，监督管理森林公安队伍，指导全县林业重大违法案件的查处，负责相关林业行政执法监管工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作。负责落实综合防灾减灾相关要求，指导实话森林火灾防治规划指导开展防火巡护、火源管理、防火设施建设等工作。监督管理林业资金和国有资产，提出林业预算内投资、规划，组织指导森林生态补偿。负责林业人才、科技、教育工作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辖县湿地保护中心、东湖国家湿地公园管理所、胜峰国有林场（与桃花山省级森林公园合署办公）、塔市国有林场和林业事务中心（木材检查站于9月份转隶为林业事务中心并入林业局 ）5个二级单位。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0" w:firstLine="640" w:firstLineChars="200"/>
        <w:jc w:val="both"/>
        <w:textAlignment w:val="auto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二、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1.收入情况：全年收入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6592.47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万元，其中：一般公共预算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6587.47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万元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,其他收入5万元。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2.支出情况:全年支出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6592.47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 xml:space="preserve">万元，其中：基本支出 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1927.01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万元，项目支出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4661.46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万元。本年结余：无。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2022年项目支出4661.46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万元，包括：造林补助项目、森林生态效益补偿项目、天然林保护管护项目、有害生物防治项目、森林抚育、林业项目等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；惠农项目（造林补助、森林生态效益、森林抚育、）资金均通过财政“一卡通”方式将补助资金发放到项目单位和农户；其他专项资金由县财政局直接将资金拨付给相关项目实施单位。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项目支出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严格按照项目资金管理规定管理资金，专款专用，资金使用与管理及时率100%、到位率100%、使用合格率100%。严格执行财经纪律，建立资金管理和控制体系，主动接受财政、审计部门审计、监督，杜绝了挪用、串用、截留、挤占等现象，保证了项目顺利实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202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年，根据年初工作规划和重点工作，围绕县委、县政府的工作部署，积极履行职责，强化管理，较好地完成了年度工作目标，同时加强预算收支的管理，建立健全内部管理制度，严格内部管理流程，部门整体支出管理得到了提升。整体支出绩效情况如下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eastAsia="仿宋_GB2312" w:cs="Times New Roman"/>
          <w:color w:val="00000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严格控制公务接待。林业部门公务接待工作按照务实节俭、杜绝浪费的原则进行管理和规范。公务接待明确标准和限额。要求出具接待函、用餐申报单、发票和菜单明细方可报销。每季度公开接待费用支出情况，实行动态管理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eastAsia="仿宋_GB2312" w:cs="Times New Roman"/>
          <w:color w:val="00000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资金使用效益高。表现在:一是保障了职工工资,津补贴的及时足额发放,没有出现拖欠职工工资、离退休费用等现象；二是保障了单位的正常运转,各项工作开展顺利,林业各项指标得到了增长,林农收入得到了提高；三是财政供养人员控制较好,；四是资金使用无虚列支出及随意使用现象,无大额现金支付现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eastAsia="仿宋_GB2312" w:cs="Times New Roman"/>
          <w:color w:val="00000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.预算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/>
        </w:rPr>
        <w:t>管理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方面</w:t>
      </w:r>
      <w:r>
        <w:rPr>
          <w:rFonts w:hint="eastAsia" w:eastAsia="仿宋_GB2312" w:cs="Times New Roman"/>
          <w:color w:val="00000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支出总额控制在预算总额以内，其他专项工程建设资金按时拨付资金，较好的完成了当年任务目标，财政拨款支出总体控制较好。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按照部门整体支出绩效评价指标体系对照打分得出结果为98分。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根据本单位职能职责和年度工作计划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实施预算支出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在202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年部门预算执行过程中，存在以下问题。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1.由于上级交办林业调查监测任务的突发性，一些无法预计和列入年初预算的项目支出，需要在年度中间进行预算追加和调整。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2.非税收入执收项目无法事先控制，如部门收费标准和依据临时调整，非税收入预算编制难以准确编制。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1.是按照预算规定的项目和用途严格财务审核，经费支出严格按预算规定项目的财务支出内容进行财务核算，在预算金额内严格控制费用的支出。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2.是严格控制“三公经费”支出，杜绝挪用和挤占其他预算资金；进一步细化“三公经费”管理，压缩“三公经费”支出。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3.是加强项目资金的使用管理，充分发挥财政专项资金的使用效益。同时，强化项目资金的监督，主动接受相关职能部门的检查和审计监督，并加强项目建设指导和检查验收。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jc w:val="left"/>
        <w:textAlignment w:val="auto"/>
        <w:outlineLvl w:val="0"/>
        <w:rPr>
          <w:rFonts w:hint="default" w:ascii="仿宋_GB2312" w:eastAsia="仿宋_GB231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6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 w:firstLine="240" w:firstLineChars="100"/>
              <w:jc w:val="left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 w:firstLine="241" w:firstLineChars="100"/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98</w:t>
            </w: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69FAA19-CCB3-4B7E-8EEC-6F82765533C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EABE6BB-9057-437F-B125-3EDE866AB65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61A3C9E-181E-4DB6-9F2A-B75B974DED2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D1186D6-075E-4E63-B572-49F80867C2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E3E5370-7FC2-4212-82AE-C229E7E2F97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B4D41A7-E8B2-4549-8532-54C8D6F80517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9B493DC1-2A9F-4B0F-B838-A1C1F066D3D0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8" w:fontKey="{7331ED54-94A6-49AA-9169-9600FF8EDA7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E8C72AC6-3768-4C80-8260-B7CD24F0464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A442A820-9515-4DD7-B8B5-971ECD17FCD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A2252C2F-B4A7-4E98-923D-4EC5756E15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jMTQ5ZWE4OGUxMTliMDJmNmE4ZmYwZWNkZGFlMzUifQ=="/>
  </w:docVars>
  <w:rsids>
    <w:rsidRoot w:val="0CCB7736"/>
    <w:rsid w:val="00047FEF"/>
    <w:rsid w:val="000A3906"/>
    <w:rsid w:val="001776F1"/>
    <w:rsid w:val="002915A3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7F60836"/>
    <w:rsid w:val="0ABD557B"/>
    <w:rsid w:val="0BBB5A8D"/>
    <w:rsid w:val="0C104906"/>
    <w:rsid w:val="0C396DB4"/>
    <w:rsid w:val="0CCB7736"/>
    <w:rsid w:val="0D9E0E8D"/>
    <w:rsid w:val="0DF06AE5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640EBC"/>
    <w:rsid w:val="1AB74849"/>
    <w:rsid w:val="1AC52FF2"/>
    <w:rsid w:val="1AE6175D"/>
    <w:rsid w:val="1B742AA7"/>
    <w:rsid w:val="1CA34935"/>
    <w:rsid w:val="1D5A640E"/>
    <w:rsid w:val="1D8A48E7"/>
    <w:rsid w:val="1F7640EC"/>
    <w:rsid w:val="20D76C5F"/>
    <w:rsid w:val="21057490"/>
    <w:rsid w:val="214A230E"/>
    <w:rsid w:val="21B052C4"/>
    <w:rsid w:val="22794E7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1C725DE"/>
    <w:rsid w:val="323C5548"/>
    <w:rsid w:val="34126D30"/>
    <w:rsid w:val="36EF3E96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A2227A"/>
    <w:rsid w:val="3DC55CAA"/>
    <w:rsid w:val="3DD556CA"/>
    <w:rsid w:val="3E1E6D74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6747A16"/>
    <w:rsid w:val="490746D8"/>
    <w:rsid w:val="49CF255F"/>
    <w:rsid w:val="4B2C5DCD"/>
    <w:rsid w:val="4B7D1173"/>
    <w:rsid w:val="4C150E22"/>
    <w:rsid w:val="4C6A38FC"/>
    <w:rsid w:val="4CB15724"/>
    <w:rsid w:val="4CE74BC3"/>
    <w:rsid w:val="4CF5000E"/>
    <w:rsid w:val="4DB17672"/>
    <w:rsid w:val="50AC44C4"/>
    <w:rsid w:val="50EA6DB9"/>
    <w:rsid w:val="51CA7471"/>
    <w:rsid w:val="51E00B23"/>
    <w:rsid w:val="521C2FA3"/>
    <w:rsid w:val="522529B2"/>
    <w:rsid w:val="53910AF4"/>
    <w:rsid w:val="55515AEF"/>
    <w:rsid w:val="555952B3"/>
    <w:rsid w:val="556B5A36"/>
    <w:rsid w:val="55AF40BB"/>
    <w:rsid w:val="56F72F7C"/>
    <w:rsid w:val="58516820"/>
    <w:rsid w:val="586243BF"/>
    <w:rsid w:val="58FD3402"/>
    <w:rsid w:val="5AAF7799"/>
    <w:rsid w:val="5B5C1753"/>
    <w:rsid w:val="5E134100"/>
    <w:rsid w:val="5E39160E"/>
    <w:rsid w:val="5F7A1C50"/>
    <w:rsid w:val="601C4AB5"/>
    <w:rsid w:val="60BE691E"/>
    <w:rsid w:val="61444403"/>
    <w:rsid w:val="62265BDF"/>
    <w:rsid w:val="6296758D"/>
    <w:rsid w:val="62E1699A"/>
    <w:rsid w:val="63336885"/>
    <w:rsid w:val="6390035A"/>
    <w:rsid w:val="64147F0D"/>
    <w:rsid w:val="64D66362"/>
    <w:rsid w:val="65077AE2"/>
    <w:rsid w:val="65860217"/>
    <w:rsid w:val="667E0AA1"/>
    <w:rsid w:val="66F2049E"/>
    <w:rsid w:val="67262DA8"/>
    <w:rsid w:val="68FB17C3"/>
    <w:rsid w:val="695F12F9"/>
    <w:rsid w:val="69636C3A"/>
    <w:rsid w:val="69CF7B2C"/>
    <w:rsid w:val="6A0B0004"/>
    <w:rsid w:val="6BA05DBF"/>
    <w:rsid w:val="6BA1010E"/>
    <w:rsid w:val="6C46031E"/>
    <w:rsid w:val="6CE47E41"/>
    <w:rsid w:val="6CED5810"/>
    <w:rsid w:val="6CF92413"/>
    <w:rsid w:val="6DFE5E04"/>
    <w:rsid w:val="6E87203D"/>
    <w:rsid w:val="6EB760D5"/>
    <w:rsid w:val="6F9278BB"/>
    <w:rsid w:val="6FFE1028"/>
    <w:rsid w:val="70463332"/>
    <w:rsid w:val="70FB4FE1"/>
    <w:rsid w:val="71572F19"/>
    <w:rsid w:val="719B7427"/>
    <w:rsid w:val="724A6793"/>
    <w:rsid w:val="741F26FA"/>
    <w:rsid w:val="74470DF8"/>
    <w:rsid w:val="75FD1676"/>
    <w:rsid w:val="768D2301"/>
    <w:rsid w:val="772740C2"/>
    <w:rsid w:val="799536BA"/>
    <w:rsid w:val="7A680F88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15</Pages>
  <Words>4967</Words>
  <Characters>5524</Characters>
  <Lines>0</Lines>
  <Paragraphs>0</Paragraphs>
  <TotalTime>23</TotalTime>
  <ScaleCrop>false</ScaleCrop>
  <LinksUpToDate>false</LinksUpToDate>
  <CharactersWithSpaces>5763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李天乐</cp:lastModifiedBy>
  <cp:lastPrinted>2023-07-17T00:31:37Z</cp:lastPrinted>
  <dcterms:modified xsi:type="dcterms:W3CDTF">2023-07-17T00:53:51Z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5CCCFACAD0E74FED881B5BAD00AF4128_13</vt:lpwstr>
  </property>
</Properties>
</file>