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6"/>
        <w:tblW w:w="4998" w:type="pct"/>
        <w:jc w:val="center"/>
        <w:tblLayout w:type="autofit"/>
        <w:tblCellMar>
          <w:top w:w="0" w:type="dxa"/>
          <w:left w:w="108" w:type="dxa"/>
          <w:bottom w:w="0" w:type="dxa"/>
          <w:right w:w="108" w:type="dxa"/>
        </w:tblCellMar>
      </w:tblPr>
      <w:tblGrid>
        <w:gridCol w:w="3218"/>
        <w:gridCol w:w="1956"/>
        <w:gridCol w:w="2437"/>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w:t>
            </w:r>
          </w:p>
        </w:tc>
        <w:tc>
          <w:tcPr>
            <w:tcW w:w="90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32.13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238</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225.75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0.42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0.49</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0.49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0.42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0.5</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0.49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661.00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455.14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lang w:eastAsia="zh-CN"/>
              </w:rPr>
              <w:t>县级</w:t>
            </w:r>
            <w:r>
              <w:rPr>
                <w:rFonts w:hint="eastAsia" w:ascii="新宋体" w:hAnsi="新宋体" w:eastAsia="新宋体" w:cs="新宋体"/>
                <w:sz w:val="21"/>
                <w:szCs w:val="21"/>
              </w:rPr>
              <w:t>专项资金</w:t>
            </w:r>
          </w:p>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（一个专项一行）</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.农业专业社会化发展专项项目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630" w:firstLineChars="300"/>
              <w:jc w:val="both"/>
              <w:rPr>
                <w:rFonts w:hint="eastAsia" w:ascii="新宋体" w:hAnsi="新宋体" w:eastAsia="新宋体" w:cs="新宋体"/>
                <w:sz w:val="21"/>
                <w:szCs w:val="21"/>
                <w:lang w:val="en-US" w:eastAsia="zh-CN"/>
              </w:rPr>
            </w:pPr>
          </w:p>
          <w:p>
            <w:pPr>
              <w:keepNext w:val="0"/>
              <w:keepLines w:val="0"/>
              <w:widowControl/>
              <w:suppressLineNumbers w:val="0"/>
              <w:spacing w:before="0" w:beforeAutospacing="0" w:after="0" w:afterAutospacing="0" w:line="360" w:lineRule="exact"/>
              <w:ind w:left="0" w:leftChars="0" w:right="0" w:rightChars="0" w:firstLine="630" w:firstLineChars="30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661.00</w:t>
            </w:r>
          </w:p>
          <w:p>
            <w:pPr>
              <w:pStyle w:val="4"/>
              <w:rPr>
                <w:rFonts w:hint="default"/>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3.省级家庭农场发展资金</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0"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455.14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rPr>
          <w:rFonts w:hint="default" w:ascii="Times New Roman" w:hAnsi="Times New Roman" w:eastAsia="仿宋_GB2312" w:cs="Times New Roman"/>
          <w:sz w:val="22"/>
        </w:rPr>
      </w:pPr>
      <w:r>
        <w:rPr>
          <w:rFonts w:hint="default" w:ascii="Times New Roman" w:hAnsi="Times New Roman" w:eastAsia="仿宋_GB2312" w:cs="Times New Roman"/>
          <w:sz w:val="22"/>
        </w:rPr>
        <w:t>填表人：        填报日期：          联系电话：            单位负责人签字：</w:t>
      </w:r>
    </w:p>
    <w:p>
      <w:pPr>
        <w:pStyle w:val="4"/>
        <w:rPr>
          <w:rFonts w:hint="default" w:ascii="Times New Roman" w:hAnsi="Times New Roman" w:eastAsia="仿宋_GB2312" w:cs="Times New Roman"/>
          <w:sz w:val="22"/>
        </w:rPr>
      </w:pPr>
    </w:p>
    <w:p>
      <w:pPr>
        <w:rPr>
          <w:rFonts w:hint="default" w:ascii="Times New Roman" w:hAnsi="Times New Roman" w:eastAsia="仿宋_GB2312" w:cs="Times New Roman"/>
          <w:sz w:val="22"/>
        </w:rPr>
      </w:pPr>
    </w:p>
    <w:p>
      <w:pPr>
        <w:pStyle w:val="4"/>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6"/>
        <w:tblW w:w="4997" w:type="pct"/>
        <w:jc w:val="center"/>
        <w:tblLayout w:type="autofit"/>
        <w:tblCellMar>
          <w:top w:w="0" w:type="dxa"/>
          <w:left w:w="108" w:type="dxa"/>
          <w:bottom w:w="0" w:type="dxa"/>
          <w:right w:w="108" w:type="dxa"/>
        </w:tblCellMar>
      </w:tblPr>
      <w:tblGrid>
        <w:gridCol w:w="1095"/>
        <w:gridCol w:w="878"/>
        <w:gridCol w:w="867"/>
        <w:gridCol w:w="1057"/>
        <w:gridCol w:w="1105"/>
        <w:gridCol w:w="1081"/>
        <w:gridCol w:w="589"/>
        <w:gridCol w:w="1021"/>
        <w:gridCol w:w="1589"/>
      </w:tblGrid>
      <w:tr>
        <w:tblPrEx>
          <w:tblCellMar>
            <w:top w:w="0" w:type="dxa"/>
            <w:left w:w="108" w:type="dxa"/>
            <w:bottom w:w="0" w:type="dxa"/>
            <w:right w:w="108" w:type="dxa"/>
          </w:tblCellMar>
        </w:tblPrEx>
        <w:trPr>
          <w:trHeight w:val="1003" w:hRule="atLeast"/>
          <w:jc w:val="center"/>
        </w:trPr>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09"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eastAsia="仿宋_GB2312"/>
                <w:sz w:val="32"/>
                <w:u w:val="single"/>
              </w:rPr>
              <w:t>202</w:t>
            </w:r>
            <w:r>
              <w:rPr>
                <w:rFonts w:hint="eastAsia" w:eastAsia="仿宋_GB2312"/>
                <w:sz w:val="32"/>
                <w:u w:val="single"/>
                <w:lang w:val="en-US" w:eastAsia="zh-CN"/>
              </w:rPr>
              <w:t>1</w:t>
            </w:r>
            <w:r>
              <w:rPr>
                <w:rFonts w:hint="eastAsia" w:eastAsia="仿宋_GB2312"/>
                <w:sz w:val="32"/>
                <w:u w:val="single"/>
              </w:rPr>
              <w:t>年</w:t>
            </w:r>
            <w:r>
              <w:rPr>
                <w:rFonts w:hint="eastAsia" w:eastAsia="仿宋_GB2312"/>
                <w:sz w:val="32"/>
                <w:u w:val="single"/>
                <w:lang w:val="en-US" w:eastAsia="zh-CN"/>
              </w:rPr>
              <w:t>中央农业适度规模经营补助资金</w:t>
            </w:r>
            <w:r>
              <w:rPr>
                <w:rFonts w:hint="eastAsia" w:eastAsia="仿宋_GB2312"/>
                <w:sz w:val="32"/>
                <w:u w:val="single"/>
              </w:rPr>
              <w:t xml:space="preserve"> </w:t>
            </w:r>
          </w:p>
        </w:tc>
      </w:tr>
      <w:tr>
        <w:tblPrEx>
          <w:tblCellMar>
            <w:top w:w="0" w:type="dxa"/>
            <w:left w:w="108" w:type="dxa"/>
            <w:bottom w:w="0" w:type="dxa"/>
            <w:right w:w="108" w:type="dxa"/>
          </w:tblCellMar>
        </w:tblPrEx>
        <w:trPr>
          <w:trHeight w:val="863" w:hRule="atLeast"/>
          <w:jc w:val="center"/>
        </w:trPr>
        <w:tc>
          <w:tcPr>
            <w:tcW w:w="590"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90"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eastAsia="仿宋_GB2312"/>
                <w:sz w:val="24"/>
                <w:lang w:val="en-US" w:eastAsia="zh-CN"/>
              </w:rPr>
              <w:t>0</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eastAsia="仿宋_GB2312"/>
                <w:sz w:val="24"/>
                <w:lang w:val="en-US" w:eastAsia="zh-CN"/>
              </w:rPr>
              <w:t>0</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rPr>
            </w:pPr>
            <w:r>
              <w:rPr>
                <w:rFonts w:hint="eastAsia" w:eastAsia="仿宋_GB2312"/>
                <w:sz w:val="24"/>
                <w:lang w:val="en-US" w:eastAsia="zh-CN"/>
              </w:rPr>
              <w:t>455.14</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4"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3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4"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616</w:t>
            </w:r>
          </w:p>
        </w:tc>
        <w:tc>
          <w:tcPr>
            <w:tcW w:w="23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其中：基本支出：</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4"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政府性基金拨款：</w:t>
            </w:r>
          </w:p>
        </w:tc>
        <w:tc>
          <w:tcPr>
            <w:tcW w:w="23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455.14</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4"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3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4"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305"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04"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305"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462" w:hRule="atLeast"/>
          <w:jc w:val="center"/>
        </w:trPr>
        <w:tc>
          <w:tcPr>
            <w:tcW w:w="59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04"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等线" w:hAnsi="等线" w:eastAsia="等线" w:cs="宋体"/>
                <w:color w:val="000000"/>
                <w:kern w:val="0"/>
                <w:sz w:val="20"/>
                <w:szCs w:val="20"/>
                <w:lang w:val="en-US" w:eastAsia="zh-CN"/>
              </w:rPr>
              <w:t>以服务小农户、推进服务带动型规模经营为主，此次补贴对象倾向于社会化服务发展比较充分、工作积极性高、基础条件扎实的农民合作社、专业服务组织等，着重推进粮食生产单环节托管、多环节托管、关键环节综合托管和全程托管等多种模式。引导小农户、家庭农场等农业适度规模经营主体，广泛接受集中育插（机抛）秧、推广无人机飞防等低成本、优品质、高效益的社会化服务。我们重点对集中育插（机抛）秧、无人机飞防服务两大关键环节进行资金扶持</w:t>
            </w:r>
          </w:p>
        </w:tc>
        <w:tc>
          <w:tcPr>
            <w:tcW w:w="2305"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等线" w:hAnsi="等线" w:eastAsia="等线" w:cs="宋体"/>
                <w:color w:val="000000"/>
                <w:kern w:val="0"/>
                <w:sz w:val="20"/>
                <w:szCs w:val="20"/>
                <w:lang w:eastAsia="zh-CN"/>
              </w:rPr>
              <w:t>资金拨付已全部到位</w:t>
            </w:r>
            <w:r>
              <w:rPr>
                <w:rFonts w:hint="eastAsia" w:ascii="等线" w:hAnsi="等线" w:eastAsia="等线" w:cs="宋体"/>
                <w:color w:val="000000"/>
                <w:kern w:val="0"/>
                <w:sz w:val="20"/>
                <w:szCs w:val="20"/>
                <w:lang w:val="en-US" w:eastAsia="zh-CN"/>
              </w:rPr>
              <w:t>,其中：农民专业合作社补贴资金166万元，家庭农场补贴资金50万元，社会化组织补贴资金400万元，合计：616万元</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新增</w:t>
            </w:r>
            <w:r>
              <w:rPr>
                <w:rFonts w:hint="eastAsia" w:ascii="等线" w:hAnsi="等线" w:eastAsia="等线" w:cs="宋体"/>
                <w:color w:val="000000"/>
                <w:kern w:val="0"/>
                <w:sz w:val="20"/>
                <w:szCs w:val="20"/>
                <w:lang w:eastAsia="zh-CN"/>
              </w:rPr>
              <w:t>经营</w:t>
            </w:r>
            <w:r>
              <w:rPr>
                <w:rFonts w:hint="eastAsia" w:ascii="等线" w:hAnsi="等线" w:eastAsia="等线" w:cs="宋体"/>
                <w:color w:val="000000"/>
                <w:kern w:val="0"/>
                <w:sz w:val="20"/>
                <w:szCs w:val="20"/>
              </w:rPr>
              <w:t>主体</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200</w:t>
            </w:r>
            <w:r>
              <w:rPr>
                <w:rFonts w:hint="eastAsia" w:ascii="等线" w:hAnsi="等线" w:eastAsia="等线" w:cs="宋体"/>
                <w:color w:val="000000"/>
                <w:kern w:val="0"/>
                <w:sz w:val="20"/>
                <w:szCs w:val="20"/>
              </w:rPr>
              <w:t>家</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200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设施利用率</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设施闲置期</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不超过</w:t>
            </w:r>
            <w:r>
              <w:rPr>
                <w:rFonts w:hint="eastAsia" w:ascii="等线" w:hAnsi="等线" w:eastAsia="等线" w:cs="宋体"/>
                <w:color w:val="000000"/>
                <w:kern w:val="0"/>
                <w:sz w:val="20"/>
                <w:szCs w:val="20"/>
                <w:lang w:val="en-US" w:eastAsia="zh-CN"/>
              </w:rPr>
              <w:t>4</w:t>
            </w:r>
            <w:r>
              <w:rPr>
                <w:rFonts w:hint="eastAsia" w:ascii="等线" w:hAnsi="等线" w:eastAsia="等线" w:cs="宋体"/>
                <w:color w:val="000000"/>
                <w:kern w:val="0"/>
                <w:sz w:val="20"/>
                <w:szCs w:val="20"/>
              </w:rPr>
              <w:t>个月</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平均3个月</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完成建设任务</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202</w:t>
            </w: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年12月底</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202</w:t>
            </w: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年12月底</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完成建设任务</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202</w:t>
            </w: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年12月底</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202</w:t>
            </w:r>
            <w:r>
              <w:rPr>
                <w:rFonts w:hint="eastAsia" w:ascii="等线" w:hAnsi="等线" w:eastAsia="等线" w:cs="宋体"/>
                <w:color w:val="000000"/>
                <w:kern w:val="0"/>
                <w:sz w:val="20"/>
                <w:szCs w:val="20"/>
                <w:lang w:val="en-US" w:eastAsia="zh-CN"/>
              </w:rPr>
              <w:t>1</w:t>
            </w:r>
            <w:r>
              <w:rPr>
                <w:rFonts w:hint="eastAsia" w:ascii="等线" w:hAnsi="等线" w:eastAsia="等线" w:cs="宋体"/>
                <w:color w:val="000000"/>
                <w:kern w:val="0"/>
                <w:sz w:val="20"/>
                <w:szCs w:val="20"/>
              </w:rPr>
              <w:t>年12月底</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9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成本节约率</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248"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50</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年创经济效益</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200</w:t>
            </w:r>
            <w:r>
              <w:rPr>
                <w:rFonts w:hint="eastAsia" w:ascii="等线" w:hAnsi="等线" w:eastAsia="等线" w:cs="宋体"/>
                <w:color w:val="000000"/>
                <w:kern w:val="0"/>
                <w:sz w:val="20"/>
                <w:szCs w:val="20"/>
              </w:rPr>
              <w:t>万元</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300</w:t>
            </w:r>
            <w:r>
              <w:rPr>
                <w:rFonts w:hint="eastAsia" w:ascii="等线" w:hAnsi="等线" w:eastAsia="等线" w:cs="宋体"/>
                <w:color w:val="000000"/>
                <w:kern w:val="0"/>
                <w:sz w:val="20"/>
                <w:szCs w:val="20"/>
              </w:rPr>
              <w:t>万元</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损失率下降</w:t>
            </w: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20%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溢价能力增长</w:t>
            </w:r>
          </w:p>
        </w:tc>
        <w:tc>
          <w:tcPr>
            <w:tcW w:w="59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w:t>
            </w:r>
          </w:p>
        </w:tc>
        <w:tc>
          <w:tcPr>
            <w:tcW w:w="58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8%</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带动贫困户</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3</w:t>
            </w:r>
            <w:r>
              <w:rPr>
                <w:rFonts w:hint="eastAsia" w:ascii="等线" w:hAnsi="等线" w:eastAsia="等线" w:cs="宋体"/>
                <w:color w:val="000000"/>
                <w:kern w:val="0"/>
                <w:sz w:val="20"/>
                <w:szCs w:val="20"/>
              </w:rPr>
              <w:t>00户</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358</w:t>
            </w:r>
            <w:r>
              <w:rPr>
                <w:rFonts w:hint="eastAsia" w:ascii="等线" w:hAnsi="等线" w:eastAsia="等线" w:cs="宋体"/>
                <w:color w:val="000000"/>
                <w:kern w:val="0"/>
                <w:sz w:val="20"/>
                <w:szCs w:val="20"/>
              </w:rPr>
              <w:t>户</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带动产业发展</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140</w:t>
            </w:r>
            <w:r>
              <w:rPr>
                <w:rFonts w:hint="eastAsia" w:ascii="等线" w:hAnsi="等线" w:eastAsia="等线" w:cs="宋体"/>
                <w:color w:val="000000"/>
                <w:kern w:val="0"/>
                <w:sz w:val="20"/>
                <w:szCs w:val="20"/>
              </w:rPr>
              <w:t>家</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160</w:t>
            </w:r>
            <w:r>
              <w:rPr>
                <w:rFonts w:hint="eastAsia" w:ascii="等线" w:hAnsi="等线" w:eastAsia="等线" w:cs="宋体"/>
                <w:color w:val="000000"/>
                <w:kern w:val="0"/>
                <w:sz w:val="20"/>
                <w:szCs w:val="20"/>
              </w:rPr>
              <w:t>家</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206"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5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农产品质量标准提高</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8%</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商品化处理能力</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8%</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170"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328"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10"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28</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满意度　</w:t>
            </w: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100%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100%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536" w:hRule="atLeast"/>
          <w:jc w:val="center"/>
        </w:trPr>
        <w:tc>
          <w:tcPr>
            <w:tcW w:w="59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9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8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74"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98</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4"/>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华容县农村经营服务中心</w:t>
      </w:r>
      <w:r>
        <w:rPr>
          <w:rFonts w:hint="eastAsia" w:ascii="方正小标宋简体" w:hAnsi="方正小标宋简体" w:eastAsia="方正小标宋简体" w:cs="方正小标宋简体"/>
          <w:sz w:val="44"/>
          <w:szCs w:val="44"/>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07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17</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华容县农村经营服务中心</w:t>
      </w:r>
      <w:r>
        <w:rPr>
          <w:rFonts w:hint="eastAsia" w:ascii="方正小标宋简体" w:hAnsi="方正小标宋简体" w:eastAsia="方正小标宋简体" w:cs="方正小标宋简体"/>
          <w:sz w:val="44"/>
          <w:szCs w:val="44"/>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numPr>
          <w:ilvl w:val="0"/>
          <w:numId w:val="0"/>
        </w:numPr>
        <w:ind w:firstLine="647"/>
        <w:rPr>
          <w:rFonts w:hint="eastAsia" w:eastAsia="仿宋_GB2312"/>
          <w:sz w:val="30"/>
          <w:szCs w:val="30"/>
        </w:rPr>
      </w:pPr>
      <w:r>
        <w:rPr>
          <w:rFonts w:hint="eastAsia" w:eastAsia="仿宋_GB2312"/>
          <w:sz w:val="30"/>
          <w:szCs w:val="30"/>
        </w:rPr>
        <w:t>(一)项目概况。</w:t>
      </w:r>
    </w:p>
    <w:p>
      <w:pPr>
        <w:numPr>
          <w:ilvl w:val="0"/>
          <w:numId w:val="0"/>
        </w:numPr>
        <w:ind w:firstLine="647"/>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根据《湖南省财政厅关于下达2022年中央农业适度规模经营补助资金的通知》文件精神，结合我县实际综合考虑粮食产量、种粮面积、新型经营主体的适度规模等因素，</w:t>
      </w:r>
      <w:r>
        <w:rPr>
          <w:rFonts w:hint="eastAsia" w:ascii="楷体_GB2312" w:hAnsi="楷体_GB2312" w:eastAsia="楷体_GB2312" w:cs="楷体_GB2312"/>
          <w:color w:val="000000" w:themeColor="text1"/>
          <w:sz w:val="32"/>
          <w:szCs w:val="32"/>
          <w14:textFill>
            <w14:solidFill>
              <w14:schemeClr w14:val="tx1"/>
            </w14:solidFill>
          </w14:textFill>
        </w:rPr>
        <w:t>我们出台了</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华容县</w:t>
      </w:r>
      <w:r>
        <w:rPr>
          <w:rFonts w:hint="eastAsia" w:ascii="楷体_GB2312" w:hAnsi="楷体_GB2312" w:eastAsia="楷体_GB2312" w:cs="楷体_GB2312"/>
          <w:sz w:val="32"/>
          <w:szCs w:val="32"/>
          <w:lang w:val="en-US" w:eastAsia="zh-CN"/>
        </w:rPr>
        <w:t>2022年农业生产发展资金</w:t>
      </w:r>
      <w:r>
        <w:rPr>
          <w:rFonts w:hint="eastAsia" w:ascii="楷体_GB2312" w:hAnsi="楷体_GB2312" w:eastAsia="楷体_GB2312" w:cs="楷体_GB2312"/>
          <w:color w:val="000000" w:themeColor="text1"/>
          <w:sz w:val="32"/>
          <w:szCs w:val="32"/>
          <w14:textFill>
            <w14:solidFill>
              <w14:schemeClr w14:val="tx1"/>
            </w14:solidFill>
          </w14:textFill>
        </w:rPr>
        <w:t>工作实施方案</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明确了指导思想，拟定了实施原则和目标任务</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p>
    <w:p>
      <w:pPr>
        <w:numPr>
          <w:ilvl w:val="0"/>
          <w:numId w:val="0"/>
        </w:numPr>
        <w:ind w:firstLine="647"/>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结合我县实际，以服务小农户、推进服务带动型规模经营为主，此次补贴对象倾向于社会化服务发展比较充分、工作积极性高、基础条件扎实的农民合作社、专业服务组织等，着重推进粮食生产单环节托管、多环节托管、关键环节综合托管和全程托管等多种模式。引导小农户、家庭农场等农业适度规模经营主体，广泛接受集中育插（机抛）秧、推广无人机飞防等低成本、优品质、高效益的社会化服务。我们重点对集中育插（机抛）秧、无人机飞防服务两大关键环节进行资金扶持。</w:t>
      </w: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项目绩效目标。</w:t>
      </w:r>
    </w:p>
    <w:p>
      <w:pPr>
        <w:pageBreakBefore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通过项目实施，大力发展以机械作业为主的社会化服务，进一步健全服务市场、规范服务行为、创新管理运行机制，完善政策支持体系，扶持一批规模化、规范化和专业化的社会化服务组织，实现专项服务标准化、综合服务全程化，示范带动全县农业生产服务能力提升，推进服务集中型规模经营发展，实现农业增效，农民增收。</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sz w:val="32"/>
          <w:szCs w:val="32"/>
          <w:lang w:val="en-US" w:eastAsia="zh-CN"/>
        </w:rPr>
        <w:t>根据《湖南省财政厅关于下达2022年中央农业适度规模经营补助资金的通知》补助资金455.14万元（</w:t>
      </w:r>
      <w:r>
        <w:rPr>
          <w:rFonts w:hint="eastAsia" w:ascii="楷体_GB2312" w:hAnsi="楷体_GB2312" w:eastAsia="楷体_GB2312" w:cs="楷体_GB2312"/>
          <w:color w:val="000000" w:themeColor="text1"/>
          <w:sz w:val="32"/>
          <w:szCs w:val="32"/>
          <w14:textFill>
            <w14:solidFill>
              <w14:schemeClr w14:val="tx1"/>
            </w14:solidFill>
          </w14:textFill>
        </w:rPr>
        <w:t>目前，资金拨付已全部到位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在全县范围内通过摸底排查及现场考评，结合社会化服务体系数据，对纳入补贴对象的新型经营主体采取“先服务后补贴”方式进行补助，严格补助程序，采取自下而上申报，村场、乡镇摸底核实，上报前进行网络公示，再由主管部门汇总、连同方案和分配明细在县人民政府门户网站再次公示，经县人民政府批准后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0"/>
          <w:szCs w:val="30"/>
        </w:rPr>
      </w:pPr>
      <w:r>
        <w:rPr>
          <w:rFonts w:hint="eastAsia" w:ascii="楷体_GB2312" w:hAnsi="楷体_GB2312" w:eastAsia="楷体_GB2312" w:cs="楷体_GB2312"/>
          <w:color w:val="000000" w:themeColor="text1"/>
          <w:sz w:val="32"/>
          <w:szCs w:val="32"/>
          <w14:textFill>
            <w14:solidFill>
              <w14:schemeClr w14:val="tx1"/>
            </w14:solidFill>
          </w14:textFill>
        </w:rPr>
        <w:t>县农村经营服务中心对项目资金实行专账管理、专款专用。项目资金经相关业务部门在</w:t>
      </w:r>
      <w:r>
        <w:rPr>
          <w:rFonts w:hint="eastAsia" w:ascii="楷体_GB2312" w:hAnsi="楷体_GB2312" w:eastAsia="楷体_GB2312" w:cs="楷体_GB2312"/>
          <w:color w:val="000000" w:themeColor="text1"/>
          <w:sz w:val="32"/>
          <w:szCs w:val="32"/>
          <w:lang w:eastAsia="zh-CN"/>
          <w14:textFill>
            <w14:solidFill>
              <w14:schemeClr w14:val="tx1"/>
            </w14:solidFill>
          </w14:textFill>
        </w:rPr>
        <w:t>中央</w:t>
      </w:r>
      <w:r>
        <w:rPr>
          <w:rFonts w:hint="eastAsia" w:ascii="楷体_GB2312" w:hAnsi="楷体_GB2312" w:eastAsia="楷体_GB2312" w:cs="楷体_GB2312"/>
          <w:color w:val="000000" w:themeColor="text1"/>
          <w:sz w:val="32"/>
          <w:szCs w:val="32"/>
          <w14:textFill>
            <w14:solidFill>
              <w14:schemeClr w14:val="tx1"/>
            </w14:solidFill>
          </w14:textFill>
        </w:rPr>
        <w:t>农业</w:t>
      </w:r>
      <w:r>
        <w:rPr>
          <w:rFonts w:hint="eastAsia" w:ascii="楷体_GB2312" w:hAnsi="楷体_GB2312" w:eastAsia="楷体_GB2312" w:cs="楷体_GB2312"/>
          <w:color w:val="000000" w:themeColor="text1"/>
          <w:sz w:val="32"/>
          <w:szCs w:val="32"/>
          <w:lang w:eastAsia="zh-CN"/>
          <w14:textFill>
            <w14:solidFill>
              <w14:schemeClr w14:val="tx1"/>
            </w14:solidFill>
          </w14:textFill>
        </w:rPr>
        <w:t>适度规模经营补助资金</w:t>
      </w:r>
      <w:r>
        <w:rPr>
          <w:rFonts w:hint="eastAsia" w:ascii="楷体_GB2312" w:hAnsi="楷体_GB2312" w:eastAsia="楷体_GB2312" w:cs="楷体_GB2312"/>
          <w:color w:val="000000" w:themeColor="text1"/>
          <w:sz w:val="32"/>
          <w:szCs w:val="32"/>
          <w14:textFill>
            <w14:solidFill>
              <w14:schemeClr w14:val="tx1"/>
            </w14:solidFill>
          </w14:textFill>
        </w:rPr>
        <w:t>汇总表签字确认，按完成进度及时足额拨付到服务组织银行账号，资金使用规范，确保了资金安全。</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绩效评价原则、评价指标体系(附表说明)、评价方法、 评价标准等。</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pageBreakBefore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通过项目实施，大力发展以机械作业为主的社会化服务，进一步健全服务市场、规范服务行为、创新管理运行机制，完善政策支持体系，扶持一批规模化、规范化和专业化的社会化服务组织，实现专项服务标准化、综合服务全程化，示范带动全县农业生产服务能力提升，推进服务集中型规模经营发展，实现农业增效，农民增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0"/>
          <w:szCs w:val="30"/>
        </w:rPr>
      </w:pPr>
      <w:r>
        <w:rPr>
          <w:rFonts w:hint="eastAsia" w:ascii="楷体_GB2312" w:hAnsi="楷体_GB2312" w:eastAsia="楷体_GB2312" w:cs="楷体_GB2312"/>
          <w:sz w:val="32"/>
          <w:szCs w:val="32"/>
          <w:lang w:val="en-US" w:eastAsia="zh-CN"/>
        </w:rPr>
        <w:t>结合我县实际，以服务小农户、推进服务带动型规模经营为主，此次补贴对象倾向于社会化服务发展比较充分、工作积极性高、基础条件扎实的农民合作社、专业服务组织等，着重推进粮食生产单环节托管、多环节托管、关键环节综合托管和全程托管等多种模式。引导小农户、家庭农场等农业适度规模经营主体，广泛接受集中育插（机抛）秧、推广无人机飞防等低成本、优品质、高效益的社会化服务。我们重点对集中育插（机抛）秧、无人机飞防服务两大关键环节进行资金扶持。</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pStyle w:val="2"/>
        <w:spacing w:afterLines="80" w:line="520" w:lineRule="atLeast"/>
        <w:ind w:firstLine="640" w:firstLineChars="200"/>
        <w:jc w:val="left"/>
        <w:rPr>
          <w:rFonts w:hint="eastAsia" w:ascii="楷体_GB2312" w:hAnsi="楷体_GB2312" w:eastAsia="楷体_GB2312" w:cs="楷体_GB2312"/>
          <w:bCs w:val="0"/>
          <w:kern w:val="2"/>
          <w:sz w:val="32"/>
          <w:szCs w:val="32"/>
          <w:lang w:val="en-US" w:eastAsia="zh-CN" w:bidi="ar-SA"/>
        </w:rPr>
      </w:pPr>
      <w:r>
        <w:rPr>
          <w:rFonts w:hint="eastAsia" w:ascii="楷体_GB2312" w:hAnsi="楷体_GB2312" w:eastAsia="楷体_GB2312" w:cs="楷体_GB2312"/>
          <w:bCs w:val="0"/>
          <w:kern w:val="2"/>
          <w:sz w:val="32"/>
          <w:szCs w:val="32"/>
          <w:lang w:val="en-US" w:eastAsia="zh-CN" w:bidi="ar-SA"/>
        </w:rPr>
        <w:t>严格按照项目实施要求和资金使用方案实施项目，项目申报阶段对拟实施项目的主体在县政府门户网站上进行公示，无异议后方可实施项目。项目完工后财政局、农业农村局相关股室联合验收合格后，核定项目奖补金额，并在县政府门户网站上公示无异议后由县财政直接补贴到实施主体，做到项目实施、验收、补贴全程公开透。</w:t>
      </w:r>
    </w:p>
    <w:p>
      <w:pPr>
        <w:pStyle w:val="2"/>
        <w:spacing w:afterLines="80" w:line="520" w:lineRule="atLeast"/>
        <w:ind w:firstLine="600" w:firstLineChars="200"/>
        <w:jc w:val="left"/>
        <w:rPr>
          <w:rFonts w:hint="eastAsia"/>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numPr>
          <w:ilvl w:val="0"/>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由于规模经营，生产要素集聚，便于采用先进技术和优良品种，提高劳动生产率，使得从事第一产业的农民收入增加。规模经营降低了农业生产成本，包括直接生产成本和间接生产成本，减少了农民的生产支出。而那些将自己承包地流转出去的农民既可获得土地租金又可以在土地流入方务工获得工资性收入。规模经营的推进为大量剩余农村劳动力进入城市从事第二产业、第三产业提供了条件，有利于推动城乡一体化发展。第四，规模经营还促进了农业劳动者素质的提高。规模经营是生产要素集中后的综合管理，要求从业者有更高的农业生产技艺、更高的管理水平，一批农业劳动者将在规模化的现代农业发展过程中成长起来。</w:t>
      </w:r>
    </w:p>
    <w:p>
      <w:pPr>
        <w:numPr>
          <w:ilvl w:val="0"/>
          <w:numId w:val="2"/>
        </w:numPr>
        <w:ind w:leftChars="0"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pStyle w:val="5"/>
        <w:keepNext w:val="0"/>
        <w:keepLines w:val="0"/>
        <w:widowControl/>
        <w:suppressLineNumbers w:val="0"/>
        <w:wordWrap w:val="0"/>
        <w:spacing w:before="180" w:beforeAutospacing="0" w:after="180" w:afterAutospacing="0" w:line="432" w:lineRule="auto"/>
        <w:ind w:righ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积极稳妥发展农业适度规模经营。通过农机购置、税收、信贷、教育培训等方面的政策支持，大力培育新型农业经营主体和新型职业农民，在农户自愿的基础上推进互换并地，积极发展土地流转、生产托管、股份合作等多种形式的农业适度规模经营。同时，保持历史耐心，不搞“一刀切”、不搞行政命令，防止人为垒大户、排挤小农户，确保农业现代化行稳致远。</w:t>
      </w:r>
    </w:p>
    <w:p>
      <w:pPr>
        <w:pStyle w:val="5"/>
        <w:keepNext w:val="0"/>
        <w:keepLines w:val="0"/>
        <w:widowControl/>
        <w:suppressLineNumbers w:val="0"/>
        <w:wordWrap w:val="0"/>
        <w:spacing w:before="180" w:beforeAutospacing="0" w:after="180" w:afterAutospacing="0" w:line="432" w:lineRule="auto"/>
        <w:ind w:right="0" w:firstLine="64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将优质农田和先进农业技术更好结合。深入实施“藏粮于地、藏粮于技”战略，加强高标准农田和水利设施建设，继续推进轮作休耕和结构调整。加大对乡镇农技推广工作的支持力度，构建以政府农技推广机构为主导，农业科研、教育等单位和涉农企业广泛参与的多元化农业技术推广体系，努力实现农机、农艺结合，良种、良法配套，推动农业高质量发展。</w:t>
      </w:r>
    </w:p>
    <w:p>
      <w:pPr>
        <w:numPr>
          <w:ilvl w:val="0"/>
          <w:numId w:val="2"/>
        </w:numPr>
        <w:ind w:leftChars="0" w:firstLine="640" w:firstLineChars="200"/>
        <w:rPr>
          <w:rFonts w:hint="eastAsia" w:ascii="黑体" w:hAnsi="黑体" w:eastAsia="黑体" w:cs="黑体"/>
          <w:sz w:val="30"/>
          <w:szCs w:val="30"/>
        </w:rPr>
      </w:pPr>
      <w:r>
        <w:rPr>
          <w:rFonts w:hint="eastAsia" w:ascii="楷体_GB2312" w:hAnsi="楷体_GB2312" w:eastAsia="楷体_GB2312" w:cs="楷体_GB2312"/>
          <w:kern w:val="2"/>
          <w:sz w:val="32"/>
          <w:szCs w:val="32"/>
          <w:lang w:val="en-US" w:eastAsia="zh-CN" w:bidi="ar-SA"/>
        </w:rPr>
        <w:t>3、注重维护农民利益和促进农民转移就业。完善保底产量、保底收益等合约设计，充分发挥试点示范作用，引导更多农民选择在承担一定风险的同时获取更高期望收益的、更加紧密的利益联结机制。加强对合作社等新型农业经营主体的监管，避免“空壳社”、合同违约等侵害农民利益现象发生。加强特色优势产业培育和农民职业技能培训，促进农民转移就业和增收致富。</w:t>
      </w:r>
    </w:p>
    <w:p>
      <w:pPr>
        <w:numPr>
          <w:ilvl w:val="0"/>
          <w:numId w:val="2"/>
        </w:numPr>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其他需要说明的问题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0"/>
          <w:szCs w:val="30"/>
          <w:lang w:eastAsia="zh-CN"/>
        </w:rPr>
        <w:t>无</w:t>
      </w:r>
    </w:p>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outlineLvl w:val="0"/>
        <w:rPr>
          <w:rFonts w:hint="eastAsia" w:ascii="仿宋_GB2312" w:eastAsia="仿宋_GB2312"/>
          <w:sz w:val="32"/>
          <w:szCs w:val="32"/>
          <w:lang w:val="en-US" w:eastAsia="zh-CN"/>
        </w:rPr>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4"/>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script"/>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E952C"/>
    <w:multiLevelType w:val="singleLevel"/>
    <w:tmpl w:val="8AFE952C"/>
    <w:lvl w:ilvl="0" w:tentative="0">
      <w:start w:val="6"/>
      <w:numFmt w:val="chineseCounting"/>
      <w:suff w:val="nothing"/>
      <w:lvlText w:val="%1、"/>
      <w:lvlJc w:val="left"/>
      <w:rPr>
        <w:rFonts w:hint="eastAsia"/>
      </w:rPr>
    </w:lvl>
  </w:abstractNum>
  <w:abstractNum w:abstractNumId="1">
    <w:nsid w:val="6B212918"/>
    <w:multiLevelType w:val="singleLevel"/>
    <w:tmpl w:val="6B212918"/>
    <w:lvl w:ilvl="0" w:tentative="0">
      <w:start w:val="2"/>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TIzNjY4ODUyYTAyNDMyN2VjMjZhN2MxODgxNjkifQ=="/>
  </w:docVars>
  <w:rsids>
    <w:rsidRoot w:val="10B575DA"/>
    <w:rsid w:val="10B5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9"/>
    <w:pPr>
      <w:outlineLvl w:val="3"/>
    </w:pPr>
    <w:rPr>
      <w:bCs/>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footnote text"/>
    <w:basedOn w:val="1"/>
    <w:next w:val="1"/>
    <w:qFormat/>
    <w:uiPriority w:val="0"/>
    <w:pPr>
      <w:snapToGrid w:val="0"/>
      <w:jc w:val="left"/>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2023-07-17T00:29:00Z</dcterms:created>
  <dc:creator>Scorpio</dc:creator>
  <cp:lastModifiedBy>Scorpio</cp:lastModifiedBy>
  <dcterms:modified xsi:type="dcterms:W3CDTF">2023-07-17T00:47:08Z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D788043F8ADB4716857EF12CDBD82128_11</vt:lpwstr>
  </property>
</Properties>
</file>