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华容县住房保障服务中心</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整体支出绩效评价基础数据表</w:t>
      </w:r>
    </w:p>
    <w:tbl>
      <w:tblPr>
        <w:tblStyle w:val="9"/>
        <w:tblW w:w="4997" w:type="pct"/>
        <w:jc w:val="center"/>
        <w:tblLayout w:type="autofit"/>
        <w:tblCellMar>
          <w:top w:w="0" w:type="dxa"/>
          <w:left w:w="108" w:type="dxa"/>
          <w:bottom w:w="0" w:type="dxa"/>
          <w:right w:w="108" w:type="dxa"/>
        </w:tblCellMar>
      </w:tblPr>
      <w:tblGrid>
        <w:gridCol w:w="3021"/>
        <w:gridCol w:w="1836"/>
        <w:gridCol w:w="2287"/>
        <w:gridCol w:w="1571"/>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51</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1215.78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581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912.51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0.79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0.42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22175.5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3980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.保障性安居工程项目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22175.5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3980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严格执行国家财务制度和财经纪律，合理开支，厉行节约</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陈拾</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2023年7月10日</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18173058685</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金奇纬</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9"/>
        <w:tblW w:w="4994" w:type="pct"/>
        <w:jc w:val="center"/>
        <w:tblLayout w:type="autofit"/>
        <w:tblCellMar>
          <w:top w:w="0" w:type="dxa"/>
          <w:left w:w="108" w:type="dxa"/>
          <w:bottom w:w="0" w:type="dxa"/>
          <w:right w:w="108" w:type="dxa"/>
        </w:tblCellMar>
      </w:tblPr>
      <w:tblGrid>
        <w:gridCol w:w="1016"/>
        <w:gridCol w:w="819"/>
        <w:gridCol w:w="815"/>
        <w:gridCol w:w="988"/>
        <w:gridCol w:w="1042"/>
        <w:gridCol w:w="1038"/>
        <w:gridCol w:w="549"/>
        <w:gridCol w:w="955"/>
        <w:gridCol w:w="1488"/>
      </w:tblGrid>
      <w:tr>
        <w:tblPrEx>
          <w:tblCellMar>
            <w:top w:w="0" w:type="dxa"/>
            <w:left w:w="108" w:type="dxa"/>
            <w:bottom w:w="0" w:type="dxa"/>
            <w:right w:w="108" w:type="dxa"/>
          </w:tblCellMar>
        </w:tblPrEx>
        <w:trPr>
          <w:trHeight w:val="1003" w:hRule="atLeast"/>
          <w:jc w:val="center"/>
        </w:trPr>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5"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华容县住房保障服务中心</w:t>
            </w:r>
          </w:p>
        </w:tc>
      </w:tr>
      <w:tr>
        <w:tblPrEx>
          <w:tblCellMar>
            <w:top w:w="0" w:type="dxa"/>
            <w:left w:w="108" w:type="dxa"/>
            <w:bottom w:w="0" w:type="dxa"/>
            <w:right w:w="108" w:type="dxa"/>
          </w:tblCellMar>
        </w:tblPrEx>
        <w:trPr>
          <w:trHeight w:val="863" w:hRule="atLeast"/>
          <w:jc w:val="center"/>
        </w:trPr>
        <w:tc>
          <w:tcPr>
            <w:tcW w:w="584"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8"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4"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8"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581</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4892.5</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4892.5</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1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4892.5</w:t>
            </w:r>
          </w:p>
        </w:tc>
        <w:tc>
          <w:tcPr>
            <w:tcW w:w="231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912.5</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1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3980</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1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796.24</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1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4"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3"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1"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4"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3"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sz w:val="21"/>
                <w:szCs w:val="21"/>
                <w:lang w:val="en-US" w:eastAsia="zh-CN"/>
              </w:rPr>
            </w:pPr>
            <w:r>
              <w:rPr>
                <w:rFonts w:hint="eastAsia"/>
                <w:sz w:val="21"/>
                <w:szCs w:val="21"/>
                <w:lang w:val="en-US" w:eastAsia="zh-CN"/>
              </w:rPr>
              <w:t>进一步加强我县保障性住房的租赁、使用、修缮、健全完善住房保障体系</w:t>
            </w:r>
          </w:p>
          <w:p>
            <w:pPr>
              <w:pStyle w:val="7"/>
              <w:keepNext w:val="0"/>
              <w:keepLines w:val="0"/>
              <w:numPr>
                <w:ilvl w:val="0"/>
                <w:numId w:val="2"/>
              </w:numPr>
              <w:suppressLineNumbers w:val="0"/>
              <w:spacing w:before="0" w:beforeAutospacing="0" w:after="0" w:afterAutospacing="0"/>
              <w:ind w:left="0" w:right="0"/>
              <w:rPr>
                <w:rFonts w:hint="default"/>
                <w:sz w:val="21"/>
                <w:szCs w:val="21"/>
                <w:lang w:val="en-US" w:eastAsia="zh-CN"/>
              </w:rPr>
            </w:pPr>
            <w:r>
              <w:rPr>
                <w:rFonts w:hint="eastAsia"/>
                <w:sz w:val="21"/>
                <w:szCs w:val="21"/>
                <w:lang w:val="en-US" w:eastAsia="zh-CN"/>
              </w:rPr>
              <w:t>进一步推广白蚁防治新药物、新技术，对发生蚁害的设施建筑进行灭治</w:t>
            </w:r>
          </w:p>
          <w:p>
            <w:pPr>
              <w:keepNext w:val="0"/>
              <w:keepLines w:val="0"/>
              <w:suppressLineNumbers w:val="0"/>
              <w:spacing w:before="0" w:beforeAutospacing="0" w:after="0" w:afterAutospacing="0"/>
              <w:ind w:left="0" w:right="0"/>
              <w:rPr>
                <w:rFonts w:hint="eastAsia"/>
                <w:sz w:val="21"/>
                <w:szCs w:val="21"/>
                <w:lang w:val="en-US" w:eastAsia="zh-CN"/>
              </w:rPr>
            </w:pPr>
            <w:r>
              <w:rPr>
                <w:rFonts w:hint="eastAsia"/>
                <w:sz w:val="21"/>
                <w:szCs w:val="21"/>
                <w:lang w:val="en-US" w:eastAsia="zh-CN"/>
              </w:rPr>
              <w:t>3完成非税收入600万元</w:t>
            </w:r>
          </w:p>
          <w:p>
            <w:pPr>
              <w:pStyle w:val="7"/>
              <w:keepNext w:val="0"/>
              <w:keepLines w:val="0"/>
              <w:numPr>
                <w:ilvl w:val="0"/>
                <w:numId w:val="0"/>
              </w:numPr>
              <w:suppressLineNumbers w:val="0"/>
              <w:spacing w:before="0" w:beforeAutospacing="0" w:after="0" w:afterAutospacing="0"/>
              <w:ind w:left="0" w:leftChars="0" w:right="0"/>
              <w:rPr>
                <w:rFonts w:hint="eastAsia"/>
                <w:sz w:val="21"/>
                <w:szCs w:val="21"/>
                <w:lang w:val="en-US" w:eastAsia="zh-CN"/>
              </w:rPr>
            </w:pPr>
            <w:r>
              <w:rPr>
                <w:rFonts w:hint="eastAsia"/>
                <w:sz w:val="21"/>
                <w:szCs w:val="21"/>
                <w:lang w:val="en-US" w:eastAsia="zh-CN"/>
              </w:rPr>
              <w:t>4.租赁补贴发放1000户</w:t>
            </w:r>
          </w:p>
          <w:p>
            <w:pPr>
              <w:keepNext w:val="0"/>
              <w:keepLines w:val="0"/>
              <w:numPr>
                <w:ilvl w:val="0"/>
                <w:numId w:val="0"/>
              </w:numPr>
              <w:suppressLineNumbers w:val="0"/>
              <w:spacing w:before="0" w:beforeAutospacing="0" w:after="0" w:afterAutospacing="0"/>
              <w:ind w:left="0" w:leftChars="0" w:right="0"/>
              <w:rPr>
                <w:rFonts w:hint="default"/>
                <w:lang w:val="en-US" w:eastAsia="zh-CN"/>
              </w:rPr>
            </w:pPr>
            <w:r>
              <w:rPr>
                <w:rFonts w:hint="eastAsia"/>
                <w:sz w:val="21"/>
                <w:szCs w:val="21"/>
                <w:lang w:val="en-US" w:eastAsia="zh-CN"/>
              </w:rPr>
              <w:t>5.棚户区改造货币安置60户，公租房250套，保租房154套</w:t>
            </w:r>
          </w:p>
        </w:tc>
        <w:tc>
          <w:tcPr>
            <w:tcW w:w="2311"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sz w:val="21"/>
                <w:szCs w:val="21"/>
                <w:lang w:val="en-US" w:eastAsia="zh-CN"/>
              </w:rPr>
            </w:pPr>
            <w:r>
              <w:rPr>
                <w:rFonts w:hint="eastAsia"/>
                <w:sz w:val="21"/>
                <w:szCs w:val="21"/>
                <w:lang w:val="en-US" w:eastAsia="zh-CN"/>
              </w:rPr>
              <w:t>1.完成了芥菜产业园，二医院，华府等11个小区和单位的白蚁防治与预防工作</w:t>
            </w:r>
          </w:p>
          <w:p>
            <w:pPr>
              <w:pStyle w:val="7"/>
              <w:keepNext w:val="0"/>
              <w:keepLines w:val="0"/>
              <w:suppressLineNumbers w:val="0"/>
              <w:spacing w:before="0" w:beforeAutospacing="0" w:after="0" w:afterAutospacing="0"/>
              <w:ind w:left="0" w:right="0"/>
              <w:rPr>
                <w:rFonts w:hint="eastAsia"/>
                <w:sz w:val="21"/>
                <w:szCs w:val="21"/>
                <w:lang w:val="en-US" w:eastAsia="zh-CN"/>
              </w:rPr>
            </w:pPr>
            <w:r>
              <w:rPr>
                <w:rFonts w:hint="eastAsia"/>
                <w:sz w:val="21"/>
                <w:szCs w:val="21"/>
                <w:lang w:val="en-US" w:eastAsia="zh-CN"/>
              </w:rPr>
              <w:t>2.继续推进保障房三清行动，对欠租6个月以上承租户实行强制腾房，完成追缴欠缴200余万元，实现非税收入796.24万元</w:t>
            </w:r>
          </w:p>
          <w:p>
            <w:pPr>
              <w:keepNext w:val="0"/>
              <w:keepLines w:val="0"/>
              <w:suppressLineNumbers w:val="0"/>
              <w:spacing w:before="0" w:beforeAutospacing="0" w:after="0" w:afterAutospacing="0"/>
              <w:ind w:left="0" w:right="0"/>
              <w:rPr>
                <w:rFonts w:hint="eastAsia"/>
                <w:sz w:val="21"/>
                <w:szCs w:val="21"/>
                <w:lang w:val="en-US" w:eastAsia="zh-CN"/>
              </w:rPr>
            </w:pPr>
            <w:r>
              <w:rPr>
                <w:rFonts w:hint="eastAsia"/>
                <w:sz w:val="21"/>
                <w:szCs w:val="21"/>
                <w:lang w:val="en-US" w:eastAsia="zh-CN"/>
              </w:rPr>
              <w:t>3.实际发放租赁补贴1070户，金额164.4万元</w:t>
            </w:r>
          </w:p>
          <w:p>
            <w:pPr>
              <w:pStyle w:val="7"/>
              <w:keepNext w:val="0"/>
              <w:keepLines w:val="0"/>
              <w:suppressLineNumbers w:val="0"/>
              <w:spacing w:before="0" w:beforeAutospacing="0" w:after="0" w:afterAutospacing="0"/>
              <w:ind w:left="0" w:right="0"/>
              <w:rPr>
                <w:rFonts w:hint="default"/>
                <w:lang w:val="en-US" w:eastAsia="zh-CN"/>
              </w:rPr>
            </w:pPr>
            <w:r>
              <w:rPr>
                <w:rFonts w:hint="eastAsia" w:ascii="新宋体" w:hAnsi="新宋体" w:eastAsia="新宋体" w:cs="新宋体"/>
                <w:color w:val="000000"/>
                <w:sz w:val="21"/>
                <w:szCs w:val="21"/>
                <w:lang w:val="en-US" w:eastAsia="zh-CN"/>
              </w:rPr>
              <w:t>4.</w:t>
            </w:r>
            <w:r>
              <w:rPr>
                <w:rFonts w:hint="eastAsia"/>
                <w:sz w:val="21"/>
                <w:szCs w:val="21"/>
                <w:lang w:val="en-US" w:eastAsia="zh-CN"/>
              </w:rPr>
              <w:t>.棚户区改造货币安置60户，公租房250套，保租房154套</w:t>
            </w:r>
          </w:p>
        </w:tc>
      </w:tr>
      <w:tr>
        <w:tblPrEx>
          <w:tblCellMar>
            <w:top w:w="0" w:type="dxa"/>
            <w:left w:w="108" w:type="dxa"/>
            <w:bottom w:w="0" w:type="dxa"/>
            <w:right w:w="108" w:type="dxa"/>
          </w:tblCellMar>
        </w:tblPrEx>
        <w:trPr>
          <w:trHeight w:val="850" w:hRule="atLeast"/>
          <w:jc w:val="center"/>
        </w:trPr>
        <w:tc>
          <w:tcPr>
            <w:tcW w:w="58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1、按时完成非税任务，2、租金收入足额收取缴入专户。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kern w:val="2"/>
                <w:sz w:val="21"/>
                <w:szCs w:val="21"/>
                <w:lang w:val="en-US" w:eastAsia="zh-CN" w:bidi="ar-SA"/>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全年各项工作推进及完成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55"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kern w:val="2"/>
                <w:sz w:val="21"/>
                <w:szCs w:val="21"/>
                <w:lang w:val="en-US" w:eastAsia="zh-CN" w:bidi="ar-SA"/>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eastAsia="zh-CN"/>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955"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各项工作按时完成，并通过相关部门的检查、验收。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各项工作保质保量完成</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20</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非税收入完成时效性</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12月底前完成</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按时</w:t>
            </w:r>
            <w:r>
              <w:rPr>
                <w:rFonts w:hint="eastAsia" w:ascii="新宋体" w:hAnsi="新宋体" w:eastAsia="新宋体" w:cs="新宋体"/>
                <w:color w:val="000000"/>
                <w:sz w:val="21"/>
                <w:szCs w:val="21"/>
                <w:lang w:val="en-US" w:eastAsia="zh-CN"/>
              </w:rPr>
              <w:t>超目标完成</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补贴发放目标完成率</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为确保各项工作顺利完成，根据年初工作计划安排各项工作经费。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eastAsia="zh-CN"/>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解决群众住房困难，提升城市品位</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1、按时完成协征房产税收任务，确保为县级财政增加收入；2、租金收缴率达到99%，并足额缴入专户</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厉行节约，严格控制三公经费。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tabs>
                <w:tab w:val="left" w:pos="355"/>
              </w:tabs>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ab/>
            </w:r>
            <w:r>
              <w:rPr>
                <w:rFonts w:hint="eastAsia" w:ascii="新宋体" w:hAnsi="新宋体" w:eastAsia="新宋体" w:cs="新宋体"/>
                <w:color w:val="000000"/>
                <w:sz w:val="21"/>
                <w:szCs w:val="21"/>
                <w:lang w:val="en-US" w:eastAsia="zh-CN"/>
              </w:rPr>
              <w:t>10</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tabs>
                <w:tab w:val="left" w:pos="587"/>
              </w:tabs>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房屋居住使用安全，住宅小区的管理与服务水平得到提升</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增强服务意识，树立为民务实、清廉形象</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已保家庭户数占应保家庭户数比率</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tabs>
                <w:tab w:val="left" w:pos="587"/>
              </w:tabs>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eastAsia" w:ascii="新宋体" w:hAnsi="新宋体" w:eastAsia="新宋体" w:cs="新宋体"/>
                <w:color w:val="000000"/>
                <w:kern w:val="2"/>
                <w:sz w:val="21"/>
                <w:szCs w:val="21"/>
                <w:lang w:val="en-US" w:eastAsia="zh-CN" w:bidi="ar-SA"/>
              </w:rPr>
            </w:pP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要求节能环保，倡导节约绿色</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强化节能环保，倡导节约绿色</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对社会发展带来的直接影响和间接影响</w:t>
            </w:r>
          </w:p>
        </w:tc>
        <w:tc>
          <w:tcPr>
            <w:tcW w:w="5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保障城乡居民安全居住房屋</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好</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房屋居住使用安全，住宅小区的管理与服务水平得到提升</w:t>
            </w:r>
          </w:p>
        </w:tc>
        <w:tc>
          <w:tcPr>
            <w:tcW w:w="5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有利社会发展，共创和谐社会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54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5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社会公众或服务对象对本单位的满意度</w:t>
            </w: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提高社会公众满意度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8</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主要是物业小区业主投诉物业服务企业，改进措施是中心物业部认真做好协调和解释工作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r>
      <w:tr>
        <w:tblPrEx>
          <w:tblCellMar>
            <w:top w:w="0" w:type="dxa"/>
            <w:left w:w="108" w:type="dxa"/>
            <w:bottom w:w="0" w:type="dxa"/>
            <w:right w:w="108" w:type="dxa"/>
          </w:tblCellMar>
        </w:tblPrEx>
        <w:trPr>
          <w:trHeight w:val="462" w:hRule="atLeast"/>
          <w:jc w:val="center"/>
        </w:trPr>
        <w:tc>
          <w:tcPr>
            <w:tcW w:w="584"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rPr>
            </w:pPr>
          </w:p>
        </w:tc>
        <w:tc>
          <w:tcPr>
            <w:tcW w:w="5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82"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5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7"/>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 xml:space="preserve">填表人：      填报日期：         联系电话：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pStyle w:val="4"/>
        <w:bidi w:val="0"/>
        <w:jc w:val="center"/>
        <w:rPr>
          <w:rFonts w:hint="eastAsia"/>
          <w:lang w:val="en-US" w:eastAsia="zh-CN"/>
        </w:rPr>
      </w:pPr>
      <w:r>
        <w:rPr>
          <w:rFonts w:hint="eastAsia"/>
          <w:lang w:val="en-US" w:eastAsia="zh-CN"/>
        </w:rPr>
        <w:t>2022年度华容县住房保障服务中心</w:t>
      </w:r>
    </w:p>
    <w:p>
      <w:pPr>
        <w:pStyle w:val="4"/>
        <w:bidi w:val="0"/>
        <w:jc w:val="center"/>
        <w:rPr>
          <w:rFonts w:hint="eastAsia"/>
          <w:lang w:val="en-US" w:eastAsia="zh-CN"/>
        </w:rPr>
      </w:pPr>
      <w:r>
        <w:rPr>
          <w:rFonts w:hint="eastAsia"/>
          <w:lang w:val="en-US" w:eastAsia="zh-CN"/>
        </w:rPr>
        <w:t>整体支出自评报告</w:t>
      </w:r>
    </w:p>
    <w:p>
      <w:pPr>
        <w:numPr>
          <w:ilvl w:val="0"/>
          <w:numId w:val="0"/>
        </w:numPr>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一、单位基本情况</w:t>
      </w:r>
    </w:p>
    <w:p>
      <w:pPr>
        <w:numPr>
          <w:ilvl w:val="0"/>
          <w:numId w:val="0"/>
        </w:numPr>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2022年是我单位的机构改革年</w:t>
      </w:r>
      <w:r>
        <w:rPr>
          <w:rFonts w:hint="eastAsia" w:ascii="仿宋_GB2312" w:hAnsi="仿宋_GB2312" w:eastAsia="仿宋_GB2312" w:cs="仿宋_GB2312"/>
          <w:bCs/>
          <w:sz w:val="28"/>
          <w:szCs w:val="28"/>
          <w:lang w:eastAsia="zh-CN"/>
        </w:rPr>
        <w:t>，是继</w:t>
      </w:r>
      <w:r>
        <w:rPr>
          <w:rFonts w:hint="eastAsia" w:ascii="仿宋_GB2312" w:hAnsi="仿宋_GB2312" w:eastAsia="仿宋_GB2312" w:cs="仿宋_GB2312"/>
          <w:bCs/>
          <w:sz w:val="28"/>
          <w:szCs w:val="28"/>
          <w:lang w:val="en-US" w:eastAsia="zh-CN"/>
        </w:rPr>
        <w:t>2019年机构改革后再一次因为工作的需要改革成为县住建局属下的公益一类副科级事业单位。</w:t>
      </w:r>
      <w:r>
        <w:rPr>
          <w:rFonts w:hint="eastAsia" w:ascii="仿宋_GB2312" w:hAnsi="仿宋_GB2312" w:eastAsia="仿宋_GB2312" w:cs="仿宋_GB2312"/>
          <w:bCs/>
          <w:sz w:val="28"/>
          <w:szCs w:val="28"/>
          <w:lang w:eastAsia="zh-CN"/>
        </w:rPr>
        <w:t>目前中心设置</w:t>
      </w:r>
      <w:r>
        <w:rPr>
          <w:rFonts w:hint="eastAsia" w:ascii="仿宋_GB2312" w:hAnsi="仿宋_GB2312" w:eastAsia="仿宋_GB2312" w:cs="仿宋_GB2312"/>
          <w:bCs/>
          <w:sz w:val="28"/>
          <w:szCs w:val="28"/>
          <w:lang w:val="en-US" w:eastAsia="zh-CN"/>
        </w:rPr>
        <w:t>9个股室：综合办公室、计财股、政策计划股、物业管理、直管公房管理、维修资金管理、白蚁防治股、棚改办、保障房服务股。年末实有在职人员51人。</w:t>
      </w:r>
    </w:p>
    <w:p>
      <w:pPr>
        <w:numPr>
          <w:ilvl w:val="0"/>
          <w:numId w:val="3"/>
        </w:numPr>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基本支出情况</w:t>
      </w:r>
    </w:p>
    <w:p>
      <w:pPr>
        <w:numPr>
          <w:ilvl w:val="0"/>
          <w:numId w:val="0"/>
        </w:numPr>
        <w:ind w:firstLine="280" w:firstLineChars="1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 xml:space="preserve"> 2022年我中心整体支出 4892.5万元。基本支出912.5万元，其中人员经费608.6万元，主要用于人员工资及社会保障缴纳等，一般商品服务支出303.9万元，主要用于日常办公开支。项目支出 3980万元，主要是用于保障性住房建设，租赁补贴发放，棚户区改造，廉（公）租房日常维护管理。</w:t>
      </w:r>
    </w:p>
    <w:p>
      <w:pPr>
        <w:numPr>
          <w:ilvl w:val="0"/>
          <w:numId w:val="3"/>
        </w:numPr>
        <w:ind w:left="0" w:leftChars="0" w:firstLine="0" w:firstLineChars="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项目支出情况</w:t>
      </w:r>
    </w:p>
    <w:p>
      <w:pPr>
        <w:spacing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1、专项资金安排落实、总投入等情况分析</w:t>
      </w:r>
    </w:p>
    <w:p>
      <w:pPr>
        <w:spacing w:line="360" w:lineRule="auto"/>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eastAsia="zh-CN"/>
        </w:rPr>
        <w:t>项目支出是在基本支出之外为完成保障性住房建设、租赁补贴、棚户区改造所发生的支出。</w:t>
      </w:r>
    </w:p>
    <w:p>
      <w:pPr>
        <w:numPr>
          <w:ilvl w:val="0"/>
          <w:numId w:val="4"/>
        </w:numPr>
        <w:spacing w:line="560" w:lineRule="exact"/>
        <w:ind w:firstLine="560" w:firstLineChars="200"/>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专项资金实际使用情况分析</w:t>
      </w:r>
    </w:p>
    <w:p>
      <w:pPr>
        <w:spacing w:line="360" w:lineRule="auto"/>
        <w:ind w:firstLine="560" w:firstLineChars="200"/>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eastAsia="zh-CN"/>
        </w:rPr>
        <w:t>年初项目支</w:t>
      </w:r>
      <w:r>
        <w:rPr>
          <w:rFonts w:hint="eastAsia" w:ascii="仿宋_GB2312" w:hAnsi="仿宋_GB2312" w:eastAsia="仿宋_GB2312" w:cs="仿宋_GB2312"/>
          <w:bCs/>
          <w:sz w:val="28"/>
          <w:szCs w:val="28"/>
          <w:highlight w:val="none"/>
          <w:lang w:val="en-US" w:eastAsia="zh-CN"/>
        </w:rPr>
        <w:t>出预算为 3980万元，为保障性住房、棚户区改造项目，年末决算的项目支出为3980万元，决算项目支出总额余0万元。</w:t>
      </w:r>
    </w:p>
    <w:p>
      <w:pPr>
        <w:numPr>
          <w:ilvl w:val="0"/>
          <w:numId w:val="4"/>
        </w:numPr>
        <w:spacing w:line="560" w:lineRule="exact"/>
        <w:ind w:left="0" w:leftChars="0" w:firstLine="560" w:firstLineChars="200"/>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专项资金管理情况分析</w:t>
      </w:r>
    </w:p>
    <w:p>
      <w:pPr>
        <w:pStyle w:val="8"/>
        <w:keepNext w:val="0"/>
        <w:keepLines w:val="0"/>
        <w:widowControl/>
        <w:suppressLineNumbers w:val="0"/>
        <w:spacing w:line="580" w:lineRule="atLeast"/>
        <w:ind w:right="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kern w:val="2"/>
          <w:sz w:val="28"/>
          <w:szCs w:val="28"/>
          <w:lang w:val="en-US" w:eastAsia="zh-CN" w:bidi="ar-SA"/>
        </w:rPr>
        <w:t>我中心保障性安居工程建设资金拨付严格按照基本建设程序，遵循</w:t>
      </w:r>
      <w:r>
        <w:rPr>
          <w:rFonts w:hint="default" w:ascii="仿宋_GB2312" w:hAnsi="仿宋_GB2312" w:eastAsia="仿宋_GB2312" w:cs="仿宋_GB2312"/>
          <w:bCs/>
          <w:kern w:val="2"/>
          <w:sz w:val="28"/>
          <w:szCs w:val="28"/>
          <w:lang w:val="en-US" w:eastAsia="zh-CN" w:bidi="ar-SA"/>
        </w:rPr>
        <w:t>“</w:t>
      </w:r>
      <w:r>
        <w:rPr>
          <w:rFonts w:hint="eastAsia" w:ascii="仿宋_GB2312" w:hAnsi="仿宋_GB2312" w:eastAsia="仿宋_GB2312" w:cs="仿宋_GB2312"/>
          <w:bCs/>
          <w:kern w:val="2"/>
          <w:sz w:val="28"/>
          <w:szCs w:val="28"/>
          <w:lang w:val="en-US" w:eastAsia="zh-CN" w:bidi="ar-SA"/>
        </w:rPr>
        <w:t>按计划、按合同、按进度</w:t>
      </w:r>
      <w:r>
        <w:rPr>
          <w:rFonts w:hint="default" w:ascii="仿宋_GB2312" w:hAnsi="仿宋_GB2312" w:eastAsia="仿宋_GB2312" w:cs="仿宋_GB2312"/>
          <w:bCs/>
          <w:kern w:val="2"/>
          <w:sz w:val="28"/>
          <w:szCs w:val="28"/>
          <w:lang w:val="en-US" w:eastAsia="zh-CN" w:bidi="ar-SA"/>
        </w:rPr>
        <w:t>”</w:t>
      </w:r>
      <w:r>
        <w:rPr>
          <w:rFonts w:hint="eastAsia" w:ascii="仿宋_GB2312" w:hAnsi="仿宋_GB2312" w:eastAsia="仿宋_GB2312" w:cs="仿宋_GB2312"/>
          <w:bCs/>
          <w:kern w:val="2"/>
          <w:sz w:val="28"/>
          <w:szCs w:val="28"/>
          <w:lang w:val="en-US" w:eastAsia="zh-CN" w:bidi="ar-SA"/>
        </w:rPr>
        <w:t>的原则办理。项目资金管理程序为：</w:t>
      </w:r>
      <w:r>
        <w:rPr>
          <w:rFonts w:hint="default" w:ascii="仿宋_GB2312" w:hAnsi="仿宋_GB2312" w:eastAsia="仿宋_GB2312" w:cs="仿宋_GB2312"/>
          <w:bCs/>
          <w:kern w:val="2"/>
          <w:sz w:val="28"/>
          <w:szCs w:val="28"/>
          <w:lang w:val="en-US" w:eastAsia="zh-CN" w:bidi="ar-SA"/>
        </w:rPr>
        <w:t>1.</w:t>
      </w:r>
      <w:r>
        <w:rPr>
          <w:rFonts w:hint="eastAsia" w:ascii="仿宋_GB2312" w:hAnsi="仿宋_GB2312" w:eastAsia="仿宋_GB2312" w:cs="仿宋_GB2312"/>
          <w:bCs/>
          <w:kern w:val="2"/>
          <w:sz w:val="28"/>
          <w:szCs w:val="28"/>
          <w:lang w:val="en-US" w:eastAsia="zh-CN" w:bidi="ar-SA"/>
        </w:rPr>
        <w:t>项目立项批复或其他有效文件；</w:t>
      </w:r>
      <w:r>
        <w:rPr>
          <w:rFonts w:hint="default" w:ascii="仿宋_GB2312" w:hAnsi="仿宋_GB2312" w:eastAsia="仿宋_GB2312" w:cs="仿宋_GB2312"/>
          <w:bCs/>
          <w:kern w:val="2"/>
          <w:sz w:val="28"/>
          <w:szCs w:val="28"/>
          <w:lang w:val="en-US" w:eastAsia="zh-CN" w:bidi="ar-SA"/>
        </w:rPr>
        <w:t>2.</w:t>
      </w:r>
      <w:r>
        <w:rPr>
          <w:rFonts w:hint="eastAsia" w:ascii="仿宋_GB2312" w:hAnsi="仿宋_GB2312" w:eastAsia="仿宋_GB2312" w:cs="仿宋_GB2312"/>
          <w:bCs/>
          <w:kern w:val="2"/>
          <w:sz w:val="28"/>
          <w:szCs w:val="28"/>
          <w:lang w:val="en-US" w:eastAsia="zh-CN" w:bidi="ar-SA"/>
        </w:rPr>
        <w:t>用款单位的申请报告；</w:t>
      </w:r>
      <w:r>
        <w:rPr>
          <w:rFonts w:hint="default" w:ascii="仿宋_GB2312" w:hAnsi="仿宋_GB2312" w:eastAsia="仿宋_GB2312" w:cs="仿宋_GB2312"/>
          <w:bCs/>
          <w:kern w:val="2"/>
          <w:sz w:val="28"/>
          <w:szCs w:val="28"/>
          <w:lang w:val="en-US" w:eastAsia="zh-CN" w:bidi="ar-SA"/>
        </w:rPr>
        <w:t>3.</w:t>
      </w:r>
      <w:r>
        <w:rPr>
          <w:rFonts w:hint="eastAsia" w:ascii="仿宋_GB2312" w:hAnsi="仿宋_GB2312" w:eastAsia="仿宋_GB2312" w:cs="仿宋_GB2312"/>
          <w:bCs/>
          <w:kern w:val="2"/>
          <w:sz w:val="28"/>
          <w:szCs w:val="28"/>
          <w:lang w:val="en-US" w:eastAsia="zh-CN" w:bidi="ar-SA"/>
        </w:rPr>
        <w:t>项目预决算评审报告；</w:t>
      </w:r>
      <w:r>
        <w:rPr>
          <w:rFonts w:hint="default" w:ascii="仿宋_GB2312" w:hAnsi="仿宋_GB2312" w:eastAsia="仿宋_GB2312" w:cs="仿宋_GB2312"/>
          <w:bCs/>
          <w:kern w:val="2"/>
          <w:sz w:val="28"/>
          <w:szCs w:val="28"/>
          <w:lang w:val="en-US" w:eastAsia="zh-CN" w:bidi="ar-SA"/>
        </w:rPr>
        <w:t>4.</w:t>
      </w:r>
      <w:r>
        <w:rPr>
          <w:rFonts w:hint="eastAsia" w:ascii="仿宋_GB2312" w:hAnsi="仿宋_GB2312" w:eastAsia="仿宋_GB2312" w:cs="仿宋_GB2312"/>
          <w:bCs/>
          <w:kern w:val="2"/>
          <w:sz w:val="28"/>
          <w:szCs w:val="28"/>
          <w:lang w:val="en-US" w:eastAsia="zh-CN" w:bidi="ar-SA"/>
        </w:rPr>
        <w:t>工程中标通知书、监理合同、施工合同、工程进度凭证及工程监理等部门签署的意见；</w:t>
      </w:r>
      <w:r>
        <w:rPr>
          <w:rFonts w:hint="default" w:ascii="仿宋_GB2312" w:hAnsi="仿宋_GB2312" w:eastAsia="仿宋_GB2312" w:cs="仿宋_GB2312"/>
          <w:bCs/>
          <w:kern w:val="2"/>
          <w:sz w:val="28"/>
          <w:szCs w:val="28"/>
          <w:lang w:val="en-US" w:eastAsia="zh-CN" w:bidi="ar-SA"/>
        </w:rPr>
        <w:t>5.</w:t>
      </w:r>
      <w:r>
        <w:rPr>
          <w:rFonts w:hint="eastAsia" w:ascii="仿宋_GB2312" w:hAnsi="仿宋_GB2312" w:eastAsia="仿宋_GB2312" w:cs="仿宋_GB2312"/>
          <w:bCs/>
          <w:kern w:val="2"/>
          <w:sz w:val="28"/>
          <w:szCs w:val="28"/>
          <w:lang w:val="en-US" w:eastAsia="zh-CN" w:bidi="ar-SA"/>
        </w:rPr>
        <w:t>项目资金支付需要的其他资料。</w:t>
      </w:r>
    </w:p>
    <w:p>
      <w:pPr>
        <w:numPr>
          <w:ilvl w:val="0"/>
          <w:numId w:val="4"/>
        </w:numPr>
        <w:spacing w:line="560" w:lineRule="exact"/>
        <w:ind w:left="0" w:leftChars="0" w:firstLine="560" w:firstLineChars="200"/>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单位专项组织实施情况</w:t>
      </w:r>
    </w:p>
    <w:p>
      <w:pPr>
        <w:spacing w:line="560" w:lineRule="exact"/>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2022年</w:t>
      </w:r>
      <w:r>
        <w:rPr>
          <w:rFonts w:hint="eastAsia" w:ascii="仿宋_GB2312" w:hAnsi="仿宋_GB2312" w:eastAsia="仿宋_GB2312" w:cs="仿宋_GB2312"/>
          <w:bCs/>
          <w:sz w:val="28"/>
          <w:szCs w:val="28"/>
          <w:lang w:eastAsia="zh-CN"/>
        </w:rPr>
        <w:t>住房保障专项资金项目组织机构健全，分工明确，项目资金管理制度健全。</w:t>
      </w:r>
      <w:r>
        <w:rPr>
          <w:rFonts w:hint="eastAsia" w:ascii="仿宋_GB2312" w:hAnsi="仿宋_GB2312" w:eastAsia="仿宋_GB2312" w:cs="仿宋_GB2312"/>
          <w:bCs/>
          <w:sz w:val="28"/>
          <w:szCs w:val="28"/>
          <w:lang w:val="en-US" w:eastAsia="zh-CN"/>
        </w:rPr>
        <w:t>保障性专项资金设置进行独立核算，专款专用，资金申报、评审、批准、下达程序规范，项目资金使用合规，无截留、挤占、挪用项目资金情况。</w:t>
      </w:r>
    </w:p>
    <w:p>
      <w:pPr>
        <w:numPr>
          <w:ilvl w:val="0"/>
          <w:numId w:val="3"/>
        </w:numPr>
        <w:spacing w:line="560" w:lineRule="exact"/>
        <w:ind w:left="0" w:leftChars="0" w:firstLine="0" w:firstLineChars="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单位整体支出绩效情况</w:t>
      </w:r>
    </w:p>
    <w:p>
      <w:pPr>
        <w:spacing w:line="560" w:lineRule="exact"/>
        <w:ind w:firstLine="560" w:firstLineChars="200"/>
        <w:rPr>
          <w:rFonts w:hint="eastAsia" w:ascii="仿宋_GB2312" w:hAnsi="仿宋_GB2312" w:eastAsia="仿宋_GB2312" w:cs="仿宋_GB2312"/>
          <w:bCs/>
          <w:sz w:val="28"/>
          <w:szCs w:val="28"/>
        </w:rPr>
      </w:pPr>
      <w:bookmarkStart w:id="0" w:name="_Toc390113219"/>
      <w:r>
        <w:rPr>
          <w:rFonts w:hint="eastAsia" w:ascii="仿宋_GB2312" w:hAnsi="仿宋_GB2312" w:eastAsia="仿宋_GB2312" w:cs="仿宋_GB2312"/>
          <w:bCs/>
          <w:sz w:val="28"/>
          <w:szCs w:val="28"/>
        </w:rPr>
        <w:t>20</w:t>
      </w:r>
      <w:r>
        <w:rPr>
          <w:rFonts w:hint="eastAsia" w:ascii="仿宋_GB2312" w:hAnsi="仿宋_GB2312" w:eastAsia="仿宋_GB2312" w:cs="仿宋_GB2312"/>
          <w:bCs/>
          <w:sz w:val="28"/>
          <w:szCs w:val="28"/>
          <w:lang w:val="en-US" w:eastAsia="zh-CN"/>
        </w:rPr>
        <w:t>22</w:t>
      </w:r>
      <w:r>
        <w:rPr>
          <w:rFonts w:hint="eastAsia" w:ascii="仿宋_GB2312" w:hAnsi="仿宋_GB2312" w:eastAsia="仿宋_GB2312" w:cs="仿宋_GB2312"/>
          <w:bCs/>
          <w:sz w:val="28"/>
          <w:szCs w:val="28"/>
        </w:rPr>
        <w:t>年度</w:t>
      </w:r>
      <w:r>
        <w:rPr>
          <w:rFonts w:hint="eastAsia" w:ascii="仿宋_GB2312" w:hAnsi="仿宋_GB2312" w:eastAsia="仿宋_GB2312" w:cs="仿宋_GB2312"/>
          <w:bCs/>
          <w:sz w:val="28"/>
          <w:szCs w:val="28"/>
          <w:lang w:eastAsia="zh-CN"/>
        </w:rPr>
        <w:t>华容县住房保障服务中心</w:t>
      </w:r>
      <w:r>
        <w:rPr>
          <w:rFonts w:hint="eastAsia" w:ascii="仿宋_GB2312" w:hAnsi="仿宋_GB2312" w:eastAsia="仿宋_GB2312" w:cs="仿宋_GB2312"/>
          <w:bCs/>
          <w:sz w:val="28"/>
          <w:szCs w:val="28"/>
        </w:rPr>
        <w:t>整体支出资金使用符合政策要求，合理合法，使用有效，管理较规范。</w:t>
      </w:r>
      <w:bookmarkEnd w:id="0"/>
    </w:p>
    <w:p>
      <w:pPr>
        <w:numPr>
          <w:ilvl w:val="0"/>
          <w:numId w:val="5"/>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本年度预算配置控制较好，整体支出控制在预算编制以内，“三公”经费支出总额较上年度有所减少。</w:t>
      </w:r>
    </w:p>
    <w:p>
      <w:pPr>
        <w:numPr>
          <w:ilvl w:val="0"/>
          <w:numId w:val="5"/>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积极有效地开展</w:t>
      </w:r>
      <w:r>
        <w:rPr>
          <w:rFonts w:hint="eastAsia" w:ascii="仿宋_GB2312" w:hAnsi="仿宋_GB2312" w:eastAsia="仿宋_GB2312" w:cs="仿宋_GB2312"/>
          <w:bCs/>
          <w:sz w:val="28"/>
          <w:szCs w:val="28"/>
          <w:lang w:val="en-US" w:eastAsia="zh-CN"/>
        </w:rPr>
        <w:t>党建引领物业工作</w:t>
      </w:r>
      <w:r>
        <w:rPr>
          <w:rFonts w:hint="eastAsia" w:ascii="仿宋_GB2312" w:hAnsi="仿宋_GB2312" w:eastAsia="仿宋_GB2312" w:cs="仿宋_GB2312"/>
          <w:bCs/>
          <w:sz w:val="28"/>
          <w:szCs w:val="28"/>
          <w:lang w:eastAsia="zh-CN"/>
        </w:rPr>
        <w:t>。</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为改变城区物业小区管理基础薄弱，业主投诉多的现状，积极筹划物业管理顶层设计，认真落实每项具体措施方案，起草了《华容县物业管理联席会议制度》《华容县加强住宅小区物业管理提升物业服务水平三年行动计划》等相应方案和文件，主动与社区对接。目前已成立小区党支部18个，精准指导新成立业主委员会成立7个。</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（三）白蚁防治工作</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今年来，白蚁防治工作在白蚁防治方法政策发出调整后，我们积极争取资金购买药品，主动与新动工建设项目对接，完成基础白蚁防治工作。今年共计完成了芥菜工业园，华容县第二人民医院、华府山庄、三同御园等11个小区和单位的白蚁防治与预防工作。</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（四）继续推进保障房“三清”行动。</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根据县委、政府主要领导的指示，今年以来，我们继续组织30多人的队伍</w:t>
      </w:r>
      <w:r>
        <w:rPr>
          <w:rFonts w:hint="eastAsia" w:ascii="仿宋_GB2312" w:hAnsi="仿宋_GB2312" w:eastAsia="仿宋_GB2312" w:cs="仿宋_GB2312"/>
          <w:bCs/>
          <w:sz w:val="28"/>
          <w:szCs w:val="28"/>
          <w:lang w:val="en-US" w:eastAsia="zh-CN"/>
        </w:rPr>
        <w:t>，成立了3个清查小组，组建工作专班扎实推进，有力推动了相关工作高效落地。特别是对清查中出现的问题，我</w:t>
      </w:r>
      <w:r>
        <w:rPr>
          <w:rFonts w:hint="default" w:ascii="仿宋_GB2312" w:hAnsi="仿宋_GB2312" w:eastAsia="仿宋_GB2312" w:cs="仿宋_GB2312"/>
          <w:bCs/>
          <w:sz w:val="28"/>
          <w:szCs w:val="28"/>
          <w:lang w:val="en-US" w:eastAsia="zh-CN"/>
        </w:rPr>
        <w:t>积极</w:t>
      </w:r>
      <w:r>
        <w:rPr>
          <w:rFonts w:hint="eastAsia" w:ascii="仿宋_GB2312" w:hAnsi="仿宋_GB2312" w:eastAsia="仿宋_GB2312" w:cs="仿宋_GB2312"/>
          <w:bCs/>
          <w:sz w:val="28"/>
          <w:szCs w:val="28"/>
          <w:lang w:val="en-US" w:eastAsia="zh-CN"/>
        </w:rPr>
        <w:t>寻求</w:t>
      </w:r>
      <w:r>
        <w:rPr>
          <w:rFonts w:hint="eastAsia" w:ascii="仿宋_GB2312" w:hAnsi="仿宋_GB2312" w:eastAsia="仿宋_GB2312" w:cs="仿宋_GB2312"/>
          <w:bCs/>
          <w:sz w:val="28"/>
          <w:szCs w:val="28"/>
          <w:lang w:eastAsia="zh-CN"/>
        </w:rPr>
        <w:t>相关部门的支持</w:t>
      </w:r>
      <w:r>
        <w:rPr>
          <w:rFonts w:hint="eastAsia" w:ascii="仿宋_GB2312" w:hAnsi="仿宋_GB2312" w:eastAsia="仿宋_GB2312" w:cs="仿宋_GB2312"/>
          <w:bCs/>
          <w:sz w:val="28"/>
          <w:szCs w:val="28"/>
          <w:lang w:val="en-US" w:eastAsia="zh-CN"/>
        </w:rPr>
        <w:t>配合</w:t>
      </w:r>
      <w:r>
        <w:rPr>
          <w:rFonts w:hint="eastAsia" w:ascii="仿宋_GB2312" w:hAnsi="仿宋_GB2312" w:eastAsia="仿宋_GB2312" w:cs="仿宋_GB2312"/>
          <w:bCs/>
          <w:sz w:val="28"/>
          <w:szCs w:val="28"/>
          <w:lang w:eastAsia="zh-CN"/>
        </w:rPr>
        <w:t>，依法依规进行处理。</w:t>
      </w:r>
      <w:r>
        <w:rPr>
          <w:rFonts w:hint="eastAsia" w:ascii="仿宋_GB2312" w:hAnsi="仿宋_GB2312" w:eastAsia="仿宋_GB2312" w:cs="仿宋_GB2312"/>
          <w:bCs/>
          <w:sz w:val="28"/>
          <w:szCs w:val="28"/>
          <w:lang w:val="en-US" w:eastAsia="zh-CN"/>
        </w:rPr>
        <w:t>同时，对欠租</w:t>
      </w:r>
      <w:r>
        <w:rPr>
          <w:rFonts w:hint="eastAsia" w:ascii="仿宋_GB2312" w:hAnsi="仿宋_GB2312" w:eastAsia="仿宋_GB2312" w:cs="仿宋_GB2312"/>
          <w:bCs/>
          <w:sz w:val="28"/>
          <w:szCs w:val="28"/>
          <w:lang w:eastAsia="zh-CN"/>
        </w:rPr>
        <w:t>承租户，</w:t>
      </w:r>
      <w:r>
        <w:rPr>
          <w:rFonts w:hint="eastAsia" w:ascii="仿宋_GB2312" w:hAnsi="仿宋_GB2312" w:eastAsia="仿宋_GB2312" w:cs="仿宋_GB2312"/>
          <w:bCs/>
          <w:sz w:val="28"/>
          <w:szCs w:val="28"/>
          <w:lang w:val="en-US" w:eastAsia="zh-CN"/>
        </w:rPr>
        <w:t>采取了停水停电163户、电话上门等方式进行催租</w:t>
      </w:r>
      <w:r>
        <w:rPr>
          <w:rFonts w:hint="eastAsia" w:ascii="仿宋_GB2312" w:hAnsi="仿宋_GB2312" w:eastAsia="仿宋_GB2312" w:cs="仿宋_GB2312"/>
          <w:bCs/>
          <w:sz w:val="28"/>
          <w:szCs w:val="28"/>
          <w:lang w:eastAsia="zh-CN"/>
        </w:rPr>
        <w:t>催缴，</w:t>
      </w:r>
      <w:r>
        <w:rPr>
          <w:rFonts w:hint="eastAsia" w:ascii="仿宋_GB2312" w:hAnsi="仿宋_GB2312" w:eastAsia="仿宋_GB2312" w:cs="仿宋_GB2312"/>
          <w:bCs/>
          <w:sz w:val="28"/>
          <w:szCs w:val="28"/>
          <w:lang w:val="en-US" w:eastAsia="zh-CN"/>
        </w:rPr>
        <w:t>对欠租6个月以上承租户实行强制腾房</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完成追缴欠缴200余万元</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深入开展入户调查，全面核对承租人的身份信息，切实兜牢了住房保障民生底线。</w:t>
      </w:r>
      <w:r>
        <w:rPr>
          <w:rFonts w:hint="eastAsia" w:ascii="仿宋_GB2312" w:hAnsi="仿宋_GB2312" w:eastAsia="仿宋_GB2312" w:cs="仿宋_GB2312"/>
          <w:bCs/>
          <w:sz w:val="28"/>
          <w:szCs w:val="28"/>
          <w:lang w:eastAsia="zh-CN"/>
        </w:rPr>
        <w:t>通过清查，预计</w:t>
      </w:r>
      <w:r>
        <w:rPr>
          <w:rFonts w:hint="eastAsia" w:ascii="仿宋_GB2312" w:hAnsi="仿宋_GB2312" w:eastAsia="仿宋_GB2312" w:cs="仿宋_GB2312"/>
          <w:bCs/>
          <w:sz w:val="28"/>
          <w:szCs w:val="28"/>
          <w:lang w:val="en-US" w:eastAsia="zh-CN"/>
        </w:rPr>
        <w:t>今年</w:t>
      </w:r>
      <w:r>
        <w:rPr>
          <w:rFonts w:hint="eastAsia" w:ascii="仿宋_GB2312" w:hAnsi="仿宋_GB2312" w:eastAsia="仿宋_GB2312" w:cs="仿宋_GB2312"/>
          <w:bCs/>
          <w:sz w:val="28"/>
          <w:szCs w:val="28"/>
          <w:lang w:eastAsia="zh-CN"/>
        </w:rPr>
        <w:t>中心可实现各类非税收入</w:t>
      </w:r>
      <w:r>
        <w:rPr>
          <w:rFonts w:hint="eastAsia" w:ascii="仿宋_GB2312" w:hAnsi="仿宋_GB2312" w:eastAsia="仿宋_GB2312" w:cs="仿宋_GB2312"/>
          <w:bCs/>
          <w:sz w:val="28"/>
          <w:szCs w:val="28"/>
          <w:lang w:val="en-US" w:eastAsia="zh-CN"/>
        </w:rPr>
        <w:t>700多万元，</w:t>
      </w:r>
      <w:r>
        <w:rPr>
          <w:rFonts w:hint="eastAsia" w:ascii="仿宋_GB2312" w:hAnsi="仿宋_GB2312" w:eastAsia="仿宋_GB2312" w:cs="仿宋_GB2312"/>
          <w:bCs/>
          <w:sz w:val="28"/>
          <w:szCs w:val="28"/>
          <w:lang w:eastAsia="zh-CN"/>
        </w:rPr>
        <w:t>为财政增收贡献了我们的力量。</w:t>
      </w:r>
    </w:p>
    <w:p>
      <w:pPr>
        <w:numPr>
          <w:ilvl w:val="0"/>
          <w:numId w:val="0"/>
        </w:num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（五）公租房建设</w:t>
      </w:r>
    </w:p>
    <w:p>
      <w:pPr>
        <w:numPr>
          <w:ilvl w:val="0"/>
          <w:numId w:val="0"/>
        </w:numPr>
        <w:spacing w:line="560" w:lineRule="exact"/>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 xml:space="preserve">   2022年我县保障性住房任务为保障性租赁住房154套，公共租赁住房250套。</w:t>
      </w:r>
    </w:p>
    <w:p>
      <w:pPr>
        <w:numPr>
          <w:ilvl w:val="0"/>
          <w:numId w:val="3"/>
        </w:numPr>
        <w:spacing w:line="560" w:lineRule="exact"/>
        <w:ind w:left="0" w:leftChars="0" w:firstLine="0" w:firstLineChars="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存在的问题及原因分析</w:t>
      </w:r>
    </w:p>
    <w:p>
      <w:pPr>
        <w:pStyle w:val="2"/>
        <w:numPr>
          <w:ilvl w:val="0"/>
          <w:numId w:val="0"/>
        </w:numPr>
        <w:ind w:leftChars="0" w:firstLine="420" w:firstLineChars="200"/>
        <w:rPr>
          <w:rFonts w:hint="default" w:ascii="仿宋_GB2312" w:hAnsi="仿宋_GB2312" w:eastAsia="仿宋_GB2312" w:cs="仿宋_GB2312"/>
          <w:bCs/>
          <w:kern w:val="2"/>
          <w:sz w:val="28"/>
          <w:szCs w:val="28"/>
          <w:lang w:val="en-US" w:eastAsia="zh-CN" w:bidi="ar-SA"/>
        </w:rPr>
      </w:pPr>
      <w:r>
        <w:rPr>
          <w:rFonts w:hint="default"/>
          <w:lang w:val="en-US" w:eastAsia="zh-CN"/>
        </w:rPr>
        <w:t>（</w:t>
      </w:r>
      <w:r>
        <w:rPr>
          <w:rFonts w:hint="default" w:ascii="仿宋_GB2312" w:hAnsi="仿宋_GB2312" w:eastAsia="仿宋_GB2312" w:cs="仿宋_GB2312"/>
          <w:bCs/>
          <w:kern w:val="2"/>
          <w:sz w:val="28"/>
          <w:szCs w:val="28"/>
          <w:lang w:val="en-US" w:eastAsia="zh-CN" w:bidi="ar-SA"/>
        </w:rPr>
        <w:t>一）预算管理不够精细。在预算管理过程中，需加强全中心内设机构协调联动，保证预算编制的合理与精细，并加强与财政部门的沟通与协调，确保预算资金的及时下达。</w:t>
      </w:r>
    </w:p>
    <w:p>
      <w:pPr>
        <w:pStyle w:val="2"/>
        <w:numPr>
          <w:ilvl w:val="0"/>
          <w:numId w:val="0"/>
        </w:numPr>
        <w:ind w:leftChars="0" w:firstLine="280" w:firstLineChars="100"/>
        <w:rPr>
          <w:rFonts w:hint="default"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（二）工作机制有待进一步完善。由于在平时工作中未加强对绩效监控工作的重视，绩效监控工作容易滞后，未制定绩效目标监控机制。</w:t>
      </w:r>
    </w:p>
    <w:p>
      <w:pPr>
        <w:pStyle w:val="2"/>
        <w:numPr>
          <w:ilvl w:val="0"/>
          <w:numId w:val="0"/>
        </w:numPr>
        <w:ind w:leftChars="0" w:firstLine="280" w:firstLineChars="100"/>
        <w:rPr>
          <w:rFonts w:hint="default"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（三）单位各部门衔接不及时，无法及时监控预算绩效目标实施情况。</w:t>
      </w:r>
    </w:p>
    <w:p>
      <w:pPr>
        <w:pStyle w:val="2"/>
        <w:numPr>
          <w:ilvl w:val="0"/>
          <w:numId w:val="0"/>
        </w:numPr>
        <w:ind w:leftChars="0" w:firstLine="280" w:firstLineChars="1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六、下一步改进措施</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6" w:lineRule="atLeast"/>
        <w:ind w:left="0" w:right="0" w:firstLine="42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1、细化预算编制工作，认真做好预算的编制。进一步加强单位内部机构各股室的预算管理意识，严格按照预算编制的相关制度和要求进行预算编制。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6" w:lineRule="atLeast"/>
        <w:ind w:left="0" w:right="0" w:firstLine="42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bCs/>
          <w:kern w:val="2"/>
          <w:sz w:val="28"/>
          <w:szCs w:val="28"/>
          <w:lang w:val="en-US" w:eastAsia="zh-CN" w:bidi="ar-SA"/>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w:t>
      </w: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9"/>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99</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7"/>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w:t>
      </w:r>
      <w:r>
        <w:rPr>
          <w:rFonts w:hint="eastAsia" w:ascii="方正小标宋简体" w:hAnsi="方正小标宋简体" w:eastAsia="方正小标宋简体" w:cs="方正小标宋简体"/>
          <w:color w:val="000000"/>
          <w:sz w:val="44"/>
          <w:szCs w:val="44"/>
          <w:lang w:eastAsia="zh-CN"/>
        </w:rPr>
        <w:t>华容县住房保障服务中心</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项目支出绩效自评表</w:t>
      </w:r>
    </w:p>
    <w:tbl>
      <w:tblPr>
        <w:tblStyle w:val="9"/>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2022年城镇保障性安居工程</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华容县住房保障服务中心</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县二医院、田家湖学校等</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3980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3980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3980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3980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pStyle w:val="7"/>
              <w:keepNext w:val="0"/>
              <w:keepLines w:val="0"/>
              <w:numPr>
                <w:ilvl w:val="0"/>
                <w:numId w:val="0"/>
              </w:numPr>
              <w:suppressLineNumbers w:val="0"/>
              <w:spacing w:before="0" w:beforeAutospacing="0" w:after="0" w:afterAutospacing="0"/>
              <w:ind w:left="0" w:leftChars="0" w:right="0"/>
              <w:jc w:val="left"/>
              <w:rPr>
                <w:rFonts w:hint="eastAsia"/>
                <w:lang w:val="en-US" w:eastAsia="zh-CN"/>
              </w:rPr>
            </w:pPr>
            <w:r>
              <w:rPr>
                <w:rFonts w:hint="eastAsia"/>
                <w:lang w:val="en-US" w:eastAsia="zh-CN"/>
              </w:rPr>
              <w:t>1.</w:t>
            </w:r>
            <w:r>
              <w:rPr>
                <w:rFonts w:hint="eastAsia"/>
                <w:sz w:val="21"/>
                <w:szCs w:val="21"/>
                <w:lang w:val="en-US" w:eastAsia="zh-CN"/>
              </w:rPr>
              <w:t>租赁补贴发放1000户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lang w:val="en-US" w:eastAsia="zh-CN"/>
              </w:rPr>
            </w:pPr>
            <w:r>
              <w:rPr>
                <w:rFonts w:hint="eastAsia"/>
                <w:lang w:val="en-US" w:eastAsia="zh-CN"/>
              </w:rPr>
              <w:t>2.棚户区改造货币安置60户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lang w:val="en-US" w:eastAsia="zh-CN"/>
              </w:rPr>
              <w:t>3.公租房250套，保租房154套</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lang w:val="en-US" w:eastAsia="zh-CN"/>
              </w:rPr>
            </w:pPr>
            <w:r>
              <w:rPr>
                <w:rFonts w:hint="eastAsia"/>
                <w:lang w:val="en-US" w:eastAsia="zh-CN"/>
              </w:rPr>
              <w:t>1.实际发放租赁补贴1070户</w:t>
            </w:r>
          </w:p>
          <w:p>
            <w:pPr>
              <w:pStyle w:val="2"/>
              <w:keepNext w:val="0"/>
              <w:keepLines w:val="0"/>
              <w:numPr>
                <w:ilvl w:val="0"/>
                <w:numId w:val="0"/>
              </w:numPr>
              <w:suppressLineNumbers w:val="0"/>
              <w:spacing w:before="0" w:beforeAutospacing="0" w:after="0" w:afterAutospacing="0"/>
              <w:ind w:left="0" w:leftChars="0" w:right="0"/>
              <w:rPr>
                <w:rFonts w:hint="eastAsia" w:ascii="新宋体" w:hAnsi="新宋体" w:eastAsia="新宋体" w:cs="新宋体"/>
                <w:color w:val="000000"/>
                <w:sz w:val="21"/>
                <w:szCs w:val="21"/>
                <w:lang w:val="en-US" w:eastAsia="zh-CN"/>
              </w:rPr>
            </w:pPr>
            <w:r>
              <w:rPr>
                <w:rFonts w:hint="eastAsia" w:eastAsia="仿宋_GB2312" w:cs="Times New Roman"/>
                <w:color w:val="000000"/>
                <w:sz w:val="20"/>
                <w:szCs w:val="20"/>
                <w:lang w:val="en-US" w:eastAsia="zh-CN"/>
              </w:rPr>
              <w:t>2.</w:t>
            </w:r>
            <w:r>
              <w:rPr>
                <w:rFonts w:hint="eastAsia" w:ascii="新宋体" w:hAnsi="新宋体" w:eastAsia="新宋体" w:cs="新宋体"/>
                <w:color w:val="000000"/>
                <w:sz w:val="21"/>
                <w:szCs w:val="21"/>
                <w:lang w:val="en-US" w:eastAsia="zh-CN"/>
              </w:rPr>
              <w:t>东颂电子宿舍楼新建84套，华青职工公寓改建70套，田家湖公租房新建131套，二医院新建119套</w:t>
            </w:r>
          </w:p>
          <w:p>
            <w:pPr>
              <w:pStyle w:val="2"/>
              <w:keepNext w:val="0"/>
              <w:keepLines w:val="0"/>
              <w:numPr>
                <w:ilvl w:val="0"/>
                <w:numId w:val="0"/>
              </w:numPr>
              <w:suppressLineNumbers w:val="0"/>
              <w:spacing w:before="0" w:beforeAutospacing="0" w:after="0" w:afterAutospacing="0"/>
              <w:ind w:left="0" w:leftChars="0" w:right="0"/>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3.棚户区改造房屋征收补偿安置60户已完成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lang w:eastAsia="zh-CN"/>
              </w:rPr>
              <w:t>住房保障租赁补贴</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租赁补贴发放</w:t>
            </w:r>
            <w:r>
              <w:rPr>
                <w:rFonts w:hint="eastAsia" w:ascii="新宋体" w:hAnsi="新宋体" w:eastAsia="新宋体" w:cs="新宋体"/>
                <w:color w:val="000000"/>
                <w:sz w:val="21"/>
                <w:szCs w:val="21"/>
                <w:lang w:val="en-US" w:eastAsia="zh-CN"/>
              </w:rPr>
              <w:t>1000户</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实发</w:t>
            </w:r>
            <w:r>
              <w:rPr>
                <w:rFonts w:hint="eastAsia" w:ascii="新宋体" w:hAnsi="新宋体" w:eastAsia="新宋体" w:cs="新宋体"/>
                <w:color w:val="000000"/>
                <w:sz w:val="21"/>
                <w:szCs w:val="21"/>
                <w:lang w:val="en-US" w:eastAsia="zh-CN"/>
              </w:rPr>
              <w:t>1070户</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both"/>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lang w:eastAsia="zh-CN"/>
              </w:rPr>
              <w:t>筹集公租房套数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公租房</w:t>
            </w:r>
            <w:r>
              <w:rPr>
                <w:rFonts w:hint="eastAsia" w:ascii="新宋体" w:hAnsi="新宋体" w:eastAsia="新宋体" w:cs="新宋体"/>
                <w:color w:val="000000"/>
                <w:sz w:val="21"/>
                <w:szCs w:val="21"/>
                <w:lang w:val="en-US" w:eastAsia="zh-CN"/>
              </w:rPr>
              <w:t>250套，保租房154套</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公租房</w:t>
            </w:r>
            <w:r>
              <w:rPr>
                <w:rFonts w:hint="eastAsia" w:ascii="新宋体" w:hAnsi="新宋体" w:eastAsia="新宋体" w:cs="新宋体"/>
                <w:color w:val="000000"/>
                <w:sz w:val="21"/>
                <w:szCs w:val="21"/>
                <w:lang w:val="en-US" w:eastAsia="zh-CN"/>
              </w:rPr>
              <w:t>250套，保租房154套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lang w:eastAsia="zh-CN"/>
              </w:rPr>
              <w:t>棚改货币安置套数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lang w:eastAsia="zh-CN"/>
              </w:rPr>
              <w:t>棚改货币安置</w:t>
            </w:r>
            <w:r>
              <w:rPr>
                <w:rFonts w:hint="eastAsia" w:ascii="新宋体" w:hAnsi="新宋体" w:eastAsia="新宋体" w:cs="新宋体"/>
                <w:color w:val="000000"/>
                <w:sz w:val="21"/>
                <w:szCs w:val="21"/>
                <w:lang w:val="en-US" w:eastAsia="zh-CN"/>
              </w:rPr>
              <w:t>60套</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Times New Roman" w:hAnsi="Times New Roman" w:eastAsia="仿宋_GB2312" w:cs="Times New Roman"/>
                <w:color w:val="000000"/>
                <w:sz w:val="20"/>
                <w:szCs w:val="20"/>
                <w:lang w:val="en-US" w:eastAsia="zh-CN"/>
              </w:rPr>
            </w:pPr>
            <w:r>
              <w:rPr>
                <w:rFonts w:hint="eastAsia" w:ascii="新宋体" w:hAnsi="新宋体" w:eastAsia="新宋体" w:cs="新宋体"/>
                <w:color w:val="000000"/>
                <w:sz w:val="21"/>
                <w:szCs w:val="21"/>
                <w:lang w:eastAsia="zh-CN"/>
              </w:rPr>
              <w:t>完成货币安置</w:t>
            </w:r>
            <w:r>
              <w:rPr>
                <w:rFonts w:hint="eastAsia" w:ascii="新宋体" w:hAnsi="新宋体" w:eastAsia="新宋体" w:cs="新宋体"/>
                <w:color w:val="000000"/>
                <w:sz w:val="21"/>
                <w:szCs w:val="21"/>
                <w:lang w:val="en-US" w:eastAsia="zh-CN"/>
              </w:rPr>
              <w:t>60套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验收合格率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基本建成目标完成率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补贴发放目标完成率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陈本控制在预算内</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保障房租金收缴金额</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600万元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796万元</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pStyle w:val="8"/>
              <w:keepNext w:val="0"/>
              <w:keepLines w:val="0"/>
              <w:widowControl/>
              <w:suppressLineNumbers w:val="0"/>
              <w:spacing w:before="0" w:beforeAutospacing="1" w:after="0" w:afterAutospacing="1"/>
              <w:ind w:left="0" w:right="0"/>
              <w:jc w:val="left"/>
              <w:rPr>
                <w:rFonts w:hint="default"/>
              </w:rPr>
            </w:pPr>
            <w:r>
              <w:rPr>
                <w:rFonts w:hint="default"/>
                <w:color w:val="000000"/>
                <w:sz w:val="18"/>
                <w:szCs w:val="18"/>
              </w:rPr>
              <w:t>实施效益</w:t>
            </w:r>
            <w:r>
              <w:rPr>
                <w:rFonts w:hint="default"/>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保障城乡居民安全居住房屋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实物配租轮候人员量大</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要求节能环保</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强化节能环保</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实施效益</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宋体" w:hAnsi="宋体" w:eastAsia="宋体" w:cs="宋体"/>
                <w:sz w:val="24"/>
                <w:szCs w:val="24"/>
              </w:rPr>
              <w:t>修难度大，成本高，安全系数低；2实物配租需求量大，供给不足。改进措施：1强化安全巡察，检查；2、争资立项，合理规模配建公租</w:t>
            </w: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城镇住房保障家庭满意度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棚户区改造被拆迁居民满意度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7"/>
        <w:rPr>
          <w:rFonts w:hint="eastAsia"/>
        </w:rPr>
      </w:pPr>
    </w:p>
    <w:p>
      <w:pPr>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陈拾</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2023.7.10</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18173058685</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eastAsia="zh-CN"/>
        </w:rPr>
        <w:t>金奇纬</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华容县住房保障服务中心</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保障性安居工程项目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华容县住房保障服务中心</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城镇保障性住房项目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spacing w:line="590" w:lineRule="exact"/>
        <w:ind w:firstLine="600" w:firstLineChars="200"/>
        <w:rPr>
          <w:rFonts w:ascii="仿宋" w:hAnsi="仿宋" w:eastAsia="仿宋" w:cs="仿宋"/>
          <w:b/>
          <w:bCs/>
          <w:sz w:val="30"/>
          <w:szCs w:val="30"/>
        </w:rPr>
      </w:pPr>
      <w:r>
        <w:rPr>
          <w:rFonts w:hint="eastAsia" w:ascii="仿宋" w:hAnsi="仿宋" w:eastAsia="仿宋" w:cs="仿宋"/>
          <w:sz w:val="30"/>
          <w:szCs w:val="30"/>
        </w:rPr>
        <w:t>2022年我县保障性住房任务为保障性租赁住房154套，公共租赁住房250套，城市棚户区改造</w:t>
      </w:r>
      <w:r>
        <w:rPr>
          <w:rFonts w:hint="eastAsia" w:ascii="仿宋" w:hAnsi="仿宋" w:eastAsia="仿宋" w:cs="仿宋"/>
          <w:sz w:val="30"/>
          <w:szCs w:val="30"/>
          <w:lang w:eastAsia="zh-CN"/>
        </w:rPr>
        <w:t>货币安置</w:t>
      </w:r>
      <w:r>
        <w:rPr>
          <w:rFonts w:hint="eastAsia" w:ascii="仿宋" w:hAnsi="仿宋" w:eastAsia="仿宋" w:cs="仿宋"/>
          <w:sz w:val="30"/>
          <w:szCs w:val="30"/>
          <w:lang w:val="en-US" w:eastAsia="zh-CN"/>
        </w:rPr>
        <w:t>60</w:t>
      </w:r>
      <w:r>
        <w:rPr>
          <w:rFonts w:hint="eastAsia" w:ascii="仿宋" w:hAnsi="仿宋" w:eastAsia="仿宋" w:cs="仿宋"/>
          <w:sz w:val="30"/>
          <w:szCs w:val="30"/>
        </w:rPr>
        <w:t>套，租赁补贴1000户。</w:t>
      </w:r>
    </w:p>
    <w:p>
      <w:pPr>
        <w:spacing w:line="59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w:t>
      </w:r>
      <w:r>
        <w:rPr>
          <w:rFonts w:hint="eastAsia" w:ascii="仿宋" w:hAnsi="仿宋" w:eastAsia="仿宋" w:cs="仿宋"/>
          <w:b/>
          <w:bCs/>
          <w:sz w:val="30"/>
          <w:szCs w:val="30"/>
          <w:lang w:val="en-US" w:eastAsia="zh-CN"/>
        </w:rPr>
        <w:t>1</w:t>
      </w:r>
      <w:r>
        <w:rPr>
          <w:rFonts w:hint="eastAsia" w:ascii="仿宋" w:hAnsi="仿宋" w:eastAsia="仿宋" w:cs="仿宋"/>
          <w:b/>
          <w:bCs/>
          <w:sz w:val="30"/>
          <w:szCs w:val="30"/>
        </w:rPr>
        <w:t>）保障性租赁住房：</w:t>
      </w:r>
    </w:p>
    <w:p>
      <w:pPr>
        <w:spacing w:line="590" w:lineRule="exact"/>
        <w:ind w:firstLine="600" w:firstLineChars="200"/>
        <w:rPr>
          <w:rFonts w:ascii="仿宋" w:hAnsi="仿宋" w:eastAsia="仿宋" w:cs="仿宋"/>
          <w:sz w:val="30"/>
          <w:szCs w:val="30"/>
        </w:rPr>
      </w:pPr>
      <w:r>
        <w:rPr>
          <w:rFonts w:hint="eastAsia" w:ascii="仿宋" w:hAnsi="仿宋" w:eastAsia="仿宋" w:cs="仿宋"/>
          <w:sz w:val="30"/>
          <w:szCs w:val="30"/>
        </w:rPr>
        <w:t>1、岳阳市东颂电子有限公司宿舍楼，新建84套，2栋，建筑面积4600平方米，总投资约850万元,已竣工。</w:t>
      </w:r>
    </w:p>
    <w:p>
      <w:pPr>
        <w:spacing w:line="590" w:lineRule="exact"/>
        <w:ind w:firstLine="600" w:firstLineChars="200"/>
        <w:rPr>
          <w:rFonts w:ascii="仿宋" w:hAnsi="仿宋" w:eastAsia="仿宋" w:cs="仿宋"/>
          <w:sz w:val="30"/>
          <w:szCs w:val="30"/>
        </w:rPr>
      </w:pPr>
      <w:r>
        <w:rPr>
          <w:rFonts w:hint="eastAsia" w:ascii="仿宋" w:hAnsi="仿宋" w:eastAsia="仿宋" w:cs="仿宋"/>
          <w:sz w:val="30"/>
          <w:szCs w:val="30"/>
        </w:rPr>
        <w:t>2、华容县华青纺织有限公司职工公寓，改建70套，2栋，建筑面积3320平方米，总投资约350万元,已竣工。</w:t>
      </w:r>
    </w:p>
    <w:p>
      <w:pPr>
        <w:spacing w:line="59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w:t>
      </w:r>
      <w:r>
        <w:rPr>
          <w:rFonts w:hint="eastAsia" w:ascii="仿宋" w:hAnsi="仿宋" w:eastAsia="仿宋" w:cs="仿宋"/>
          <w:b/>
          <w:bCs/>
          <w:sz w:val="30"/>
          <w:szCs w:val="30"/>
          <w:lang w:val="en-US" w:eastAsia="zh-CN"/>
        </w:rPr>
        <w:t>2</w:t>
      </w:r>
      <w:r>
        <w:rPr>
          <w:rFonts w:hint="eastAsia" w:ascii="仿宋" w:hAnsi="仿宋" w:eastAsia="仿宋" w:cs="仿宋"/>
          <w:b/>
          <w:bCs/>
          <w:sz w:val="30"/>
          <w:szCs w:val="30"/>
        </w:rPr>
        <w:t>）公共租赁住房：</w:t>
      </w:r>
    </w:p>
    <w:p>
      <w:pPr>
        <w:spacing w:line="590" w:lineRule="exact"/>
        <w:ind w:firstLine="600" w:firstLineChars="200"/>
        <w:rPr>
          <w:rFonts w:ascii="仿宋" w:hAnsi="仿宋" w:eastAsia="仿宋" w:cs="仿宋"/>
          <w:sz w:val="30"/>
          <w:szCs w:val="30"/>
        </w:rPr>
      </w:pPr>
      <w:r>
        <w:rPr>
          <w:rFonts w:hint="eastAsia" w:ascii="仿宋" w:hAnsi="仿宋" w:eastAsia="仿宋" w:cs="仿宋"/>
          <w:sz w:val="30"/>
          <w:szCs w:val="30"/>
        </w:rPr>
        <w:t>1、湖南师范大学附属田家湖学校公租房建设项目，新建131套，建筑面积5240平方米，总投资约1600万元。该</w:t>
      </w:r>
      <w:r>
        <w:rPr>
          <w:rFonts w:hint="eastAsia" w:ascii="仿宋" w:hAnsi="仿宋" w:eastAsia="仿宋"/>
          <w:sz w:val="28"/>
          <w:szCs w:val="28"/>
        </w:rPr>
        <w:t>项目属于湖师大田家湖学校建设项目的其中一部分, 湖师大田家湖学校建设项目为一个整体项目，包含教学楼、实验楼、宿舍楼、教师公租房等，立项批复为整体批复，分小学部、初中部、高中部三个阶段招标实施。此栋教师公租房属于高中部实施的一部分，项目名称为华容师大田家湖高级中学建设项目，故提供的中标通知书、施工合同、施工许可证的项目名称均为华容师大田家湖高级中学（高中部）。该整体项目于2019年实施，教师公租房所在的高中部于2020年开始实施，2021年湖南师范大学附属田家湖学校申请将此栋教师公租房纳入我县公租房范畴，经报省厅同意后纳入我县2022年公租房建设项目。</w:t>
      </w:r>
      <w:r>
        <w:rPr>
          <w:rFonts w:hint="eastAsia" w:ascii="仿宋" w:hAnsi="仿宋" w:eastAsia="仿宋" w:cs="仿宋"/>
          <w:sz w:val="30"/>
          <w:szCs w:val="30"/>
        </w:rPr>
        <w:t>项目已基本建成。</w:t>
      </w:r>
    </w:p>
    <w:p>
      <w:pPr>
        <w:spacing w:line="590" w:lineRule="exact"/>
        <w:ind w:firstLine="600" w:firstLineChars="200"/>
        <w:rPr>
          <w:rFonts w:ascii="仿宋" w:hAnsi="仿宋" w:eastAsia="仿宋" w:cs="仿宋"/>
          <w:sz w:val="30"/>
          <w:szCs w:val="30"/>
        </w:rPr>
      </w:pPr>
      <w:r>
        <w:rPr>
          <w:rFonts w:hint="eastAsia" w:ascii="仿宋" w:hAnsi="仿宋" w:eastAsia="仿宋" w:cs="仿宋"/>
          <w:sz w:val="30"/>
          <w:szCs w:val="30"/>
        </w:rPr>
        <w:t>2、华容县二人民医院公租房建设项目，新建119套，建筑面积4000平方米，总投资约1800万元。现正进行主体施工。</w:t>
      </w:r>
    </w:p>
    <w:p>
      <w:pPr>
        <w:spacing w:line="59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w:t>
      </w:r>
      <w:r>
        <w:rPr>
          <w:rFonts w:hint="eastAsia" w:ascii="仿宋" w:hAnsi="仿宋" w:eastAsia="仿宋" w:cs="仿宋"/>
          <w:b/>
          <w:bCs/>
          <w:sz w:val="30"/>
          <w:szCs w:val="30"/>
          <w:lang w:val="en-US" w:eastAsia="zh-CN"/>
        </w:rPr>
        <w:t>3</w:t>
      </w:r>
      <w:r>
        <w:rPr>
          <w:rFonts w:hint="eastAsia" w:ascii="仿宋" w:hAnsi="仿宋" w:eastAsia="仿宋" w:cs="仿宋"/>
          <w:b/>
          <w:bCs/>
          <w:sz w:val="30"/>
          <w:szCs w:val="30"/>
        </w:rPr>
        <w:t>）棚户区改造项目：</w:t>
      </w:r>
    </w:p>
    <w:p>
      <w:pPr>
        <w:spacing w:line="590" w:lineRule="exact"/>
        <w:ind w:firstLine="600" w:firstLineChars="200"/>
        <w:rPr>
          <w:rFonts w:ascii="仿宋" w:hAnsi="仿宋" w:eastAsia="仿宋"/>
          <w:b/>
          <w:bCs/>
          <w:sz w:val="30"/>
          <w:szCs w:val="30"/>
        </w:rPr>
      </w:pPr>
      <w:r>
        <w:rPr>
          <w:rFonts w:hint="eastAsia" w:ascii="仿宋" w:hAnsi="仿宋" w:eastAsia="仿宋" w:cs="仿宋"/>
          <w:sz w:val="30"/>
          <w:szCs w:val="30"/>
        </w:rPr>
        <w:t>今年我县棚改项目为华容县状元街片区棚户区改造货币安置60套，现</w:t>
      </w:r>
      <w:r>
        <w:rPr>
          <w:rFonts w:hint="eastAsia" w:ascii="仿宋" w:hAnsi="仿宋" w:eastAsia="仿宋"/>
          <w:sz w:val="30"/>
          <w:szCs w:val="30"/>
        </w:rPr>
        <w:t>棚户区改造房屋征收补偿</w:t>
      </w:r>
      <w:r>
        <w:rPr>
          <w:rFonts w:hint="eastAsia" w:ascii="仿宋" w:hAnsi="仿宋" w:eastAsia="仿宋"/>
          <w:sz w:val="30"/>
          <w:szCs w:val="30"/>
          <w:lang w:eastAsia="zh-CN"/>
        </w:rPr>
        <w:t>货币</w:t>
      </w:r>
      <w:r>
        <w:rPr>
          <w:rFonts w:hint="eastAsia" w:ascii="仿宋" w:hAnsi="仿宋" w:eastAsia="仿宋"/>
          <w:sz w:val="30"/>
          <w:szCs w:val="30"/>
        </w:rPr>
        <w:t>安置</w:t>
      </w:r>
      <w:r>
        <w:rPr>
          <w:rFonts w:hint="eastAsia" w:ascii="仿宋" w:hAnsi="仿宋" w:eastAsia="仿宋"/>
          <w:sz w:val="30"/>
          <w:szCs w:val="30"/>
          <w:lang w:val="en-US" w:eastAsia="zh-CN"/>
        </w:rPr>
        <w:t>6</w:t>
      </w:r>
      <w:r>
        <w:rPr>
          <w:rFonts w:hint="eastAsia" w:ascii="仿宋" w:hAnsi="仿宋" w:eastAsia="仿宋"/>
          <w:sz w:val="30"/>
          <w:szCs w:val="30"/>
        </w:rPr>
        <w:t>0套已完成</w:t>
      </w:r>
      <w:r>
        <w:rPr>
          <w:rFonts w:hint="eastAsia" w:ascii="仿宋" w:hAnsi="仿宋" w:eastAsia="仿宋" w:cs="仿宋"/>
          <w:sz w:val="30"/>
          <w:szCs w:val="30"/>
        </w:rPr>
        <w:t>。</w:t>
      </w:r>
    </w:p>
    <w:p>
      <w:pPr>
        <w:spacing w:line="590" w:lineRule="exact"/>
        <w:ind w:left="630"/>
        <w:rPr>
          <w:rFonts w:ascii="仿宋" w:hAnsi="仿宋" w:eastAsia="仿宋"/>
          <w:b/>
          <w:bCs/>
          <w:sz w:val="30"/>
          <w:szCs w:val="30"/>
        </w:rPr>
      </w:pPr>
      <w:r>
        <w:rPr>
          <w:rFonts w:hint="eastAsia" w:ascii="仿宋" w:hAnsi="仿宋" w:eastAsia="仿宋"/>
          <w:b/>
          <w:bCs/>
          <w:sz w:val="30"/>
          <w:szCs w:val="30"/>
        </w:rPr>
        <w:t>（</w:t>
      </w:r>
      <w:r>
        <w:rPr>
          <w:rFonts w:hint="eastAsia" w:ascii="仿宋" w:hAnsi="仿宋" w:eastAsia="仿宋"/>
          <w:b/>
          <w:bCs/>
          <w:sz w:val="30"/>
          <w:szCs w:val="30"/>
          <w:lang w:val="en-US" w:eastAsia="zh-CN"/>
        </w:rPr>
        <w:t>4</w:t>
      </w:r>
      <w:r>
        <w:rPr>
          <w:rFonts w:hint="eastAsia" w:ascii="仿宋" w:hAnsi="仿宋" w:eastAsia="仿宋"/>
          <w:b/>
          <w:bCs/>
          <w:sz w:val="30"/>
          <w:szCs w:val="30"/>
        </w:rPr>
        <w:t>）、租赁补贴发放情况。</w:t>
      </w:r>
    </w:p>
    <w:p>
      <w:pPr>
        <w:spacing w:line="590" w:lineRule="exact"/>
        <w:ind w:firstLine="600" w:firstLineChars="200"/>
        <w:rPr>
          <w:rFonts w:ascii="仿宋" w:hAnsi="仿宋" w:eastAsia="仿宋" w:cs="仿宋"/>
          <w:sz w:val="30"/>
          <w:szCs w:val="30"/>
        </w:rPr>
      </w:pPr>
      <w:r>
        <w:rPr>
          <w:rFonts w:hint="eastAsia" w:ascii="仿宋" w:hAnsi="仿宋" w:eastAsia="仿宋"/>
          <w:sz w:val="30"/>
          <w:szCs w:val="30"/>
        </w:rPr>
        <w:t>2022年租赁补贴计划发放1000户，实际发放1070户，共发放金额16</w:t>
      </w:r>
      <w:r>
        <w:rPr>
          <w:rFonts w:hint="eastAsia" w:ascii="仿宋" w:hAnsi="仿宋" w:eastAsia="仿宋"/>
          <w:sz w:val="30"/>
          <w:szCs w:val="30"/>
          <w:lang w:val="en-US" w:eastAsia="zh-CN"/>
        </w:rPr>
        <w:t>4.4</w:t>
      </w:r>
      <w:r>
        <w:rPr>
          <w:rFonts w:hint="eastAsia" w:ascii="仿宋" w:hAnsi="仿宋" w:eastAsia="仿宋"/>
          <w:sz w:val="30"/>
          <w:szCs w:val="30"/>
        </w:rPr>
        <w:t>万元。</w:t>
      </w:r>
    </w:p>
    <w:p>
      <w:pPr>
        <w:pStyle w:val="2"/>
        <w:numPr>
          <w:ilvl w:val="0"/>
          <w:numId w:val="0"/>
        </w:numPr>
        <w:ind w:leftChars="0"/>
        <w:rPr>
          <w:rFonts w:hint="eastAsia"/>
        </w:rPr>
      </w:pPr>
    </w:p>
    <w:p>
      <w:pPr>
        <w:keepNext w:val="0"/>
        <w:keepLines w:val="0"/>
        <w:pageBreakBefore w:val="0"/>
        <w:numPr>
          <w:ilvl w:val="0"/>
          <w:numId w:val="6"/>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项目绩效目标。包括总体目标和阶段性目标。</w:t>
      </w:r>
    </w:p>
    <w:p>
      <w:pPr>
        <w:spacing w:line="620" w:lineRule="exact"/>
        <w:ind w:firstLine="643" w:firstLineChars="200"/>
        <w:rPr>
          <w:rFonts w:ascii="楷体" w:hAnsi="楷体" w:eastAsia="楷体"/>
          <w:b/>
          <w:sz w:val="32"/>
          <w:szCs w:val="32"/>
        </w:rPr>
      </w:pPr>
      <w:r>
        <w:rPr>
          <w:rFonts w:hint="eastAsia" w:ascii="楷体" w:hAnsi="楷体" w:eastAsia="楷体"/>
          <w:b/>
          <w:sz w:val="32"/>
          <w:szCs w:val="32"/>
        </w:rPr>
        <w:t>1、项目绩效总目标</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年，华容县全面开工建设公租房</w:t>
      </w:r>
      <w:r>
        <w:rPr>
          <w:rFonts w:hint="eastAsia" w:ascii="仿宋" w:hAnsi="仿宋" w:eastAsia="仿宋"/>
          <w:sz w:val="32"/>
          <w:szCs w:val="32"/>
          <w:lang w:val="en-US" w:eastAsia="zh-CN"/>
        </w:rPr>
        <w:t>250</w:t>
      </w:r>
      <w:r>
        <w:rPr>
          <w:rFonts w:hint="eastAsia" w:ascii="仿宋" w:hAnsi="仿宋" w:eastAsia="仿宋"/>
          <w:sz w:val="32"/>
          <w:szCs w:val="32"/>
        </w:rPr>
        <w:t>套，</w:t>
      </w:r>
      <w:r>
        <w:rPr>
          <w:rFonts w:hint="eastAsia" w:ascii="仿宋" w:hAnsi="仿宋" w:eastAsia="仿宋"/>
          <w:sz w:val="32"/>
          <w:szCs w:val="32"/>
          <w:lang w:eastAsia="zh-CN"/>
        </w:rPr>
        <w:t>保租房</w:t>
      </w:r>
      <w:r>
        <w:rPr>
          <w:rFonts w:hint="eastAsia" w:ascii="仿宋" w:hAnsi="仿宋" w:eastAsia="仿宋"/>
          <w:sz w:val="32"/>
          <w:szCs w:val="32"/>
          <w:lang w:val="en-US" w:eastAsia="zh-CN"/>
        </w:rPr>
        <w:t>154套</w:t>
      </w:r>
      <w:r>
        <w:rPr>
          <w:rFonts w:hint="eastAsia" w:ascii="仿宋" w:hAnsi="仿宋" w:eastAsia="仿宋"/>
          <w:sz w:val="32"/>
          <w:szCs w:val="32"/>
        </w:rPr>
        <w:t>；棚户区改造货币补贴</w:t>
      </w:r>
      <w:r>
        <w:rPr>
          <w:rFonts w:hint="eastAsia" w:ascii="仿宋" w:hAnsi="仿宋" w:eastAsia="仿宋"/>
          <w:sz w:val="32"/>
          <w:szCs w:val="32"/>
          <w:lang w:val="en-US" w:eastAsia="zh-CN"/>
        </w:rPr>
        <w:t>60</w:t>
      </w:r>
      <w:r>
        <w:rPr>
          <w:rFonts w:hint="eastAsia" w:ascii="仿宋" w:hAnsi="仿宋" w:eastAsia="仿宋"/>
          <w:sz w:val="32"/>
          <w:szCs w:val="32"/>
        </w:rPr>
        <w:t>套；发放租赁补贴10</w:t>
      </w:r>
      <w:r>
        <w:rPr>
          <w:rFonts w:hint="eastAsia" w:ascii="仿宋" w:hAnsi="仿宋" w:eastAsia="仿宋"/>
          <w:sz w:val="32"/>
          <w:szCs w:val="32"/>
          <w:lang w:val="en-US" w:eastAsia="zh-CN"/>
        </w:rPr>
        <w:t>00</w:t>
      </w:r>
      <w:r>
        <w:rPr>
          <w:rFonts w:hint="eastAsia" w:ascii="仿宋" w:hAnsi="仿宋" w:eastAsia="仿宋"/>
          <w:sz w:val="32"/>
          <w:szCs w:val="32"/>
        </w:rPr>
        <w:t>户。</w:t>
      </w:r>
    </w:p>
    <w:p>
      <w:pPr>
        <w:spacing w:line="620" w:lineRule="exact"/>
        <w:ind w:firstLine="643" w:firstLineChars="200"/>
        <w:rPr>
          <w:rFonts w:ascii="楷体" w:hAnsi="楷体" w:eastAsia="楷体"/>
          <w:b/>
          <w:sz w:val="32"/>
          <w:szCs w:val="32"/>
        </w:rPr>
      </w:pPr>
      <w:r>
        <w:rPr>
          <w:rFonts w:hint="eastAsia" w:ascii="楷体" w:hAnsi="楷体" w:eastAsia="楷体"/>
          <w:b/>
          <w:sz w:val="32"/>
          <w:szCs w:val="32"/>
        </w:rPr>
        <w:t>2、项目绩效阶段性目标</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年12月底，公租房已全面开工</w:t>
      </w:r>
      <w:r>
        <w:rPr>
          <w:rFonts w:hint="eastAsia" w:ascii="仿宋" w:hAnsi="仿宋" w:eastAsia="仿宋"/>
          <w:sz w:val="32"/>
          <w:szCs w:val="32"/>
          <w:lang w:val="en-US" w:eastAsia="zh-CN"/>
        </w:rPr>
        <w:t>250</w:t>
      </w:r>
      <w:r>
        <w:rPr>
          <w:rFonts w:hint="eastAsia" w:ascii="仿宋" w:hAnsi="仿宋" w:eastAsia="仿宋"/>
          <w:sz w:val="32"/>
          <w:szCs w:val="32"/>
        </w:rPr>
        <w:t>套，</w:t>
      </w:r>
      <w:r>
        <w:rPr>
          <w:rFonts w:hint="eastAsia" w:ascii="仿宋" w:hAnsi="仿宋" w:eastAsia="仿宋"/>
          <w:sz w:val="32"/>
          <w:szCs w:val="32"/>
          <w:lang w:eastAsia="zh-CN"/>
        </w:rPr>
        <w:t>保租房</w:t>
      </w:r>
      <w:r>
        <w:rPr>
          <w:rFonts w:hint="eastAsia" w:ascii="仿宋" w:hAnsi="仿宋" w:eastAsia="仿宋"/>
          <w:sz w:val="32"/>
          <w:szCs w:val="32"/>
        </w:rPr>
        <w:t>建成15</w:t>
      </w:r>
      <w:r>
        <w:rPr>
          <w:rFonts w:hint="eastAsia" w:ascii="仿宋" w:hAnsi="仿宋" w:eastAsia="仿宋"/>
          <w:sz w:val="32"/>
          <w:szCs w:val="32"/>
          <w:lang w:val="en-US" w:eastAsia="zh-CN"/>
        </w:rPr>
        <w:t>4</w:t>
      </w:r>
      <w:r>
        <w:rPr>
          <w:rFonts w:hint="eastAsia" w:ascii="仿宋" w:hAnsi="仿宋" w:eastAsia="仿宋"/>
          <w:sz w:val="32"/>
          <w:szCs w:val="32"/>
        </w:rPr>
        <w:t>套；棚户区改造货币补贴</w:t>
      </w:r>
      <w:r>
        <w:rPr>
          <w:rFonts w:hint="eastAsia" w:ascii="仿宋" w:hAnsi="仿宋" w:eastAsia="仿宋"/>
          <w:sz w:val="32"/>
          <w:szCs w:val="32"/>
          <w:lang w:val="en-US" w:eastAsia="zh-CN"/>
        </w:rPr>
        <w:t>60</w:t>
      </w:r>
      <w:r>
        <w:rPr>
          <w:rFonts w:hint="eastAsia" w:ascii="仿宋" w:hAnsi="仿宋" w:eastAsia="仿宋"/>
          <w:sz w:val="32"/>
          <w:szCs w:val="32"/>
        </w:rPr>
        <w:t>套；租赁补贴及时发放，全部发放到位。</w:t>
      </w:r>
    </w:p>
    <w:p>
      <w:pPr>
        <w:pStyle w:val="2"/>
        <w:numPr>
          <w:ilvl w:val="0"/>
          <w:numId w:val="0"/>
        </w:numPr>
        <w:ind w:leftChars="0"/>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pStyle w:val="2"/>
        <w:numPr>
          <w:ilvl w:val="0"/>
          <w:numId w:val="0"/>
        </w:numPr>
        <w:ind w:leftChars="0"/>
        <w:rPr>
          <w:rFonts w:hint="eastAsia" w:eastAsia="仿宋_GB2312"/>
          <w:sz w:val="30"/>
          <w:szCs w:val="30"/>
          <w:lang w:val="en-US" w:eastAsia="zh-CN"/>
        </w:rPr>
      </w:pPr>
      <w:r>
        <w:rPr>
          <w:rFonts w:hint="eastAsia" w:eastAsia="仿宋_GB2312"/>
          <w:sz w:val="30"/>
          <w:szCs w:val="30"/>
          <w:lang w:val="en-US" w:eastAsia="zh-CN"/>
        </w:rPr>
        <w:t xml:space="preserve">     1.项目绩效评价目的</w:t>
      </w:r>
    </w:p>
    <w:p>
      <w:pPr>
        <w:pStyle w:val="2"/>
        <w:numPr>
          <w:ilvl w:val="0"/>
          <w:numId w:val="0"/>
        </w:numPr>
        <w:ind w:leftChars="0"/>
        <w:rPr>
          <w:rFonts w:hint="eastAsia" w:eastAsia="仿宋_GB2312"/>
          <w:sz w:val="30"/>
          <w:szCs w:val="30"/>
          <w:lang w:val="en-US" w:eastAsia="zh-CN"/>
        </w:rPr>
      </w:pPr>
      <w:r>
        <w:rPr>
          <w:rFonts w:hint="eastAsia" w:eastAsia="仿宋_GB2312"/>
          <w:sz w:val="30"/>
          <w:szCs w:val="30"/>
          <w:lang w:val="en-US" w:eastAsia="zh-CN"/>
        </w:rPr>
        <w:t xml:space="preserve">     运用科学、合理的绩效评价指标、评价标准和评价方法对项目支出进行绩效评价，促进实施单位强化绩效理念，加强管理和监督，保证资金使用的规范性和有效性，为提升管理科学化、精细化水平提供决策依据。</w:t>
      </w:r>
    </w:p>
    <w:p>
      <w:pPr>
        <w:pStyle w:val="2"/>
        <w:numPr>
          <w:ilvl w:val="0"/>
          <w:numId w:val="0"/>
        </w:numPr>
        <w:tabs>
          <w:tab w:val="clear" w:pos="360"/>
        </w:tabs>
        <w:ind w:leftChars="0" w:firstLine="900" w:firstLineChars="300"/>
        <w:rPr>
          <w:rFonts w:hint="eastAsia" w:eastAsia="仿宋_GB2312"/>
          <w:sz w:val="30"/>
          <w:szCs w:val="30"/>
          <w:lang w:val="en-US" w:eastAsia="zh-CN"/>
        </w:rPr>
      </w:pPr>
      <w:r>
        <w:rPr>
          <w:rFonts w:hint="eastAsia" w:eastAsia="仿宋_GB2312"/>
          <w:sz w:val="30"/>
          <w:szCs w:val="30"/>
          <w:lang w:val="en-US" w:eastAsia="zh-CN"/>
        </w:rPr>
        <w:t>2.评价对象和范围</w:t>
      </w:r>
    </w:p>
    <w:p>
      <w:pPr>
        <w:pStyle w:val="2"/>
        <w:numPr>
          <w:ilvl w:val="0"/>
          <w:numId w:val="0"/>
        </w:numPr>
        <w:tabs>
          <w:tab w:val="clear" w:pos="360"/>
        </w:tabs>
        <w:ind w:leftChars="0"/>
        <w:rPr>
          <w:rFonts w:hint="default" w:eastAsia="仿宋_GB2312"/>
          <w:sz w:val="30"/>
          <w:szCs w:val="30"/>
          <w:lang w:val="en-US" w:eastAsia="zh-CN"/>
        </w:rPr>
      </w:pPr>
      <w:r>
        <w:rPr>
          <w:rFonts w:hint="eastAsia" w:eastAsia="仿宋_GB2312"/>
          <w:sz w:val="30"/>
          <w:szCs w:val="30"/>
          <w:lang w:val="en-US" w:eastAsia="zh-CN"/>
        </w:rPr>
        <w:t xml:space="preserve"> 华容县2022年度中央和省级财政城镇保障性安居工程补助资金</w:t>
      </w:r>
    </w:p>
    <w:p>
      <w:pPr>
        <w:keepNext w:val="0"/>
        <w:keepLines w:val="0"/>
        <w:pageBreakBefore w:val="0"/>
        <w:numPr>
          <w:numId w:val="0"/>
        </w:numPr>
        <w:kinsoku/>
        <w:wordWrap/>
        <w:overflowPunct/>
        <w:topLinePunct w:val="0"/>
        <w:autoSpaceDE/>
        <w:autoSpaceDN/>
        <w:bidi w:val="0"/>
        <w:adjustRightInd/>
        <w:snapToGrid/>
        <w:spacing w:line="610" w:lineRule="exact"/>
        <w:ind w:leftChars="200" w:firstLine="300" w:firstLineChars="100"/>
        <w:textAlignment w:val="auto"/>
        <w:rPr>
          <w:rFonts w:hint="eastAsia" w:eastAsia="仿宋_GB2312"/>
          <w:sz w:val="30"/>
          <w:szCs w:val="30"/>
        </w:rPr>
      </w:pPr>
      <w:r>
        <w:rPr>
          <w:rFonts w:hint="eastAsia" w:eastAsia="仿宋_GB2312"/>
          <w:sz w:val="30"/>
          <w:szCs w:val="30"/>
          <w:lang w:eastAsia="zh-CN"/>
        </w:rPr>
        <w:t>（二）</w:t>
      </w:r>
      <w:r>
        <w:rPr>
          <w:rFonts w:hint="eastAsia" w:eastAsia="仿宋_GB2312"/>
          <w:sz w:val="30"/>
          <w:szCs w:val="30"/>
        </w:rPr>
        <w:t>绩效评价原则、评价指标体系(附表说明)、评价方法、 评价标准等。</w:t>
      </w:r>
    </w:p>
    <w:p>
      <w:pPr>
        <w:keepNext w:val="0"/>
        <w:keepLines w:val="0"/>
        <w:pageBreakBefore w:val="0"/>
        <w:numPr>
          <w:ilvl w:val="0"/>
          <w:numId w:val="7"/>
        </w:numPr>
        <w:tabs>
          <w:tab w:val="clear" w:pos="312"/>
        </w:tabs>
        <w:kinsoku/>
        <w:wordWrap/>
        <w:overflowPunct/>
        <w:topLinePunct w:val="0"/>
        <w:autoSpaceDE/>
        <w:autoSpaceDN/>
        <w:bidi w:val="0"/>
        <w:adjustRightInd/>
        <w:snapToGrid/>
        <w:spacing w:line="610" w:lineRule="exact"/>
        <w:ind w:firstLine="900" w:firstLineChars="300"/>
        <w:textAlignment w:val="auto"/>
        <w:rPr>
          <w:rFonts w:hint="eastAsia" w:eastAsia="仿宋_GB2312"/>
          <w:sz w:val="30"/>
          <w:szCs w:val="30"/>
          <w:lang w:val="en-US" w:eastAsia="zh-CN"/>
        </w:rPr>
      </w:pPr>
      <w:r>
        <w:rPr>
          <w:rFonts w:hint="eastAsia" w:eastAsia="仿宋_GB2312"/>
          <w:sz w:val="30"/>
          <w:szCs w:val="30"/>
          <w:lang w:val="en-US" w:eastAsia="zh-CN"/>
        </w:rPr>
        <w:t>科学规范原则。此次绩效评价工作严格执行《财政支出绩效评价管理暂行办法》 及华容县预算绩效管理工作的相关要求与程序，按照科学可行的原则，设计绩效评价工作实施方案，采取定量分析与定性分析相结合的评价方法。</w:t>
      </w:r>
    </w:p>
    <w:p>
      <w:pPr>
        <w:keepNext w:val="0"/>
        <w:keepLines w:val="0"/>
        <w:pageBreakBefore w:val="0"/>
        <w:numPr>
          <w:ilvl w:val="0"/>
          <w:numId w:val="7"/>
        </w:numPr>
        <w:tabs>
          <w:tab w:val="clear" w:pos="312"/>
        </w:tabs>
        <w:kinsoku/>
        <w:wordWrap/>
        <w:overflowPunct/>
        <w:topLinePunct w:val="0"/>
        <w:autoSpaceDE/>
        <w:autoSpaceDN/>
        <w:bidi w:val="0"/>
        <w:adjustRightInd/>
        <w:snapToGrid/>
        <w:spacing w:line="610" w:lineRule="exact"/>
        <w:ind w:firstLine="900" w:firstLineChars="300"/>
        <w:textAlignment w:val="auto"/>
        <w:rPr>
          <w:rFonts w:hint="default" w:eastAsia="仿宋_GB2312"/>
          <w:sz w:val="30"/>
          <w:szCs w:val="30"/>
          <w:lang w:val="en-US" w:eastAsia="zh-CN"/>
        </w:rPr>
      </w:pPr>
      <w:r>
        <w:rPr>
          <w:rFonts w:hint="eastAsia" w:eastAsia="仿宋_GB2312"/>
          <w:sz w:val="30"/>
          <w:szCs w:val="30"/>
          <w:lang w:val="en-US" w:eastAsia="zh-CN"/>
        </w:rPr>
        <w:t>绩效相关原则。此次绩效评价工作重点针对项目实施绩效进行评价，绩效评价工作将紧扣绩效，以评价绩效为主，评价结果将清晰地反映项目实施的综合效果。</w:t>
      </w:r>
    </w:p>
    <w:p>
      <w:pPr>
        <w:spacing w:line="620" w:lineRule="exact"/>
        <w:ind w:firstLine="640" w:firstLineChars="200"/>
        <w:rPr>
          <w:rFonts w:ascii="仿宋" w:hAnsi="仿宋" w:eastAsia="仿宋"/>
          <w:sz w:val="32"/>
          <w:szCs w:val="32"/>
        </w:rPr>
      </w:pPr>
      <w:r>
        <w:rPr>
          <w:rFonts w:hint="eastAsia" w:ascii="仿宋" w:hAnsi="仿宋" w:eastAsia="仿宋"/>
          <w:sz w:val="32"/>
          <w:szCs w:val="32"/>
          <w:lang w:val="en-US" w:eastAsia="zh-CN"/>
        </w:rPr>
        <w:t>3.评价指标体系。</w:t>
      </w:r>
      <w:r>
        <w:rPr>
          <w:rFonts w:hint="eastAsia" w:ascii="仿宋" w:hAnsi="仿宋" w:eastAsia="仿宋"/>
          <w:sz w:val="32"/>
          <w:szCs w:val="32"/>
        </w:rPr>
        <w:t>根据项目特征及具体情况，将项目绩效指标划分为4项一级指标，下设9项二级指标，并依次设定各项目指标的分值分配，资金管理，项目管理，项目效益,居民满意度。本次绩效实行百分制，即各项指标分值之和为100分（详见附件）。</w:t>
      </w:r>
    </w:p>
    <w:p>
      <w:pPr>
        <w:spacing w:line="620" w:lineRule="exact"/>
        <w:ind w:firstLine="640" w:firstLineChars="200"/>
        <w:rPr>
          <w:rFonts w:ascii="仿宋" w:hAnsi="仿宋" w:eastAsia="仿宋"/>
          <w:sz w:val="32"/>
          <w:szCs w:val="32"/>
        </w:rPr>
      </w:pPr>
      <w:r>
        <w:rPr>
          <w:rFonts w:hint="eastAsia" w:ascii="仿宋" w:hAnsi="仿宋" w:eastAsia="仿宋"/>
          <w:sz w:val="32"/>
          <w:szCs w:val="32"/>
          <w:lang w:val="en-US" w:eastAsia="zh-CN"/>
        </w:rPr>
        <w:t>4.评价方法。</w:t>
      </w:r>
      <w:r>
        <w:rPr>
          <w:rFonts w:hint="eastAsia" w:ascii="仿宋" w:hAnsi="仿宋" w:eastAsia="仿宋"/>
          <w:sz w:val="32"/>
          <w:szCs w:val="32"/>
        </w:rPr>
        <w:t>项目采用综合评分法进行绩效评价。</w:t>
      </w:r>
    </w:p>
    <w:p>
      <w:pPr>
        <w:keepNext w:val="0"/>
        <w:keepLines w:val="0"/>
        <w:pageBreakBefore w:val="0"/>
        <w:numPr>
          <w:ilvl w:val="0"/>
          <w:numId w:val="0"/>
        </w:numPr>
        <w:kinsoku/>
        <w:wordWrap/>
        <w:overflowPunct/>
        <w:topLinePunct w:val="0"/>
        <w:autoSpaceDE/>
        <w:autoSpaceDN/>
        <w:bidi w:val="0"/>
        <w:adjustRightInd/>
        <w:snapToGrid/>
        <w:spacing w:line="610" w:lineRule="exact"/>
        <w:ind w:left="600" w:hanging="600" w:hangingChars="200"/>
        <w:textAlignment w:val="auto"/>
        <w:rPr>
          <w:rFonts w:hint="eastAsia" w:eastAsia="仿宋_GB2312"/>
          <w:sz w:val="30"/>
          <w:szCs w:val="30"/>
        </w:rPr>
      </w:pPr>
      <w:r>
        <w:rPr>
          <w:rFonts w:hint="eastAsia" w:eastAsia="仿宋_GB2312"/>
          <w:sz w:val="30"/>
          <w:szCs w:val="30"/>
          <w:lang w:val="en-US" w:eastAsia="zh-CN"/>
        </w:rPr>
        <w:t xml:space="preserve">                                                       （三）</w:t>
      </w:r>
      <w:r>
        <w:rPr>
          <w:rFonts w:hint="eastAsia" w:eastAsia="仿宋_GB2312"/>
          <w:sz w:val="30"/>
          <w:szCs w:val="30"/>
        </w:rPr>
        <w:t>绩效评价工作过程。</w:t>
      </w:r>
    </w:p>
    <w:p>
      <w:pPr>
        <w:widowControl/>
        <w:spacing w:line="600" w:lineRule="exact"/>
        <w:ind w:firstLine="643"/>
        <w:jc w:val="left"/>
        <w:rPr>
          <w:rFonts w:ascii="仿宋" w:hAnsi="仿宋" w:eastAsia="仿宋" w:cs="仿宋"/>
          <w:b/>
          <w:kern w:val="0"/>
          <w:sz w:val="30"/>
          <w:szCs w:val="30"/>
        </w:rPr>
      </w:pPr>
      <w:r>
        <w:rPr>
          <w:rFonts w:hint="eastAsia" w:ascii="仿宋" w:hAnsi="仿宋" w:eastAsia="仿宋" w:cs="仿宋"/>
          <w:b/>
          <w:kern w:val="0"/>
          <w:sz w:val="30"/>
          <w:szCs w:val="30"/>
        </w:rPr>
        <w:t>（一）加强组织领导，科学谋划。</w:t>
      </w:r>
    </w:p>
    <w:p>
      <w:pPr>
        <w:widowControl/>
        <w:spacing w:line="620" w:lineRule="exact"/>
        <w:ind w:firstLine="600" w:firstLineChars="200"/>
        <w:jc w:val="left"/>
        <w:rPr>
          <w:rFonts w:ascii="仿宋" w:hAnsi="仿宋" w:eastAsia="仿宋" w:cs="仿宋"/>
          <w:sz w:val="30"/>
          <w:szCs w:val="30"/>
        </w:rPr>
      </w:pPr>
      <w:r>
        <w:rPr>
          <w:rFonts w:hint="eastAsia" w:ascii="仿宋" w:hAnsi="仿宋" w:eastAsia="仿宋"/>
          <w:sz w:val="30"/>
          <w:szCs w:val="30"/>
        </w:rPr>
        <w:t>为切实抓好保障性住房建设这个民生工程，县委县政府高度重视，进一步明确县住房保障工作领导小组由分管副县长任组长，多次召开了专题会议研究住房保障工作，集中研究解决住房保障工作中存在的一些困难和问题，通过会议纪要形式来全面协调矛盾、狠抓督查与落实。对保障房建设的手续报批和审查，要求各相关职能部门能集中时间和精力，明确专人负责，将所有保障房手续优先办、从快办、集中办，保持绿色通道的真正通畅。</w:t>
      </w:r>
    </w:p>
    <w:p>
      <w:pPr>
        <w:spacing w:line="620" w:lineRule="exact"/>
        <w:ind w:firstLine="600" w:firstLineChars="200"/>
        <w:rPr>
          <w:rFonts w:ascii="仿宋" w:hAnsi="仿宋" w:eastAsia="仿宋"/>
          <w:sz w:val="30"/>
          <w:szCs w:val="30"/>
        </w:rPr>
      </w:pPr>
      <w:r>
        <w:rPr>
          <w:rFonts w:hint="eastAsia" w:ascii="仿宋" w:hAnsi="仿宋" w:eastAsia="仿宋" w:cs="宋体"/>
          <w:sz w:val="30"/>
          <w:szCs w:val="30"/>
        </w:rPr>
        <w:t>近年来，华容县政府先后制定出台了一系列支持保障性住房建设的意见和实施办法，并对保障性住房建设的规划设计、行政事业性收费等给予了充分的优惠减免。去年以来，顺应国家和省棚户区改造政策的变化，连续制定出台了《关于促进房地产业持续稳定健康发展的实施意见》《华容县中心城区棚户区改造项目征收安置实施方案》《华容县公共租赁住房管理暂行办法》等一系列政策规定，为加快推进我县保障性住房建设提供了坚强有力的政策支持和制度保障。</w:t>
      </w:r>
    </w:p>
    <w:p>
      <w:pPr>
        <w:widowControl/>
        <w:spacing w:line="600" w:lineRule="exact"/>
        <w:ind w:firstLine="643"/>
        <w:jc w:val="left"/>
        <w:rPr>
          <w:rFonts w:ascii="仿宋" w:hAnsi="仿宋" w:eastAsia="仿宋" w:cs="仿宋"/>
          <w:sz w:val="30"/>
          <w:szCs w:val="30"/>
        </w:rPr>
      </w:pPr>
      <w:r>
        <w:rPr>
          <w:rFonts w:hint="eastAsia" w:ascii="仿宋" w:hAnsi="仿宋" w:eastAsia="仿宋" w:cs="仿宋"/>
          <w:b/>
          <w:kern w:val="0"/>
          <w:sz w:val="30"/>
          <w:szCs w:val="30"/>
        </w:rPr>
        <w:t>（二）规范建设程序，确保工程质量。</w:t>
      </w:r>
    </w:p>
    <w:p>
      <w:pPr>
        <w:spacing w:line="620" w:lineRule="exact"/>
        <w:ind w:firstLine="645"/>
        <w:rPr>
          <w:rFonts w:ascii="仿宋" w:hAnsi="仿宋" w:eastAsia="仿宋" w:cs="仿宋"/>
          <w:kern w:val="0"/>
          <w:sz w:val="30"/>
          <w:szCs w:val="30"/>
        </w:rPr>
      </w:pPr>
      <w:r>
        <w:rPr>
          <w:rFonts w:hint="eastAsia" w:ascii="仿宋" w:hAnsi="仿宋" w:eastAsia="仿宋"/>
          <w:sz w:val="30"/>
          <w:szCs w:val="30"/>
        </w:rPr>
        <w:t>在保障性安居工程项目的建设过程中，为了确保工程质量、进度和安全文明施工，严格按照基本建设程序和相关制度，严格按照合同、工程监理大纲和相关的法律法规，对工程的投资、质量、进度、安全和文明施工实现全过程，全方位的监督管理，努力化解工程风险，积极组织隐蔽性工程验收工作，确保项目有力有效推进。为了提高工作质量的效率，明确“规范管理，强化责任，稳中求进，确保安全，质量第一”的指导思想，制定了《合同管理制度》《变更设计管理制度》《华容县住房保障资金管理实施办法》</w:t>
      </w:r>
      <w:r>
        <w:rPr>
          <w:rFonts w:hint="eastAsia" w:ascii="仿宋" w:hAnsi="仿宋" w:eastAsia="仿宋" w:cs="宋体"/>
          <w:sz w:val="30"/>
          <w:szCs w:val="30"/>
        </w:rPr>
        <w:t>《华容县国有土地上房屋征收补偿安置方案》</w:t>
      </w:r>
      <w:r>
        <w:rPr>
          <w:rFonts w:hint="eastAsia" w:ascii="仿宋" w:hAnsi="仿宋" w:eastAsia="仿宋"/>
          <w:sz w:val="30"/>
          <w:szCs w:val="30"/>
        </w:rPr>
        <w:t>等相关制度，从思想观念、资金管理、文明施工、设计变更、计量支付等方面入手，做到未雨绸缪，防患于未然，严把安全、质量和文明施工关，严控投资和进度关。</w:t>
      </w:r>
    </w:p>
    <w:p>
      <w:pPr>
        <w:widowControl/>
        <w:spacing w:line="600" w:lineRule="exact"/>
        <w:ind w:firstLine="643"/>
        <w:jc w:val="left"/>
        <w:rPr>
          <w:rFonts w:ascii="仿宋" w:hAnsi="仿宋" w:eastAsia="仿宋" w:cs="仿宋"/>
          <w:sz w:val="30"/>
          <w:szCs w:val="30"/>
        </w:rPr>
      </w:pPr>
      <w:r>
        <w:rPr>
          <w:rFonts w:hint="eastAsia" w:ascii="仿宋" w:hAnsi="仿宋" w:eastAsia="仿宋" w:cs="仿宋"/>
          <w:b/>
          <w:kern w:val="0"/>
          <w:sz w:val="30"/>
          <w:szCs w:val="30"/>
        </w:rPr>
        <w:t>（三）建立长效机制，落实后期管理。</w:t>
      </w:r>
    </w:p>
    <w:p>
      <w:pPr>
        <w:pStyle w:val="16"/>
        <w:shd w:val="clear" w:color="auto" w:fill="FFFFFF"/>
        <w:spacing w:line="360" w:lineRule="atLeast"/>
        <w:ind w:firstLine="640"/>
        <w:jc w:val="both"/>
        <w:rPr>
          <w:rFonts w:ascii="仿宋" w:hAnsi="仿宋" w:eastAsia="仿宋" w:cs="Times New Roman"/>
          <w:kern w:val="2"/>
          <w:sz w:val="30"/>
          <w:szCs w:val="30"/>
        </w:rPr>
      </w:pPr>
      <w:r>
        <w:rPr>
          <w:rFonts w:hint="eastAsia" w:ascii="仿宋" w:hAnsi="仿宋" w:eastAsia="仿宋" w:cs="Times New Roman"/>
          <w:kern w:val="2"/>
          <w:sz w:val="30"/>
          <w:szCs w:val="30"/>
        </w:rPr>
        <w:t>为进一步加强我县保障性住房后续管理，构建和谐的人居环境，我县积极完善机制、优化管理手段开展保障性住房后续管理工作。</w:t>
      </w:r>
      <w:r>
        <w:rPr>
          <w:rFonts w:hint="eastAsia" w:ascii="仿宋" w:hAnsi="仿宋" w:eastAsia="仿宋" w:cs="Times New Roman"/>
          <w:b/>
          <w:kern w:val="2"/>
          <w:sz w:val="30"/>
          <w:szCs w:val="30"/>
        </w:rPr>
        <w:t>一是</w:t>
      </w:r>
      <w:r>
        <w:rPr>
          <w:rFonts w:hint="eastAsia" w:ascii="仿宋" w:hAnsi="Times New Roman" w:eastAsia="仿宋" w:cs="Times New Roman"/>
          <w:b/>
          <w:kern w:val="2"/>
          <w:sz w:val="30"/>
          <w:szCs w:val="30"/>
        </w:rPr>
        <w:t> </w:t>
      </w:r>
      <w:r>
        <w:rPr>
          <w:rFonts w:hint="eastAsia" w:ascii="仿宋" w:hAnsi="仿宋" w:eastAsia="仿宋" w:cs="Times New Roman"/>
          <w:b/>
          <w:kern w:val="2"/>
          <w:sz w:val="30"/>
          <w:szCs w:val="30"/>
        </w:rPr>
        <w:t>严格退出机制，建立起协管机制。</w:t>
      </w:r>
      <w:r>
        <w:rPr>
          <w:rFonts w:hint="eastAsia" w:ascii="仿宋" w:hAnsi="仿宋" w:eastAsia="仿宋" w:cs="Times New Roman"/>
          <w:bCs/>
          <w:kern w:val="2"/>
          <w:sz w:val="30"/>
          <w:szCs w:val="30"/>
        </w:rPr>
        <w:t>开展保障性住房“三清”工作，</w:t>
      </w:r>
      <w:r>
        <w:rPr>
          <w:rFonts w:hint="eastAsia" w:ascii="仿宋" w:hAnsi="仿宋" w:eastAsia="仿宋" w:cs="Times New Roman"/>
          <w:kern w:val="2"/>
          <w:sz w:val="30"/>
          <w:szCs w:val="30"/>
        </w:rPr>
        <w:t>对小区人员入住情况进行动态跟踪，对开私家车、私自转租、出借、转让、调换、无正当理由长期空置、改变使用用途骗取住房、恶意欠租等违规承租行为，我们建立起了协管机制，与街道、民政、公安、房产、人社等部门信息共享，及时掌握保障家庭的低保、房产记录、养老金、购车等情况，从而了解保障家庭实际情况，提供核查报告，达到及时收缴租金和清退不符合条件的住户。</w:t>
      </w:r>
      <w:r>
        <w:rPr>
          <w:rFonts w:hint="eastAsia" w:ascii="仿宋" w:hAnsi="仿宋" w:eastAsia="仿宋" w:cs="Times New Roman"/>
          <w:b/>
          <w:kern w:val="2"/>
          <w:sz w:val="30"/>
          <w:szCs w:val="30"/>
        </w:rPr>
        <w:t>二是实行物管机制，规范小区管理。</w:t>
      </w:r>
      <w:r>
        <w:rPr>
          <w:rFonts w:ascii="仿宋" w:hAnsi="仿宋" w:eastAsia="仿宋" w:cs="Times New Roman"/>
          <w:kern w:val="2"/>
          <w:sz w:val="30"/>
          <w:szCs w:val="30"/>
        </w:rPr>
        <w:t>在</w:t>
      </w:r>
      <w:r>
        <w:rPr>
          <w:rFonts w:hint="eastAsia" w:ascii="仿宋" w:hAnsi="仿宋" w:eastAsia="仿宋" w:cs="Times New Roman"/>
          <w:kern w:val="2"/>
          <w:sz w:val="30"/>
          <w:szCs w:val="30"/>
        </w:rPr>
        <w:t>保障性住房</w:t>
      </w:r>
      <w:r>
        <w:rPr>
          <w:rFonts w:ascii="仿宋" w:hAnsi="仿宋" w:eastAsia="仿宋" w:cs="Times New Roman"/>
          <w:kern w:val="2"/>
          <w:sz w:val="30"/>
          <w:szCs w:val="30"/>
        </w:rPr>
        <w:t>后续管理工作中，</w:t>
      </w:r>
      <w:r>
        <w:rPr>
          <w:rFonts w:hint="eastAsia" w:ascii="仿宋" w:hAnsi="仿宋" w:eastAsia="仿宋" w:cs="Times New Roman"/>
          <w:kern w:val="2"/>
          <w:sz w:val="30"/>
          <w:szCs w:val="30"/>
        </w:rPr>
        <w:t>我们</w:t>
      </w:r>
      <w:r>
        <w:rPr>
          <w:rFonts w:ascii="仿宋" w:hAnsi="仿宋" w:eastAsia="仿宋" w:cs="Times New Roman"/>
          <w:kern w:val="2"/>
          <w:sz w:val="30"/>
          <w:szCs w:val="30"/>
        </w:rPr>
        <w:t>以“为群众提供良好的居住环境，使群众住的舒心，住的安心”为宗旨，从前期着手，</w:t>
      </w:r>
      <w:r>
        <w:rPr>
          <w:rFonts w:hint="eastAsia" w:ascii="仿宋" w:hAnsi="仿宋" w:eastAsia="仿宋" w:cs="Times New Roman"/>
          <w:kern w:val="2"/>
          <w:sz w:val="30"/>
          <w:szCs w:val="30"/>
        </w:rPr>
        <w:t>实行保障性住房</w:t>
      </w:r>
      <w:r>
        <w:rPr>
          <w:rFonts w:ascii="仿宋" w:hAnsi="仿宋" w:eastAsia="仿宋" w:cs="Times New Roman"/>
          <w:kern w:val="2"/>
          <w:sz w:val="30"/>
          <w:szCs w:val="30"/>
        </w:rPr>
        <w:t>小区</w:t>
      </w:r>
      <w:r>
        <w:rPr>
          <w:rFonts w:hint="eastAsia" w:ascii="仿宋" w:hAnsi="仿宋" w:eastAsia="仿宋" w:cs="Times New Roman"/>
          <w:kern w:val="2"/>
          <w:sz w:val="30"/>
          <w:szCs w:val="30"/>
        </w:rPr>
        <w:t>物业管理，</w:t>
      </w:r>
      <w:r>
        <w:rPr>
          <w:rFonts w:ascii="仿宋" w:hAnsi="仿宋" w:eastAsia="仿宋" w:cs="Times New Roman"/>
          <w:kern w:val="2"/>
          <w:sz w:val="30"/>
          <w:szCs w:val="30"/>
        </w:rPr>
        <w:t>不断完善小区公共配套设施，提高小区硬件管理水平，真正</w:t>
      </w:r>
      <w:r>
        <w:rPr>
          <w:rFonts w:hint="eastAsia" w:ascii="仿宋" w:hAnsi="仿宋" w:eastAsia="仿宋" w:cs="Times New Roman"/>
          <w:kern w:val="2"/>
          <w:sz w:val="30"/>
          <w:szCs w:val="30"/>
        </w:rPr>
        <w:t>使</w:t>
      </w:r>
      <w:r>
        <w:rPr>
          <w:rFonts w:ascii="仿宋" w:hAnsi="仿宋" w:eastAsia="仿宋" w:cs="Times New Roman"/>
          <w:kern w:val="2"/>
          <w:sz w:val="30"/>
          <w:szCs w:val="30"/>
        </w:rPr>
        <w:t>低收入群体“住得上房，住得起房，住上好房”</w:t>
      </w:r>
      <w:r>
        <w:rPr>
          <w:rFonts w:hint="eastAsia" w:ascii="仿宋" w:hAnsi="仿宋" w:eastAsia="仿宋" w:cs="Times New Roman"/>
          <w:kern w:val="2"/>
          <w:sz w:val="30"/>
          <w:szCs w:val="30"/>
        </w:rPr>
        <w:t>， 努力营造了整洁、优美、舒适、有序的保障性住房小区人居环境。</w:t>
      </w:r>
    </w:p>
    <w:p>
      <w:pPr>
        <w:widowControl/>
        <w:spacing w:line="600" w:lineRule="exact"/>
        <w:ind w:firstLine="643"/>
        <w:jc w:val="left"/>
        <w:rPr>
          <w:rFonts w:ascii="仿宋" w:hAnsi="仿宋" w:eastAsia="仿宋" w:cs="仿宋"/>
          <w:sz w:val="30"/>
          <w:szCs w:val="30"/>
        </w:rPr>
      </w:pPr>
      <w:r>
        <w:rPr>
          <w:rFonts w:hint="eastAsia" w:ascii="仿宋" w:hAnsi="仿宋" w:eastAsia="仿宋" w:cs="仿宋"/>
          <w:b/>
          <w:kern w:val="0"/>
          <w:sz w:val="30"/>
          <w:szCs w:val="30"/>
        </w:rPr>
        <w:t>（四）强化为民理念，更好服务群众。</w:t>
      </w:r>
    </w:p>
    <w:p>
      <w:pPr>
        <w:widowControl/>
        <w:shd w:val="clear" w:color="auto" w:fill="FFFFFF"/>
        <w:spacing w:line="432" w:lineRule="auto"/>
        <w:ind w:firstLine="600" w:firstLineChars="200"/>
        <w:jc w:val="left"/>
        <w:rPr>
          <w:rFonts w:ascii="仿宋" w:hAnsi="仿宋" w:eastAsia="仿宋"/>
          <w:sz w:val="30"/>
          <w:szCs w:val="30"/>
        </w:rPr>
      </w:pPr>
      <w:r>
        <w:rPr>
          <w:rFonts w:hint="eastAsia" w:ascii="仿宋" w:hAnsi="仿宋" w:eastAsia="仿宋"/>
          <w:sz w:val="30"/>
          <w:szCs w:val="30"/>
        </w:rPr>
        <w:t>由于工作扎实，程序规范，操作公开透明，保障性住房建设做到了公开、公正、公平，取得了较好社会反响。为更好地了解保障性住房建设群众满意度情况，县住房保障服务中心开展了城镇保障性安居工程居民满意度调查，调查采取重点和随机抽样相结合的调查方式，从公租房承租户和棚户区改造群众中选取了5%的居民进行入户调查，调查结果表明，居民满意度很高，对其政策落实情况满意度也较高，同时希望切实加大其政策落实的力度。</w:t>
      </w:r>
    </w:p>
    <w:p>
      <w:pPr>
        <w:widowControl/>
        <w:spacing w:line="600" w:lineRule="exact"/>
        <w:ind w:firstLine="643"/>
        <w:jc w:val="left"/>
        <w:rPr>
          <w:rFonts w:ascii="仿宋" w:hAnsi="仿宋" w:eastAsia="仿宋" w:cs="仿宋"/>
          <w:sz w:val="30"/>
          <w:szCs w:val="30"/>
        </w:rPr>
      </w:pPr>
      <w:r>
        <w:rPr>
          <w:rFonts w:hint="eastAsia" w:ascii="仿宋" w:hAnsi="仿宋" w:eastAsia="仿宋" w:cs="仿宋"/>
          <w:b/>
          <w:kern w:val="0"/>
          <w:sz w:val="30"/>
          <w:szCs w:val="30"/>
        </w:rPr>
        <w:t>（五）</w:t>
      </w:r>
      <w:r>
        <w:rPr>
          <w:rFonts w:hint="eastAsia" w:ascii="仿宋" w:hAnsi="仿宋" w:eastAsia="仿宋"/>
          <w:b/>
          <w:sz w:val="30"/>
          <w:szCs w:val="30"/>
        </w:rPr>
        <w:t>加大</w:t>
      </w:r>
      <w:r>
        <w:rPr>
          <w:rFonts w:hint="eastAsia" w:ascii="仿宋" w:hAnsi="仿宋" w:eastAsia="仿宋" w:cs="仿宋"/>
          <w:b/>
          <w:kern w:val="0"/>
          <w:sz w:val="30"/>
          <w:szCs w:val="30"/>
        </w:rPr>
        <w:t>宣传力度，</w:t>
      </w:r>
      <w:r>
        <w:rPr>
          <w:rFonts w:hint="eastAsia" w:ascii="仿宋" w:hAnsi="仿宋" w:eastAsia="仿宋"/>
          <w:b/>
          <w:sz w:val="30"/>
          <w:szCs w:val="30"/>
        </w:rPr>
        <w:t>确保政策普及</w:t>
      </w:r>
      <w:r>
        <w:rPr>
          <w:rFonts w:hint="eastAsia" w:ascii="仿宋" w:hAnsi="仿宋" w:eastAsia="仿宋" w:cs="仿宋"/>
          <w:b/>
          <w:kern w:val="0"/>
          <w:sz w:val="30"/>
          <w:szCs w:val="30"/>
        </w:rPr>
        <w:t>。</w:t>
      </w:r>
    </w:p>
    <w:p>
      <w:pPr>
        <w:pStyle w:val="8"/>
        <w:widowControl/>
        <w:spacing w:before="0" w:beforeAutospacing="0" w:after="0" w:afterAutospacing="0" w:line="600" w:lineRule="exact"/>
        <w:ind w:firstLine="640"/>
        <w:rPr>
          <w:rFonts w:ascii="仿宋" w:hAnsi="仿宋" w:eastAsia="仿宋" w:cs="仿宋"/>
          <w:sz w:val="30"/>
          <w:szCs w:val="30"/>
        </w:rPr>
      </w:pPr>
      <w:r>
        <w:rPr>
          <w:rFonts w:hint="eastAsia" w:ascii="仿宋" w:hAnsi="仿宋" w:eastAsia="仿宋"/>
          <w:sz w:val="30"/>
          <w:szCs w:val="30"/>
        </w:rPr>
        <w:t>我们通过电视台、今日华容报、门户网站、电子显示屏、街道专栏等多种形式对政策规定、申请审核过程、房源供应以及项目建设情况进行全方位宣传并在中心城区闹市点张贴申报、审核公告。</w:t>
      </w:r>
      <w:r>
        <w:rPr>
          <w:rFonts w:hint="eastAsia" w:ascii="仿宋" w:hAnsi="仿宋" w:eastAsia="仿宋" w:cs="仿宋"/>
          <w:sz w:val="30"/>
          <w:szCs w:val="30"/>
        </w:rPr>
        <w:t xml:space="preserve">充分利用保障性住房小区出入口、电梯、广场等载体，悬挂宣传条幅，制作信息宣传栏，安装电子宣讲器等，宣传保障性住房相关政策。 </w:t>
      </w:r>
    </w:p>
    <w:p>
      <w:pPr>
        <w:pStyle w:val="2"/>
        <w:numPr>
          <w:ilvl w:val="0"/>
          <w:numId w:val="0"/>
        </w:numPr>
        <w:ind w:leftChars="200"/>
        <w:rPr>
          <w:rFonts w:hint="eastAsia"/>
        </w:rPr>
      </w:pPr>
    </w:p>
    <w:p>
      <w:pPr>
        <w:keepNext w:val="0"/>
        <w:keepLines w:val="0"/>
        <w:pageBreakBefore w:val="0"/>
        <w:numPr>
          <w:ilvl w:val="0"/>
          <w:numId w:val="8"/>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评价结果：通过对项目实施的每个进程进行认真地评价，评价结果为优秀，自评分</w:t>
      </w:r>
      <w:r>
        <w:rPr>
          <w:rFonts w:hint="eastAsia" w:ascii="仿宋" w:hAnsi="仿宋" w:eastAsia="仿宋"/>
          <w:sz w:val="32"/>
          <w:szCs w:val="32"/>
          <w:lang w:val="en-US" w:eastAsia="zh-CN"/>
        </w:rPr>
        <w:t>99</w:t>
      </w:r>
      <w:r>
        <w:rPr>
          <w:rFonts w:hint="eastAsia" w:ascii="仿宋" w:hAnsi="仿宋" w:eastAsia="仿宋"/>
          <w:sz w:val="32"/>
          <w:szCs w:val="32"/>
        </w:rPr>
        <w:t>分（附相关评分表）。</w:t>
      </w:r>
    </w:p>
    <w:p>
      <w:pPr>
        <w:pStyle w:val="2"/>
        <w:numPr>
          <w:ilvl w:val="0"/>
          <w:numId w:val="0"/>
        </w:numPr>
        <w:ind w:leftChars="0"/>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为了使保障性安居工程项目顺利实施，成立了华容县保障性安居工程领导小组，该小组是项目的决策机构。领导小组下设办公室，办公室设在县住房保障服务中心，负责制定和实施保障性安居工程项目年度计划，负责城镇保障性安居工程管理相关政策、资金管理（分配）办法、绩效评价方法、年度计划、中长期规划、开工及基本建设情况以及保障性住房入住对象的公示公开。在项目建设过程中，为确保工程质量、进度和安全文明施工，严格按照基本建设程序对工程的投资、质量、进度、安全和文明施工实现全过程、全方位的监督管理，努力化解工程风险，积极组织隐蔽性工程验收，项目从前期准备、施工，完成一系列过程都进展顺利，项目完成质量为优。</w:t>
      </w:r>
    </w:p>
    <w:p>
      <w:pPr>
        <w:keepNext w:val="0"/>
        <w:keepLines w:val="0"/>
        <w:pageBreakBefore w:val="0"/>
        <w:numPr>
          <w:numId w:val="0"/>
        </w:numPr>
        <w:kinsoku/>
        <w:wordWrap/>
        <w:overflowPunct/>
        <w:topLinePunct w:val="0"/>
        <w:autoSpaceDE/>
        <w:autoSpaceDN/>
        <w:bidi w:val="0"/>
        <w:adjustRightInd/>
        <w:snapToGrid/>
        <w:spacing w:line="610" w:lineRule="exact"/>
        <w:ind w:leftChars="200" w:firstLine="300" w:firstLineChars="100"/>
        <w:textAlignment w:val="auto"/>
        <w:rPr>
          <w:rFonts w:hint="eastAsia" w:eastAsia="仿宋_GB2312"/>
          <w:sz w:val="30"/>
          <w:szCs w:val="30"/>
        </w:rPr>
      </w:pPr>
      <w:r>
        <w:rPr>
          <w:rFonts w:hint="eastAsia" w:eastAsia="仿宋_GB2312"/>
          <w:sz w:val="30"/>
          <w:szCs w:val="30"/>
          <w:lang w:val="en-US" w:eastAsia="zh-CN"/>
        </w:rPr>
        <w:t>(二）、</w:t>
      </w:r>
      <w:r>
        <w:rPr>
          <w:rFonts w:hint="eastAsia" w:eastAsia="仿宋_GB2312"/>
          <w:sz w:val="30"/>
          <w:szCs w:val="30"/>
        </w:rPr>
        <w:t>项目效益情况。</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①项目预期目标完成程度。202</w:t>
      </w:r>
      <w:r>
        <w:rPr>
          <w:rFonts w:hint="eastAsia" w:ascii="仿宋" w:hAnsi="仿宋" w:eastAsia="仿宋"/>
          <w:sz w:val="32"/>
          <w:szCs w:val="32"/>
          <w:lang w:val="en-US" w:eastAsia="zh-CN"/>
        </w:rPr>
        <w:t>2</w:t>
      </w:r>
      <w:r>
        <w:rPr>
          <w:rFonts w:hint="eastAsia" w:ascii="仿宋" w:hAnsi="仿宋" w:eastAsia="仿宋"/>
          <w:sz w:val="32"/>
          <w:szCs w:val="32"/>
        </w:rPr>
        <w:t>年度，全面开工建设公租房</w:t>
      </w:r>
      <w:r>
        <w:rPr>
          <w:rFonts w:hint="eastAsia" w:ascii="仿宋" w:hAnsi="仿宋" w:eastAsia="仿宋"/>
          <w:sz w:val="32"/>
          <w:szCs w:val="32"/>
          <w:lang w:val="en-US" w:eastAsia="zh-CN"/>
        </w:rPr>
        <w:t>250</w:t>
      </w:r>
      <w:r>
        <w:rPr>
          <w:rFonts w:hint="eastAsia" w:ascii="仿宋" w:hAnsi="仿宋" w:eastAsia="仿宋"/>
          <w:sz w:val="32"/>
          <w:szCs w:val="32"/>
        </w:rPr>
        <w:t>套</w:t>
      </w:r>
      <w:r>
        <w:rPr>
          <w:rFonts w:hint="eastAsia" w:ascii="仿宋" w:hAnsi="仿宋" w:eastAsia="仿宋"/>
          <w:sz w:val="32"/>
          <w:szCs w:val="32"/>
          <w:lang w:eastAsia="zh-CN"/>
        </w:rPr>
        <w:t>，保租房</w:t>
      </w:r>
      <w:r>
        <w:rPr>
          <w:rFonts w:hint="eastAsia" w:ascii="仿宋" w:hAnsi="仿宋" w:eastAsia="仿宋"/>
          <w:sz w:val="32"/>
          <w:szCs w:val="32"/>
        </w:rPr>
        <w:t>15</w:t>
      </w:r>
      <w:r>
        <w:rPr>
          <w:rFonts w:hint="eastAsia" w:ascii="仿宋" w:hAnsi="仿宋" w:eastAsia="仿宋"/>
          <w:sz w:val="32"/>
          <w:szCs w:val="32"/>
          <w:lang w:val="en-US" w:eastAsia="zh-CN"/>
        </w:rPr>
        <w:t>4</w:t>
      </w:r>
      <w:r>
        <w:rPr>
          <w:rFonts w:hint="eastAsia" w:ascii="仿宋" w:hAnsi="仿宋" w:eastAsia="仿宋"/>
          <w:sz w:val="32"/>
          <w:szCs w:val="32"/>
        </w:rPr>
        <w:t>套。完成棚户区改造</w:t>
      </w:r>
      <w:r>
        <w:rPr>
          <w:rFonts w:hint="eastAsia" w:ascii="仿宋" w:hAnsi="仿宋" w:eastAsia="仿宋"/>
          <w:sz w:val="32"/>
          <w:szCs w:val="32"/>
          <w:lang w:eastAsia="zh-CN"/>
        </w:rPr>
        <w:t>货币安置</w:t>
      </w:r>
      <w:r>
        <w:rPr>
          <w:rFonts w:hint="eastAsia" w:ascii="仿宋" w:hAnsi="仿宋" w:eastAsia="仿宋"/>
          <w:sz w:val="32"/>
          <w:szCs w:val="32"/>
          <w:lang w:val="en-US" w:eastAsia="zh-CN"/>
        </w:rPr>
        <w:t>60</w:t>
      </w:r>
      <w:r>
        <w:rPr>
          <w:rFonts w:hint="eastAsia" w:ascii="仿宋" w:hAnsi="仿宋" w:eastAsia="仿宋"/>
          <w:sz w:val="32"/>
          <w:szCs w:val="32"/>
        </w:rPr>
        <w:t>户。发放租赁补贴10</w:t>
      </w:r>
      <w:r>
        <w:rPr>
          <w:rFonts w:hint="eastAsia" w:ascii="仿宋" w:hAnsi="仿宋" w:eastAsia="仿宋"/>
          <w:sz w:val="32"/>
          <w:szCs w:val="32"/>
          <w:lang w:val="en-US" w:eastAsia="zh-CN"/>
        </w:rPr>
        <w:t>70</w:t>
      </w:r>
      <w:r>
        <w:rPr>
          <w:rFonts w:hint="eastAsia" w:ascii="仿宋" w:hAnsi="仿宋" w:eastAsia="仿宋"/>
          <w:sz w:val="32"/>
          <w:szCs w:val="32"/>
        </w:rPr>
        <w:t>户，发放金额1</w:t>
      </w:r>
      <w:r>
        <w:rPr>
          <w:rFonts w:hint="eastAsia" w:ascii="仿宋" w:hAnsi="仿宋" w:eastAsia="仿宋"/>
          <w:sz w:val="32"/>
          <w:szCs w:val="32"/>
          <w:lang w:val="en-US" w:eastAsia="zh-CN"/>
        </w:rPr>
        <w:t>64.4</w:t>
      </w:r>
      <w:r>
        <w:rPr>
          <w:rFonts w:hint="eastAsia" w:ascii="仿宋" w:hAnsi="仿宋" w:eastAsia="仿宋"/>
          <w:sz w:val="32"/>
          <w:szCs w:val="32"/>
        </w:rPr>
        <w:t>万元，超额完成了预期目标。</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②项目实施对经济和社会的影响。</w:t>
      </w:r>
      <w:bookmarkStart w:id="1" w:name="_GoBack"/>
      <w:bookmarkEnd w:id="1"/>
    </w:p>
    <w:p>
      <w:pPr>
        <w:spacing w:line="620" w:lineRule="exact"/>
        <w:ind w:firstLine="640" w:firstLineChars="200"/>
        <w:rPr>
          <w:rFonts w:hint="eastAsia" w:ascii="仿宋" w:hAnsi="仿宋" w:eastAsia="仿宋"/>
          <w:sz w:val="32"/>
          <w:szCs w:val="32"/>
        </w:rPr>
      </w:pPr>
      <w:r>
        <w:rPr>
          <w:rFonts w:hint="eastAsia" w:ascii="仿宋" w:hAnsi="仿宋" w:eastAsia="仿宋"/>
          <w:sz w:val="32"/>
          <w:szCs w:val="32"/>
        </w:rPr>
        <w:t>社会效益：针对保障对象的不同需求，采取发放租赁补贴、提供公共租赁住房实物配租，棚户区改造货币安置等多种方式，减轻了困难家庭的租房或购房负担，改善了基本居住条件，使城市低收入家庭有房可住、安居乐业，“不仅住得上，而且住得好”，全县城镇保障性安居工程保障人群覆盖范围进一步扩大，同时，可增加当地的就业机会，解决剩余劳动力问题。</w:t>
      </w:r>
    </w:p>
    <w:p>
      <w:pPr>
        <w:spacing w:line="620" w:lineRule="exact"/>
        <w:ind w:firstLine="640" w:firstLineChars="200"/>
        <w:rPr>
          <w:rFonts w:ascii="仿宋" w:hAnsi="仿宋" w:eastAsia="仿宋"/>
          <w:sz w:val="32"/>
          <w:szCs w:val="32"/>
        </w:rPr>
      </w:pPr>
      <w:r>
        <w:rPr>
          <w:rFonts w:hint="eastAsia" w:ascii="仿宋" w:hAnsi="仿宋" w:eastAsia="仿宋"/>
          <w:sz w:val="32"/>
          <w:szCs w:val="32"/>
        </w:rPr>
        <w:t>经济效益：拉动经济，促进发展，保障房建设项目持续时间较长，投资额较大，为华容县经济增长起到了较大的拉动作用。同时，</w:t>
      </w:r>
      <w:r>
        <w:rPr>
          <w:rFonts w:hint="eastAsia" w:ascii="仿宋" w:hAnsi="仿宋" w:eastAsia="仿宋"/>
          <w:sz w:val="32"/>
          <w:szCs w:val="32"/>
          <w:lang w:eastAsia="zh-CN"/>
        </w:rPr>
        <w:t>保</w:t>
      </w:r>
      <w:r>
        <w:rPr>
          <w:rFonts w:hint="eastAsia" w:ascii="仿宋" w:hAnsi="仿宋" w:eastAsia="仿宋"/>
          <w:sz w:val="32"/>
          <w:szCs w:val="32"/>
        </w:rPr>
        <w:t>租房项目由建筑企业承建，保证了这些企业的持续经营，为其发展创造了有利条件，效益十分显著。</w:t>
      </w:r>
    </w:p>
    <w:p>
      <w:pPr>
        <w:pStyle w:val="2"/>
        <w:numPr>
          <w:ilvl w:val="0"/>
          <w:numId w:val="0"/>
        </w:numPr>
        <w:ind w:leftChars="200"/>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590" w:lineRule="exact"/>
        <w:ind w:firstLine="602" w:firstLineChars="200"/>
        <w:rPr>
          <w:rFonts w:ascii="仿宋" w:hAnsi="仿宋" w:eastAsia="仿宋"/>
          <w:b/>
          <w:bCs/>
          <w:sz w:val="30"/>
          <w:szCs w:val="30"/>
        </w:rPr>
      </w:pPr>
      <w:r>
        <w:rPr>
          <w:rFonts w:hint="eastAsia" w:ascii="仿宋" w:hAnsi="仿宋" w:eastAsia="仿宋"/>
          <w:b/>
          <w:bCs/>
          <w:sz w:val="30"/>
          <w:szCs w:val="30"/>
        </w:rPr>
        <w:t>存在困难及问题</w:t>
      </w:r>
    </w:p>
    <w:p>
      <w:pPr>
        <w:spacing w:line="590" w:lineRule="exact"/>
        <w:ind w:firstLine="600" w:firstLineChars="200"/>
        <w:rPr>
          <w:rFonts w:ascii="仿宋" w:hAnsi="仿宋" w:eastAsia="仿宋"/>
          <w:b/>
          <w:bCs/>
          <w:sz w:val="30"/>
          <w:szCs w:val="30"/>
        </w:rPr>
      </w:pPr>
      <w:r>
        <w:rPr>
          <w:rFonts w:hint="eastAsia" w:ascii="仿宋" w:hAnsi="仿宋" w:eastAsia="仿宋"/>
          <w:sz w:val="30"/>
          <w:szCs w:val="30"/>
        </w:rPr>
        <w:t>我县对保障性住房的需求量较大，但因近年来疫情影响，经济下行，县级财政资金困难，对项目申报有需求，但中央及省市补助资金占比太低，县级财政无法将资金缺口完全配套到位，且租金收入低，项目无法产生收益，甚至连后期的维护维修都无法保障，对社会资本的也没有吸引力，建议上级领导部门加大对保障性住房建设资金的支持力度，确保保障性安居工程项目的有序推进。</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C58313-C82C-4A24-BF71-9D187FA5A2D2}"/>
  </w:font>
  <w:font w:name="Arial">
    <w:panose1 w:val="020B0604020202020204"/>
    <w:charset w:val="01"/>
    <w:family w:val="swiss"/>
    <w:pitch w:val="default"/>
    <w:sig w:usb0="E0002AFF" w:usb1="C0007843" w:usb2="00000009" w:usb3="00000000" w:csb0="400001FF" w:csb1="FFFF0000"/>
    <w:embedRegular r:id="rId2" w:fontKey="{3C80291B-965F-4930-8D6F-BDA913DE3305}"/>
  </w:font>
  <w:font w:name="黑体">
    <w:panose1 w:val="02010609060101010101"/>
    <w:charset w:val="86"/>
    <w:family w:val="auto"/>
    <w:pitch w:val="default"/>
    <w:sig w:usb0="800002BF" w:usb1="38CF7CFA" w:usb2="00000016" w:usb3="00000000" w:csb0="00040001" w:csb1="00000000"/>
    <w:embedRegular r:id="rId3" w:fontKey="{EBBD9BE9-5D88-4E37-94AF-7E16861471E1}"/>
  </w:font>
  <w:font w:name="Courier New">
    <w:panose1 w:val="02070309020205020404"/>
    <w:charset w:val="01"/>
    <w:family w:val="modern"/>
    <w:pitch w:val="default"/>
    <w:sig w:usb0="E0002AFF" w:usb1="C0007843" w:usb2="00000009" w:usb3="00000000" w:csb0="400001FF" w:csb1="FFFF0000"/>
    <w:embedRegular r:id="rId4" w:fontKey="{99B36E55-316E-4181-9033-EA7D29736D36}"/>
  </w:font>
  <w:font w:name="Symbol">
    <w:panose1 w:val="05050102010706020507"/>
    <w:charset w:val="02"/>
    <w:family w:val="roman"/>
    <w:pitch w:val="default"/>
    <w:sig w:usb0="00000000" w:usb1="00000000" w:usb2="00000000" w:usb3="00000000" w:csb0="80000000" w:csb1="00000000"/>
    <w:embedRegular r:id="rId5" w:fontKey="{377068D3-2C52-4C68-A01E-797400A8FD5B}"/>
  </w:font>
  <w:font w:name="Calibri">
    <w:panose1 w:val="020F0502020204030204"/>
    <w:charset w:val="00"/>
    <w:family w:val="swiss"/>
    <w:pitch w:val="default"/>
    <w:sig w:usb0="E00002FF" w:usb1="4000ACFF" w:usb2="00000001" w:usb3="00000000" w:csb0="2000019F" w:csb1="00000000"/>
    <w:embedRegular r:id="rId6" w:fontKey="{BFD333C7-2E08-4D51-B896-20B656CAAC67}"/>
  </w:font>
  <w:font w:name="方正小标宋简体">
    <w:panose1 w:val="02000000000000000000"/>
    <w:charset w:val="86"/>
    <w:family w:val="auto"/>
    <w:pitch w:val="default"/>
    <w:sig w:usb0="A00002BF" w:usb1="184F6CFA" w:usb2="00000012" w:usb3="00000000" w:csb0="00040001" w:csb1="00000000"/>
    <w:embedRegular r:id="rId7" w:fontKey="{066641B0-3A24-4037-A4BC-A1BE4B0E133D}"/>
  </w:font>
  <w:font w:name="新宋体">
    <w:panose1 w:val="02010609030101010101"/>
    <w:charset w:val="86"/>
    <w:family w:val="auto"/>
    <w:pitch w:val="default"/>
    <w:sig w:usb0="00000003" w:usb1="288F0000" w:usb2="00000006" w:usb3="00000000" w:csb0="00040001" w:csb1="00000000"/>
    <w:embedRegular r:id="rId8" w:fontKey="{C92D1579-91E2-479C-8860-735208583718}"/>
  </w:font>
  <w:font w:name="仿宋_GB2312">
    <w:panose1 w:val="02010609030101010101"/>
    <w:charset w:val="86"/>
    <w:family w:val="auto"/>
    <w:pitch w:val="default"/>
    <w:sig w:usb0="00000001" w:usb1="080E0000" w:usb2="00000000" w:usb3="00000000" w:csb0="00040000" w:csb1="00000000"/>
    <w:embedRegular r:id="rId9" w:fontKey="{C9F819B1-C7B0-4BD5-8B20-D1E3298ED004}"/>
  </w:font>
  <w:font w:name="方正小标宋_GBK">
    <w:panose1 w:val="03000509000000000000"/>
    <w:charset w:val="86"/>
    <w:family w:val="script"/>
    <w:pitch w:val="default"/>
    <w:sig w:usb0="00000001" w:usb1="080E0000" w:usb2="00000000" w:usb3="00000000" w:csb0="00040000" w:csb1="00000000"/>
    <w:embedRegular r:id="rId10" w:fontKey="{CA556A98-CA0A-4CD7-AB8B-3CD19BBF16F4}"/>
  </w:font>
  <w:font w:name="楷体_GB2312">
    <w:panose1 w:val="02010609030101010101"/>
    <w:charset w:val="86"/>
    <w:family w:val="auto"/>
    <w:pitch w:val="default"/>
    <w:sig w:usb0="00000001" w:usb1="080E0000" w:usb2="00000000" w:usb3="00000000" w:csb0="00040000" w:csb1="00000000"/>
    <w:embedRegular r:id="rId11" w:fontKey="{02844298-7757-4992-BFE0-582E491846BB}"/>
  </w:font>
  <w:font w:name="仿宋">
    <w:panose1 w:val="02010609060101010101"/>
    <w:charset w:val="86"/>
    <w:family w:val="modern"/>
    <w:pitch w:val="default"/>
    <w:sig w:usb0="800002BF" w:usb1="38CF7CFA" w:usb2="00000016" w:usb3="00000000" w:csb0="00040001" w:csb1="00000000"/>
    <w:embedRegular r:id="rId12" w:fontKey="{FA87A822-8E2D-4070-96F1-73020A68E7CE}"/>
  </w:font>
  <w:font w:name="楷体">
    <w:panose1 w:val="02010609060101010101"/>
    <w:charset w:val="86"/>
    <w:family w:val="modern"/>
    <w:pitch w:val="default"/>
    <w:sig w:usb0="800002BF" w:usb1="38CF7CFA" w:usb2="00000016" w:usb3="00000000" w:csb0="00040001" w:csb1="00000000"/>
    <w:embedRegular r:id="rId13" w:fontKey="{1AE6C94D-25FD-4F9B-B1B7-B2D0D4C61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AE5DD"/>
    <w:multiLevelType w:val="singleLevel"/>
    <w:tmpl w:val="9E5AE5DD"/>
    <w:lvl w:ilvl="0" w:tentative="0">
      <w:start w:val="3"/>
      <w:numFmt w:val="chineseCounting"/>
      <w:suff w:val="nothing"/>
      <w:lvlText w:val="%1、"/>
      <w:lvlJc w:val="left"/>
      <w:rPr>
        <w:rFonts w:hint="eastAsia"/>
      </w:rPr>
    </w:lvl>
  </w:abstractNum>
  <w:abstractNum w:abstractNumId="1">
    <w:nsid w:val="DFB66D92"/>
    <w:multiLevelType w:val="singleLevel"/>
    <w:tmpl w:val="DFB66D92"/>
    <w:lvl w:ilvl="0" w:tentative="0">
      <w:start w:val="1"/>
      <w:numFmt w:val="decimal"/>
      <w:pStyle w:val="2"/>
      <w:lvlText w:val="%1."/>
      <w:lvlJc w:val="left"/>
      <w:pPr>
        <w:tabs>
          <w:tab w:val="left" w:pos="360"/>
        </w:tabs>
        <w:ind w:left="360" w:hanging="360"/>
      </w:pPr>
    </w:lvl>
  </w:abstractNum>
  <w:abstractNum w:abstractNumId="2">
    <w:nsid w:val="EE6C48DF"/>
    <w:multiLevelType w:val="singleLevel"/>
    <w:tmpl w:val="EE6C48DF"/>
    <w:lvl w:ilvl="0" w:tentative="0">
      <w:start w:val="2"/>
      <w:numFmt w:val="decimal"/>
      <w:suff w:val="nothing"/>
      <w:lvlText w:val="%1、"/>
      <w:lvlJc w:val="left"/>
    </w:lvl>
  </w:abstractNum>
  <w:abstractNum w:abstractNumId="3">
    <w:nsid w:val="093E8E08"/>
    <w:multiLevelType w:val="singleLevel"/>
    <w:tmpl w:val="093E8E08"/>
    <w:lvl w:ilvl="0" w:tentative="0">
      <w:start w:val="1"/>
      <w:numFmt w:val="chineseCounting"/>
      <w:suff w:val="nothing"/>
      <w:lvlText w:val="（%1）"/>
      <w:lvlJc w:val="left"/>
      <w:rPr>
        <w:rFonts w:hint="eastAsia"/>
      </w:rPr>
    </w:lvl>
  </w:abstractNum>
  <w:abstractNum w:abstractNumId="4">
    <w:nsid w:val="22D5785D"/>
    <w:multiLevelType w:val="singleLevel"/>
    <w:tmpl w:val="22D5785D"/>
    <w:lvl w:ilvl="0" w:tentative="0">
      <w:start w:val="1"/>
      <w:numFmt w:val="decimal"/>
      <w:lvlText w:val="%1."/>
      <w:lvlJc w:val="left"/>
      <w:pPr>
        <w:tabs>
          <w:tab w:val="left" w:pos="312"/>
        </w:tabs>
      </w:pPr>
    </w:lvl>
  </w:abstractNum>
  <w:abstractNum w:abstractNumId="5">
    <w:nsid w:val="38E4F25B"/>
    <w:multiLevelType w:val="singleLevel"/>
    <w:tmpl w:val="38E4F25B"/>
    <w:lvl w:ilvl="0" w:tentative="0">
      <w:start w:val="2"/>
      <w:numFmt w:val="chineseCounting"/>
      <w:lvlText w:val="(%1)"/>
      <w:lvlJc w:val="left"/>
      <w:pPr>
        <w:tabs>
          <w:tab w:val="left" w:pos="312"/>
        </w:tabs>
      </w:pPr>
      <w:rPr>
        <w:rFonts w:hint="eastAsia"/>
      </w:rPr>
    </w:lvl>
  </w:abstractNum>
  <w:abstractNum w:abstractNumId="6">
    <w:nsid w:val="5C31F854"/>
    <w:multiLevelType w:val="singleLevel"/>
    <w:tmpl w:val="5C31F854"/>
    <w:lvl w:ilvl="0" w:tentative="0">
      <w:start w:val="1"/>
      <w:numFmt w:val="decimal"/>
      <w:lvlText w:val="%1."/>
      <w:lvlJc w:val="left"/>
      <w:pPr>
        <w:tabs>
          <w:tab w:val="left" w:pos="312"/>
        </w:tabs>
      </w:pPr>
    </w:lvl>
  </w:abstractNum>
  <w:abstractNum w:abstractNumId="7">
    <w:nsid w:val="7DEE6B41"/>
    <w:multiLevelType w:val="singleLevel"/>
    <w:tmpl w:val="7DEE6B41"/>
    <w:lvl w:ilvl="0" w:tentative="0">
      <w:start w:val="2"/>
      <w:numFmt w:val="chineseCounting"/>
      <w:suff w:val="nothing"/>
      <w:lvlText w:val="%1、"/>
      <w:lvlJc w:val="left"/>
      <w:rPr>
        <w:rFonts w:hint="eastAsia"/>
      </w:rPr>
    </w:lvl>
  </w:abstractNum>
  <w:num w:numId="1">
    <w:abstractNumId w:val="1"/>
  </w:num>
  <w:num w:numId="2">
    <w:abstractNumId w:val="6"/>
  </w:num>
  <w:num w:numId="3">
    <w:abstractNumId w:val="7"/>
  </w:num>
  <w:num w:numId="4">
    <w:abstractNumId w:val="2"/>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xMDViOWExZjA2YjUwZWEwZjU3Mzg4YzEzNDlhNTg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A4F1D"/>
    <w:rsid w:val="04EE6171"/>
    <w:rsid w:val="05395EA9"/>
    <w:rsid w:val="0ABD557B"/>
    <w:rsid w:val="0AF65D7F"/>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89906A6"/>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954AF9"/>
    <w:rsid w:val="37D6106F"/>
    <w:rsid w:val="38F862EB"/>
    <w:rsid w:val="39343807"/>
    <w:rsid w:val="39887BBC"/>
    <w:rsid w:val="3A53023B"/>
    <w:rsid w:val="3AF42D2D"/>
    <w:rsid w:val="3B3A041F"/>
    <w:rsid w:val="3BAE6BF9"/>
    <w:rsid w:val="3CCA47F2"/>
    <w:rsid w:val="3CDE0708"/>
    <w:rsid w:val="3D5877DF"/>
    <w:rsid w:val="3DC55CAA"/>
    <w:rsid w:val="3DD556CA"/>
    <w:rsid w:val="3F450429"/>
    <w:rsid w:val="3F8E6000"/>
    <w:rsid w:val="40226C80"/>
    <w:rsid w:val="40C451A5"/>
    <w:rsid w:val="4156470B"/>
    <w:rsid w:val="41943ACE"/>
    <w:rsid w:val="425D4066"/>
    <w:rsid w:val="43173FD4"/>
    <w:rsid w:val="44143822"/>
    <w:rsid w:val="44654A12"/>
    <w:rsid w:val="457C5F26"/>
    <w:rsid w:val="48B819A3"/>
    <w:rsid w:val="49CF255F"/>
    <w:rsid w:val="4B2C5DCD"/>
    <w:rsid w:val="4B7D1173"/>
    <w:rsid w:val="4C150E22"/>
    <w:rsid w:val="4C6A38FC"/>
    <w:rsid w:val="4CE74BC3"/>
    <w:rsid w:val="4CF5000E"/>
    <w:rsid w:val="4DB17672"/>
    <w:rsid w:val="50AC44C4"/>
    <w:rsid w:val="50EA6DB9"/>
    <w:rsid w:val="5104667E"/>
    <w:rsid w:val="51CA7471"/>
    <w:rsid w:val="521C2FA3"/>
    <w:rsid w:val="522529B2"/>
    <w:rsid w:val="53910AF4"/>
    <w:rsid w:val="555952B3"/>
    <w:rsid w:val="556B5A36"/>
    <w:rsid w:val="55AF40BB"/>
    <w:rsid w:val="56F72F7C"/>
    <w:rsid w:val="586243BF"/>
    <w:rsid w:val="58FD3402"/>
    <w:rsid w:val="5AAF7799"/>
    <w:rsid w:val="5B3F0EAF"/>
    <w:rsid w:val="5B5C1753"/>
    <w:rsid w:val="5E134100"/>
    <w:rsid w:val="5F7A1C50"/>
    <w:rsid w:val="601C4AB5"/>
    <w:rsid w:val="60BE691E"/>
    <w:rsid w:val="61444403"/>
    <w:rsid w:val="62265BDF"/>
    <w:rsid w:val="62E1699A"/>
    <w:rsid w:val="64147F0D"/>
    <w:rsid w:val="64D66362"/>
    <w:rsid w:val="65860217"/>
    <w:rsid w:val="658E166C"/>
    <w:rsid w:val="659342C4"/>
    <w:rsid w:val="667E0AA1"/>
    <w:rsid w:val="68FB17C3"/>
    <w:rsid w:val="68FE7BC0"/>
    <w:rsid w:val="695F12F9"/>
    <w:rsid w:val="69636C3A"/>
    <w:rsid w:val="69CF7B2C"/>
    <w:rsid w:val="6A0B0004"/>
    <w:rsid w:val="6BA1010E"/>
    <w:rsid w:val="6CE47E41"/>
    <w:rsid w:val="6CED5810"/>
    <w:rsid w:val="6CF92413"/>
    <w:rsid w:val="6DFE5E04"/>
    <w:rsid w:val="6E87203D"/>
    <w:rsid w:val="6F9278BB"/>
    <w:rsid w:val="6F9E60D8"/>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paragraph" w:styleId="4">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qFormat/>
    <w:uiPriority w:val="99"/>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List Number"/>
    <w:basedOn w:val="1"/>
    <w:semiHidden/>
    <w:unhideWhenUsed/>
    <w:qFormat/>
    <w:uiPriority w:val="99"/>
    <w:pPr>
      <w:numPr>
        <w:ilvl w:val="0"/>
        <w:numId w:val="1"/>
      </w:numPr>
    </w:p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next w:val="1"/>
    <w:qFormat/>
    <w:uiPriority w:val="0"/>
    <w:pPr>
      <w:snapToGrid w:val="0"/>
      <w:jc w:val="left"/>
    </w:pPr>
    <w:rPr>
      <w:sz w:val="18"/>
      <w:szCs w:val="18"/>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99"/>
    <w:rPr>
      <w:rFonts w:cs="Times New Roman"/>
    </w:rPr>
  </w:style>
  <w:style w:type="character" w:customStyle="1" w:styleId="13">
    <w:name w:val="Footer Char"/>
    <w:basedOn w:val="11"/>
    <w:link w:val="5"/>
    <w:semiHidden/>
    <w:qFormat/>
    <w:uiPriority w:val="99"/>
    <w:rPr>
      <w:sz w:val="18"/>
      <w:szCs w:val="18"/>
    </w:rPr>
  </w:style>
  <w:style w:type="character" w:customStyle="1" w:styleId="14">
    <w:name w:val="Header Char"/>
    <w:basedOn w:val="11"/>
    <w:link w:val="6"/>
    <w:semiHidden/>
    <w:qFormat/>
    <w:uiPriority w:val="99"/>
    <w:rPr>
      <w:sz w:val="18"/>
      <w:szCs w:val="18"/>
    </w:rPr>
  </w:style>
  <w:style w:type="paragraph" w:styleId="15">
    <w:name w:val="List Paragraph"/>
    <w:basedOn w:val="1"/>
    <w:qFormat/>
    <w:uiPriority w:val="99"/>
    <w:pPr>
      <w:ind w:firstLine="420" w:firstLineChars="200"/>
    </w:pPr>
    <w:rPr>
      <w:rFonts w:ascii="Calibri" w:hAnsi="Calibri"/>
      <w:szCs w:val="22"/>
    </w:rPr>
  </w:style>
  <w:style w:type="paragraph" w:customStyle="1" w:styleId="16">
    <w:name w:val="p0"/>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23</Pages>
  <Words>9505</Words>
  <Characters>10134</Characters>
  <Lines>0</Lines>
  <Paragraphs>0</Paragraphs>
  <TotalTime>40</TotalTime>
  <ScaleCrop>false</ScaleCrop>
  <LinksUpToDate>false</LinksUpToDate>
  <CharactersWithSpaces>10569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2023-07-17T08:49:36Z</cp:lastPrinted>
  <dcterms:modified xsi:type="dcterms:W3CDTF">2023-07-17T08:51:06Z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