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年度部门整体支出绩效评价基础数据表</w:t>
      </w:r>
    </w:p>
    <w:tbl>
      <w:tblPr>
        <w:tblStyle w:val="8"/>
        <w:tblW w:w="4997" w:type="pct"/>
        <w:jc w:val="center"/>
        <w:tblLayout w:type="autofit"/>
        <w:tblCellMar>
          <w:top w:w="0" w:type="dxa"/>
          <w:left w:w="108" w:type="dxa"/>
          <w:bottom w:w="0" w:type="dxa"/>
          <w:right w:w="108" w:type="dxa"/>
        </w:tblCellMar>
      </w:tblPr>
      <w:tblGrid>
        <w:gridCol w:w="3218"/>
        <w:gridCol w:w="1955"/>
        <w:gridCol w:w="2436"/>
        <w:gridCol w:w="1673"/>
      </w:tblGrid>
      <w:tr>
        <w:tblPrEx>
          <w:tblCellMar>
            <w:top w:w="0" w:type="dxa"/>
            <w:left w:w="108" w:type="dxa"/>
            <w:bottom w:w="0" w:type="dxa"/>
            <w:right w:w="108" w:type="dxa"/>
          </w:tblCellMar>
        </w:tblPrEx>
        <w:trPr>
          <w:trHeight w:val="539" w:hRule="atLeast"/>
          <w:jc w:val="center"/>
        </w:trPr>
        <w:tc>
          <w:tcPr>
            <w:tcW w:w="173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财政供养人员情况（人）</w:t>
            </w:r>
          </w:p>
        </w:tc>
        <w:tc>
          <w:tcPr>
            <w:tcW w:w="105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编制数</w:t>
            </w:r>
          </w:p>
        </w:tc>
        <w:tc>
          <w:tcPr>
            <w:tcW w:w="131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年实际在职人数</w:t>
            </w:r>
          </w:p>
        </w:tc>
        <w:tc>
          <w:tcPr>
            <w:tcW w:w="901"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控制率</w:t>
            </w:r>
          </w:p>
        </w:tc>
      </w:tr>
      <w:tr>
        <w:tblPrEx>
          <w:tblCellMar>
            <w:top w:w="0" w:type="dxa"/>
            <w:left w:w="108" w:type="dxa"/>
            <w:bottom w:w="0" w:type="dxa"/>
            <w:right w:w="108" w:type="dxa"/>
          </w:tblCellMar>
        </w:tblPrEx>
        <w:trPr>
          <w:trHeight w:val="539" w:hRule="atLeast"/>
          <w:jc w:val="center"/>
        </w:trPr>
        <w:tc>
          <w:tcPr>
            <w:tcW w:w="173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05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136</w:t>
            </w:r>
          </w:p>
        </w:tc>
        <w:tc>
          <w:tcPr>
            <w:tcW w:w="131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121</w:t>
            </w:r>
          </w:p>
        </w:tc>
        <w:tc>
          <w:tcPr>
            <w:tcW w:w="901"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89%</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经费控制情况（万元）</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lang w:val="en-US" w:eastAsia="zh-CN"/>
              </w:rPr>
            </w:pPr>
            <w:r>
              <w:rPr>
                <w:rFonts w:hint="eastAsia" w:ascii="新宋体" w:hAnsi="新宋体" w:eastAsia="新宋体" w:cs="新宋体"/>
                <w:b/>
                <w:bCs/>
                <w:sz w:val="21"/>
                <w:szCs w:val="21"/>
                <w:lang w:val="en-US" w:eastAsia="zh-CN"/>
              </w:rPr>
              <w:t>2021年决算数</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年预算数</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年决算数</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一、基本支出：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1680.14</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1813.21</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1813.21</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其中：</w:t>
            </w:r>
            <w:r>
              <w:rPr>
                <w:rFonts w:hint="eastAsia" w:ascii="新宋体" w:hAnsi="新宋体" w:eastAsia="新宋体" w:cs="新宋体"/>
                <w:sz w:val="21"/>
                <w:szCs w:val="21"/>
              </w:rPr>
              <w:t>三公经费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18.16</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49.30</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49.30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公务用车购置和维护经费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12.06</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44.94</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44.94</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其中：公车购置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37.24</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37.24</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公车运行维护</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12.06</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7.70</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7.70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2</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出国经费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0</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3</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公务接待</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6.10</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4.37</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4.37</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二、</w:t>
            </w:r>
            <w:r>
              <w:rPr>
                <w:rFonts w:hint="eastAsia" w:ascii="新宋体" w:hAnsi="新宋体" w:eastAsia="新宋体" w:cs="新宋体"/>
                <w:sz w:val="21"/>
                <w:szCs w:val="21"/>
              </w:rPr>
              <w:t>项目支出：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715.14</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822.41</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822.41</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lang w:eastAsia="zh-CN"/>
              </w:rPr>
              <w:t>县级</w:t>
            </w:r>
            <w:r>
              <w:rPr>
                <w:rFonts w:hint="eastAsia" w:ascii="新宋体" w:hAnsi="新宋体" w:eastAsia="新宋体" w:cs="新宋体"/>
                <w:sz w:val="21"/>
                <w:szCs w:val="21"/>
              </w:rPr>
              <w:t>专项资金（</w:t>
            </w:r>
            <w:r>
              <w:rPr>
                <w:rFonts w:hint="eastAsia" w:ascii="新宋体" w:hAnsi="新宋体" w:eastAsia="新宋体" w:cs="新宋体"/>
                <w:sz w:val="21"/>
                <w:szCs w:val="21"/>
                <w:lang w:eastAsia="zh-CN"/>
              </w:rPr>
              <w:t>留置专项</w:t>
            </w:r>
            <w:r>
              <w:rPr>
                <w:rFonts w:hint="eastAsia" w:ascii="新宋体" w:hAnsi="新宋体" w:eastAsia="新宋体" w:cs="新宋体"/>
                <w:sz w:val="21"/>
                <w:szCs w:val="21"/>
              </w:rPr>
              <w:t>）</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214.60</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407.12</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407.12</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2</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lang w:eastAsia="zh-CN"/>
              </w:rPr>
              <w:t>县级</w:t>
            </w:r>
            <w:r>
              <w:rPr>
                <w:rFonts w:hint="eastAsia" w:ascii="新宋体" w:hAnsi="新宋体" w:eastAsia="新宋体" w:cs="新宋体"/>
                <w:sz w:val="21"/>
                <w:szCs w:val="21"/>
              </w:rPr>
              <w:t>专项资金（</w:t>
            </w:r>
            <w:r>
              <w:rPr>
                <w:rFonts w:hint="eastAsia" w:ascii="新宋体" w:hAnsi="新宋体" w:eastAsia="新宋体" w:cs="新宋体"/>
                <w:sz w:val="21"/>
                <w:szCs w:val="21"/>
                <w:lang w:eastAsia="zh-CN"/>
              </w:rPr>
              <w:t>办信办案专项</w:t>
            </w:r>
            <w:r>
              <w:rPr>
                <w:rFonts w:hint="eastAsia" w:ascii="新宋体" w:hAnsi="新宋体" w:eastAsia="新宋体" w:cs="新宋体"/>
                <w:sz w:val="21"/>
                <w:szCs w:val="21"/>
              </w:rPr>
              <w:t>）</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287.33</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265.54</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265.54</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w:t>
            </w:r>
            <w:r>
              <w:rPr>
                <w:rFonts w:hint="eastAsia" w:ascii="新宋体" w:hAnsi="新宋体" w:eastAsia="新宋体" w:cs="新宋体"/>
                <w:sz w:val="21"/>
                <w:szCs w:val="21"/>
                <w:lang w:eastAsia="zh-CN"/>
              </w:rPr>
              <w:t>县级</w:t>
            </w:r>
            <w:r>
              <w:rPr>
                <w:rFonts w:hint="eastAsia" w:ascii="新宋体" w:hAnsi="新宋体" w:eastAsia="新宋体" w:cs="新宋体"/>
                <w:sz w:val="21"/>
                <w:szCs w:val="21"/>
              </w:rPr>
              <w:t>专项资金（</w:t>
            </w:r>
            <w:r>
              <w:rPr>
                <w:rFonts w:hint="eastAsia" w:ascii="新宋体" w:hAnsi="新宋体" w:eastAsia="新宋体" w:cs="新宋体"/>
                <w:sz w:val="21"/>
                <w:szCs w:val="21"/>
                <w:lang w:eastAsia="zh-CN"/>
              </w:rPr>
              <w:t>党风廉政刊物</w:t>
            </w:r>
            <w:r>
              <w:rPr>
                <w:rFonts w:hint="eastAsia" w:ascii="新宋体" w:hAnsi="新宋体" w:eastAsia="新宋体" w:cs="新宋体"/>
                <w:sz w:val="21"/>
                <w:szCs w:val="21"/>
              </w:rPr>
              <w:t>）</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53.92</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43.25</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43.25</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w:t>
            </w:r>
            <w:r>
              <w:rPr>
                <w:rFonts w:hint="eastAsia" w:ascii="新宋体" w:hAnsi="新宋体" w:eastAsia="新宋体" w:cs="新宋体"/>
                <w:sz w:val="21"/>
                <w:szCs w:val="21"/>
                <w:lang w:eastAsia="zh-CN"/>
              </w:rPr>
              <w:t>县级</w:t>
            </w:r>
            <w:r>
              <w:rPr>
                <w:rFonts w:hint="eastAsia" w:ascii="新宋体" w:hAnsi="新宋体" w:eastAsia="新宋体" w:cs="新宋体"/>
                <w:sz w:val="21"/>
                <w:szCs w:val="21"/>
              </w:rPr>
              <w:t>专项资金（</w:t>
            </w:r>
            <w:r>
              <w:rPr>
                <w:rFonts w:hint="eastAsia" w:ascii="新宋体" w:hAnsi="新宋体" w:eastAsia="新宋体" w:cs="新宋体"/>
                <w:sz w:val="21"/>
                <w:szCs w:val="21"/>
                <w:lang w:eastAsia="zh-CN"/>
              </w:rPr>
              <w:t>干部警示教育</w:t>
            </w:r>
            <w:r>
              <w:rPr>
                <w:rFonts w:hint="eastAsia" w:ascii="新宋体" w:hAnsi="新宋体" w:eastAsia="新宋体" w:cs="新宋体"/>
                <w:sz w:val="21"/>
                <w:szCs w:val="21"/>
              </w:rPr>
              <w:t>）</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11.88</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18.61</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18.61</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5.</w:t>
            </w:r>
            <w:r>
              <w:rPr>
                <w:rFonts w:hint="eastAsia" w:ascii="新宋体" w:hAnsi="新宋体" w:eastAsia="新宋体" w:cs="新宋体"/>
                <w:sz w:val="21"/>
                <w:szCs w:val="21"/>
                <w:lang w:eastAsia="zh-CN"/>
              </w:rPr>
              <w:t>县级</w:t>
            </w:r>
            <w:r>
              <w:rPr>
                <w:rFonts w:hint="eastAsia" w:ascii="新宋体" w:hAnsi="新宋体" w:eastAsia="新宋体" w:cs="新宋体"/>
                <w:sz w:val="21"/>
                <w:szCs w:val="21"/>
              </w:rPr>
              <w:t>专项资金（</w:t>
            </w:r>
            <w:r>
              <w:rPr>
                <w:rFonts w:hint="eastAsia" w:ascii="新宋体" w:hAnsi="新宋体" w:eastAsia="新宋体" w:cs="新宋体"/>
                <w:sz w:val="21"/>
                <w:szCs w:val="21"/>
                <w:lang w:eastAsia="zh-CN"/>
              </w:rPr>
              <w:t>巡察专项</w:t>
            </w:r>
            <w:r>
              <w:rPr>
                <w:rFonts w:hint="eastAsia" w:ascii="新宋体" w:hAnsi="新宋体" w:eastAsia="新宋体" w:cs="新宋体"/>
                <w:sz w:val="21"/>
                <w:szCs w:val="21"/>
              </w:rPr>
              <w:t>）</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50.62</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77.88</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77.88</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6.</w:t>
            </w:r>
            <w:r>
              <w:rPr>
                <w:rFonts w:hint="eastAsia" w:ascii="新宋体" w:hAnsi="新宋体" w:eastAsia="新宋体" w:cs="新宋体"/>
                <w:sz w:val="21"/>
                <w:szCs w:val="21"/>
                <w:lang w:eastAsia="zh-CN"/>
              </w:rPr>
              <w:t>县级</w:t>
            </w:r>
            <w:r>
              <w:rPr>
                <w:rFonts w:hint="eastAsia" w:ascii="新宋体" w:hAnsi="新宋体" w:eastAsia="新宋体" w:cs="新宋体"/>
                <w:sz w:val="21"/>
                <w:szCs w:val="21"/>
              </w:rPr>
              <w:t>专项资金（</w:t>
            </w:r>
            <w:r>
              <w:rPr>
                <w:rFonts w:hint="eastAsia" w:ascii="新宋体" w:hAnsi="新宋体" w:eastAsia="新宋体" w:cs="新宋体"/>
                <w:sz w:val="21"/>
                <w:szCs w:val="21"/>
                <w:lang w:eastAsia="zh-CN"/>
              </w:rPr>
              <w:t>纪检监察移动办公安全平台</w:t>
            </w:r>
            <w:r>
              <w:rPr>
                <w:rFonts w:hint="eastAsia" w:ascii="新宋体" w:hAnsi="新宋体" w:eastAsia="新宋体" w:cs="新宋体"/>
                <w:sz w:val="21"/>
                <w:szCs w:val="21"/>
              </w:rPr>
              <w:t>）</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96.79</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10</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厉行节约保障措施</w:t>
            </w:r>
          </w:p>
        </w:tc>
        <w:tc>
          <w:tcPr>
            <w:tcW w:w="3266" w:type="pct"/>
            <w:gridSpan w:val="3"/>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eastAsia="zh-CN"/>
              </w:rPr>
            </w:pPr>
            <w:r>
              <w:rPr>
                <w:rFonts w:hint="eastAsia" w:ascii="新宋体" w:hAnsi="新宋体" w:eastAsia="新宋体" w:cs="新宋体"/>
                <w:sz w:val="20"/>
                <w:szCs w:val="20"/>
                <w:lang w:eastAsia="zh-CN"/>
              </w:rPr>
              <w:t>加强领导，落实责任；健全制度，规范管理；应收尽收，开源节流。</w:t>
            </w:r>
          </w:p>
        </w:tc>
      </w:tr>
    </w:tbl>
    <w:p>
      <w:pPr>
        <w:widowControl/>
        <w:spacing w:afterLines="0" w:line="400" w:lineRule="exact"/>
        <w:jc w:val="left"/>
        <w:rPr>
          <w:rFonts w:hint="eastAsia" w:ascii="新宋体" w:hAnsi="新宋体" w:eastAsia="新宋体" w:cs="新宋体"/>
          <w:sz w:val="21"/>
          <w:szCs w:val="21"/>
          <w:lang w:eastAsia="zh-CN"/>
        </w:rPr>
      </w:pPr>
      <w:r>
        <w:rPr>
          <w:rFonts w:hint="eastAsia" w:ascii="新宋体" w:hAnsi="新宋体" w:eastAsia="新宋体" w:cs="新宋体"/>
          <w:sz w:val="21"/>
          <w:szCs w:val="21"/>
        </w:rPr>
        <w:t>说明：</w:t>
      </w:r>
      <w:r>
        <w:rPr>
          <w:rFonts w:hint="eastAsia" w:ascii="新宋体" w:hAnsi="新宋体" w:eastAsia="新宋体" w:cs="新宋体"/>
          <w:sz w:val="21"/>
          <w:szCs w:val="21"/>
          <w:lang w:eastAsia="zh-CN"/>
        </w:rPr>
        <w:t>以上数据均来源于</w:t>
      </w:r>
      <w:r>
        <w:rPr>
          <w:rFonts w:hint="eastAsia" w:ascii="新宋体" w:hAnsi="新宋体" w:eastAsia="新宋体" w:cs="新宋体"/>
          <w:sz w:val="21"/>
          <w:szCs w:val="21"/>
          <w:lang w:val="en-US" w:eastAsia="zh-CN"/>
        </w:rPr>
        <w:t>部门决算报表，其中</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基本支出</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数据参照基本支出决算明细表（财决</w:t>
      </w:r>
      <w:r>
        <w:rPr>
          <w:rFonts w:hint="eastAsia" w:ascii="新宋体" w:hAnsi="新宋体" w:eastAsia="新宋体" w:cs="新宋体"/>
          <w:sz w:val="21"/>
          <w:szCs w:val="21"/>
          <w:lang w:val="en-US" w:eastAsia="zh-CN"/>
        </w:rPr>
        <w:t>05-1表</w:t>
      </w:r>
      <w:r>
        <w:rPr>
          <w:rFonts w:hint="eastAsia" w:ascii="新宋体" w:hAnsi="新宋体" w:eastAsia="新宋体" w:cs="新宋体"/>
          <w:sz w:val="21"/>
          <w:szCs w:val="21"/>
          <w:lang w:eastAsia="zh-CN"/>
        </w:rPr>
        <w:t>）；“三公经费”数据参照机构运行信息表（财决附</w:t>
      </w:r>
      <w:r>
        <w:rPr>
          <w:rFonts w:hint="eastAsia" w:ascii="新宋体" w:hAnsi="新宋体" w:eastAsia="新宋体" w:cs="新宋体"/>
          <w:sz w:val="21"/>
          <w:szCs w:val="21"/>
          <w:lang w:val="en-US" w:eastAsia="zh-CN"/>
        </w:rPr>
        <w:t>03表</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“项目支出”</w:t>
      </w:r>
      <w:r>
        <w:rPr>
          <w:rFonts w:hint="eastAsia" w:ascii="新宋体" w:hAnsi="新宋体" w:eastAsia="新宋体" w:cs="新宋体"/>
          <w:sz w:val="21"/>
          <w:szCs w:val="21"/>
          <w:lang w:eastAsia="zh-CN"/>
        </w:rPr>
        <w:t>数据参照项目支出决算明细表（财决</w:t>
      </w:r>
      <w:r>
        <w:rPr>
          <w:rFonts w:hint="eastAsia" w:ascii="新宋体" w:hAnsi="新宋体" w:eastAsia="新宋体" w:cs="新宋体"/>
          <w:sz w:val="21"/>
          <w:szCs w:val="21"/>
          <w:lang w:val="en-US" w:eastAsia="zh-CN"/>
        </w:rPr>
        <w:t>05-2表</w:t>
      </w:r>
      <w:r>
        <w:rPr>
          <w:rFonts w:hint="eastAsia" w:ascii="新宋体" w:hAnsi="新宋体" w:eastAsia="新宋体" w:cs="新宋体"/>
          <w:sz w:val="21"/>
          <w:szCs w:val="21"/>
          <w:lang w:eastAsia="zh-CN"/>
        </w:rPr>
        <w:t>）。</w:t>
      </w:r>
    </w:p>
    <w:p>
      <w:pPr>
        <w:widowControl/>
        <w:spacing w:after="0" w:afterLines="0" w:line="400" w:lineRule="exact"/>
        <w:jc w:val="left"/>
        <w:rPr>
          <w:rFonts w:hint="default" w:ascii="Times New Roman" w:hAnsi="Times New Roman" w:eastAsia="仿宋_GB2312" w:cs="Times New Roman"/>
          <w:sz w:val="22"/>
        </w:rPr>
      </w:pPr>
    </w:p>
    <w:p>
      <w:pPr>
        <w:widowControl/>
        <w:spacing w:after="0" w:afterLines="0" w:line="400" w:lineRule="exact"/>
        <w:jc w:val="left"/>
        <w:rPr>
          <w:rFonts w:hint="default" w:ascii="Times New Roman" w:hAnsi="Times New Roman" w:eastAsia="仿宋_GB2312" w:cs="Times New Roman"/>
          <w:sz w:val="22"/>
        </w:rPr>
      </w:pPr>
      <w:r>
        <w:rPr>
          <w:rFonts w:hint="default" w:ascii="Times New Roman" w:hAnsi="Times New Roman" w:eastAsia="仿宋_GB2312" w:cs="Times New Roman"/>
          <w:sz w:val="22"/>
        </w:rPr>
        <w:t>填表人：</w:t>
      </w:r>
      <w:r>
        <w:rPr>
          <w:rFonts w:hint="eastAsia" w:eastAsia="仿宋_GB2312" w:cs="Times New Roman"/>
          <w:sz w:val="22"/>
          <w:lang w:eastAsia="zh-CN"/>
        </w:rPr>
        <w:t>刘建芳</w:t>
      </w:r>
      <w:r>
        <w:rPr>
          <w:rFonts w:hint="eastAsia" w:eastAsia="仿宋_GB2312" w:cs="Times New Roman"/>
          <w:sz w:val="22"/>
          <w:lang w:val="en-US" w:eastAsia="zh-CN"/>
        </w:rPr>
        <w:t xml:space="preserve"> </w:t>
      </w:r>
      <w:r>
        <w:rPr>
          <w:rFonts w:hint="default" w:ascii="Times New Roman" w:hAnsi="Times New Roman" w:eastAsia="仿宋_GB2312" w:cs="Times New Roman"/>
          <w:sz w:val="22"/>
        </w:rPr>
        <w:t xml:space="preserve"> 填报日期：</w:t>
      </w:r>
      <w:r>
        <w:rPr>
          <w:rFonts w:hint="eastAsia" w:eastAsia="仿宋_GB2312" w:cs="Times New Roman"/>
          <w:sz w:val="22"/>
          <w:lang w:val="en-US" w:eastAsia="zh-CN"/>
        </w:rPr>
        <w:t>2023.07.17</w:t>
      </w:r>
      <w:r>
        <w:rPr>
          <w:rFonts w:hint="default" w:ascii="Times New Roman" w:hAnsi="Times New Roman" w:eastAsia="仿宋_GB2312" w:cs="Times New Roman"/>
          <w:sz w:val="22"/>
        </w:rPr>
        <w:t xml:space="preserve">  联系电话：</w:t>
      </w:r>
      <w:r>
        <w:rPr>
          <w:rFonts w:hint="eastAsia" w:eastAsia="仿宋_GB2312" w:cs="Times New Roman"/>
          <w:sz w:val="22"/>
          <w:lang w:val="en-US" w:eastAsia="zh-CN"/>
        </w:rPr>
        <w:t>15873095838</w:t>
      </w:r>
      <w:r>
        <w:rPr>
          <w:rFonts w:hint="default" w:ascii="Times New Roman" w:hAnsi="Times New Roman" w:eastAsia="仿宋_GB2312" w:cs="Times New Roman"/>
          <w:sz w:val="22"/>
        </w:rPr>
        <w:t xml:space="preserve"> 单位负责人签字：</w:t>
      </w:r>
      <w:r>
        <w:rPr>
          <w:rFonts w:hint="default" w:ascii="Times New Roman" w:hAnsi="Times New Roman" w:eastAsia="仿宋_GB2312" w:cs="Times New Roman"/>
          <w:sz w:val="22"/>
        </w:rPr>
        <w:br w:type="page"/>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年度部门整体支出绩效自评表</w:t>
      </w:r>
    </w:p>
    <w:tbl>
      <w:tblPr>
        <w:tblStyle w:val="8"/>
        <w:tblW w:w="4996" w:type="pct"/>
        <w:jc w:val="center"/>
        <w:tblLayout w:type="fixed"/>
        <w:tblCellMar>
          <w:top w:w="0" w:type="dxa"/>
          <w:left w:w="108" w:type="dxa"/>
          <w:bottom w:w="0" w:type="dxa"/>
          <w:right w:w="108" w:type="dxa"/>
        </w:tblCellMar>
      </w:tblPr>
      <w:tblGrid>
        <w:gridCol w:w="1088"/>
        <w:gridCol w:w="867"/>
        <w:gridCol w:w="863"/>
        <w:gridCol w:w="1201"/>
        <w:gridCol w:w="996"/>
        <w:gridCol w:w="1086"/>
        <w:gridCol w:w="768"/>
        <w:gridCol w:w="900"/>
        <w:gridCol w:w="1512"/>
      </w:tblGrid>
      <w:tr>
        <w:tblPrEx>
          <w:tblCellMar>
            <w:top w:w="0" w:type="dxa"/>
            <w:left w:w="108" w:type="dxa"/>
            <w:bottom w:w="0" w:type="dxa"/>
            <w:right w:w="108" w:type="dxa"/>
          </w:tblCellMar>
        </w:tblPrEx>
        <w:trPr>
          <w:trHeight w:val="1003" w:hRule="atLeast"/>
          <w:jc w:val="center"/>
        </w:trPr>
        <w:tc>
          <w:tcPr>
            <w:tcW w:w="58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eastAsia="zh-CN"/>
              </w:rPr>
              <w:t>县</w:t>
            </w:r>
            <w:r>
              <w:rPr>
                <w:rFonts w:hint="eastAsia" w:ascii="新宋体" w:hAnsi="新宋体" w:eastAsia="新宋体" w:cs="新宋体"/>
                <w:color w:val="000000"/>
                <w:sz w:val="21"/>
                <w:szCs w:val="21"/>
              </w:rPr>
              <w:t>级预算部门名称</w:t>
            </w:r>
          </w:p>
        </w:tc>
        <w:tc>
          <w:tcPr>
            <w:tcW w:w="4413" w:type="pct"/>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中国共产党华容县纪律检查委员会</w:t>
            </w:r>
          </w:p>
        </w:tc>
      </w:tr>
      <w:tr>
        <w:tblPrEx>
          <w:tblCellMar>
            <w:top w:w="0" w:type="dxa"/>
            <w:left w:w="108" w:type="dxa"/>
            <w:bottom w:w="0" w:type="dxa"/>
            <w:right w:w="108" w:type="dxa"/>
          </w:tblCellMar>
        </w:tblPrEx>
        <w:trPr>
          <w:trHeight w:val="863" w:hRule="atLeast"/>
          <w:jc w:val="center"/>
        </w:trPr>
        <w:tc>
          <w:tcPr>
            <w:tcW w:w="586" w:type="pct"/>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预算</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lang w:eastAsia="zh-CN"/>
              </w:rPr>
            </w:pPr>
            <w:r>
              <w:rPr>
                <w:rFonts w:hint="eastAsia" w:ascii="新宋体" w:hAnsi="新宋体" w:eastAsia="新宋体" w:cs="新宋体"/>
                <w:i w:val="0"/>
                <w:iCs w:val="0"/>
                <w:color w:val="000000"/>
                <w:sz w:val="21"/>
                <w:szCs w:val="21"/>
              </w:rPr>
              <w:t>申请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（万元）</w:t>
            </w:r>
          </w:p>
        </w:tc>
        <w:tc>
          <w:tcPr>
            <w:tcW w:w="932" w:type="pct"/>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p>
        </w:tc>
        <w:tc>
          <w:tcPr>
            <w:tcW w:w="647"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年初</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53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585"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执行数</w:t>
            </w:r>
          </w:p>
        </w:tc>
        <w:tc>
          <w:tcPr>
            <w:tcW w:w="413"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分值</w:t>
            </w:r>
          </w:p>
        </w:tc>
        <w:tc>
          <w:tcPr>
            <w:tcW w:w="484"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执行率</w:t>
            </w:r>
          </w:p>
        </w:tc>
        <w:tc>
          <w:tcPr>
            <w:tcW w:w="814"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得分</w:t>
            </w:r>
          </w:p>
        </w:tc>
      </w:tr>
      <w:tr>
        <w:tblPrEx>
          <w:tblCellMar>
            <w:top w:w="0" w:type="dxa"/>
            <w:left w:w="108" w:type="dxa"/>
            <w:bottom w:w="0" w:type="dxa"/>
            <w:right w:w="108" w:type="dxa"/>
          </w:tblCellMar>
        </w:tblPrEx>
        <w:trPr>
          <w:trHeight w:val="686" w:hRule="atLeast"/>
          <w:jc w:val="center"/>
        </w:trPr>
        <w:tc>
          <w:tcPr>
            <w:tcW w:w="586" w:type="pct"/>
            <w:vMerge w:val="continue"/>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932" w:type="pct"/>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color w:val="000000"/>
                <w:sz w:val="21"/>
                <w:szCs w:val="21"/>
              </w:rPr>
              <w:t>年度资金总额</w:t>
            </w:r>
          </w:p>
        </w:tc>
        <w:tc>
          <w:tcPr>
            <w:tcW w:w="647"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1607</w:t>
            </w:r>
          </w:p>
        </w:tc>
        <w:tc>
          <w:tcPr>
            <w:tcW w:w="53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2635.61</w:t>
            </w:r>
          </w:p>
        </w:tc>
        <w:tc>
          <w:tcPr>
            <w:tcW w:w="585"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2635.61</w:t>
            </w:r>
          </w:p>
        </w:tc>
        <w:tc>
          <w:tcPr>
            <w:tcW w:w="413"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10</w:t>
            </w:r>
          </w:p>
        </w:tc>
        <w:tc>
          <w:tcPr>
            <w:tcW w:w="484"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100%</w:t>
            </w:r>
          </w:p>
        </w:tc>
        <w:tc>
          <w:tcPr>
            <w:tcW w:w="814"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w:t>
            </w:r>
          </w:p>
        </w:tc>
      </w:tr>
      <w:tr>
        <w:tblPrEx>
          <w:tblCellMar>
            <w:top w:w="0" w:type="dxa"/>
            <w:left w:w="108" w:type="dxa"/>
            <w:bottom w:w="0" w:type="dxa"/>
            <w:right w:w="108" w:type="dxa"/>
          </w:tblCellMar>
        </w:tblPrEx>
        <w:trPr>
          <w:trHeight w:val="686" w:hRule="atLeast"/>
          <w:jc w:val="center"/>
        </w:trPr>
        <w:tc>
          <w:tcPr>
            <w:tcW w:w="586"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15"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按收入性质分：</w:t>
            </w:r>
          </w:p>
        </w:tc>
        <w:tc>
          <w:tcPr>
            <w:tcW w:w="2298"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按支出性质分：</w:t>
            </w:r>
          </w:p>
        </w:tc>
      </w:tr>
      <w:tr>
        <w:tblPrEx>
          <w:tblCellMar>
            <w:top w:w="0" w:type="dxa"/>
            <w:left w:w="108" w:type="dxa"/>
            <w:bottom w:w="0" w:type="dxa"/>
            <w:right w:w="108" w:type="dxa"/>
          </w:tblCellMar>
        </w:tblPrEx>
        <w:trPr>
          <w:trHeight w:val="686" w:hRule="atLeast"/>
          <w:jc w:val="center"/>
        </w:trPr>
        <w:tc>
          <w:tcPr>
            <w:tcW w:w="586"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15"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其中：</w:t>
            </w:r>
            <w:r>
              <w:rPr>
                <w:rFonts w:hint="eastAsia" w:ascii="新宋体" w:hAnsi="新宋体" w:eastAsia="新宋体" w:cs="新宋体"/>
                <w:i w:val="0"/>
                <w:iCs w:val="0"/>
                <w:color w:val="000000"/>
                <w:sz w:val="21"/>
                <w:szCs w:val="21"/>
                <w:lang w:val="en-US" w:eastAsia="zh-CN"/>
              </w:rPr>
              <w:t xml:space="preserve">  </w:t>
            </w:r>
            <w:r>
              <w:rPr>
                <w:rFonts w:hint="eastAsia" w:ascii="新宋体" w:hAnsi="新宋体" w:eastAsia="新宋体" w:cs="新宋体"/>
                <w:i w:val="0"/>
                <w:iCs w:val="0"/>
                <w:color w:val="000000"/>
                <w:sz w:val="21"/>
                <w:szCs w:val="21"/>
              </w:rPr>
              <w:t>一般公共预算：</w:t>
            </w:r>
            <w:r>
              <w:rPr>
                <w:rFonts w:hint="eastAsia" w:ascii="新宋体" w:hAnsi="新宋体" w:eastAsia="新宋体" w:cs="新宋体"/>
                <w:i w:val="0"/>
                <w:iCs w:val="0"/>
                <w:color w:val="000000"/>
                <w:sz w:val="21"/>
                <w:szCs w:val="21"/>
                <w:lang w:val="en-US" w:eastAsia="zh-CN"/>
              </w:rPr>
              <w:t>2635.61</w:t>
            </w:r>
          </w:p>
        </w:tc>
        <w:tc>
          <w:tcPr>
            <w:tcW w:w="2298"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其中：基本支出：</w:t>
            </w:r>
            <w:r>
              <w:rPr>
                <w:rFonts w:hint="eastAsia" w:ascii="新宋体" w:hAnsi="新宋体" w:eastAsia="新宋体" w:cs="新宋体"/>
                <w:color w:val="000000"/>
                <w:sz w:val="21"/>
                <w:szCs w:val="21"/>
                <w:lang w:val="en-US" w:eastAsia="zh-CN"/>
              </w:rPr>
              <w:t>1813.21</w:t>
            </w:r>
          </w:p>
        </w:tc>
      </w:tr>
      <w:tr>
        <w:tblPrEx>
          <w:tblCellMar>
            <w:top w:w="0" w:type="dxa"/>
            <w:left w:w="108" w:type="dxa"/>
            <w:bottom w:w="0" w:type="dxa"/>
            <w:right w:w="108" w:type="dxa"/>
          </w:tblCellMar>
        </w:tblPrEx>
        <w:trPr>
          <w:trHeight w:val="686" w:hRule="atLeast"/>
          <w:jc w:val="center"/>
        </w:trPr>
        <w:tc>
          <w:tcPr>
            <w:tcW w:w="586"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15"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政府性基金拨款：</w:t>
            </w:r>
          </w:p>
        </w:tc>
        <w:tc>
          <w:tcPr>
            <w:tcW w:w="2298"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项目支出：</w:t>
            </w:r>
            <w:r>
              <w:rPr>
                <w:rFonts w:hint="eastAsia" w:ascii="新宋体" w:hAnsi="新宋体" w:eastAsia="新宋体" w:cs="新宋体"/>
                <w:color w:val="000000"/>
                <w:sz w:val="21"/>
                <w:szCs w:val="21"/>
                <w:lang w:val="en-US" w:eastAsia="zh-CN"/>
              </w:rPr>
              <w:t>822.41</w:t>
            </w:r>
          </w:p>
        </w:tc>
      </w:tr>
      <w:tr>
        <w:tblPrEx>
          <w:tblCellMar>
            <w:top w:w="0" w:type="dxa"/>
            <w:left w:w="108" w:type="dxa"/>
            <w:bottom w:w="0" w:type="dxa"/>
            <w:right w:w="108" w:type="dxa"/>
          </w:tblCellMar>
        </w:tblPrEx>
        <w:trPr>
          <w:trHeight w:val="686" w:hRule="atLeast"/>
          <w:jc w:val="center"/>
        </w:trPr>
        <w:tc>
          <w:tcPr>
            <w:tcW w:w="586"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15"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纳入专户管理的非税收入拨款：</w:t>
            </w:r>
          </w:p>
        </w:tc>
        <w:tc>
          <w:tcPr>
            <w:tcW w:w="2298"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686" w:hRule="atLeast"/>
          <w:jc w:val="center"/>
        </w:trPr>
        <w:tc>
          <w:tcPr>
            <w:tcW w:w="586" w:type="pct"/>
            <w:vMerge w:val="continue"/>
            <w:tcBorders>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15"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1260" w:firstLineChars="60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其他资金：</w:t>
            </w:r>
          </w:p>
        </w:tc>
        <w:tc>
          <w:tcPr>
            <w:tcW w:w="2298"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686" w:hRule="atLeast"/>
          <w:jc w:val="center"/>
        </w:trPr>
        <w:tc>
          <w:tcPr>
            <w:tcW w:w="586" w:type="pct"/>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总体目标</w:t>
            </w:r>
          </w:p>
        </w:tc>
        <w:tc>
          <w:tcPr>
            <w:tcW w:w="2115" w:type="pct"/>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预期目标</w:t>
            </w:r>
          </w:p>
        </w:tc>
        <w:tc>
          <w:tcPr>
            <w:tcW w:w="2298" w:type="pct"/>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实际完成情况　</w:t>
            </w:r>
          </w:p>
        </w:tc>
      </w:tr>
      <w:tr>
        <w:tblPrEx>
          <w:tblCellMar>
            <w:top w:w="0" w:type="dxa"/>
            <w:left w:w="108" w:type="dxa"/>
            <w:bottom w:w="0" w:type="dxa"/>
            <w:right w:w="108" w:type="dxa"/>
          </w:tblCellMar>
        </w:tblPrEx>
        <w:trPr>
          <w:trHeight w:val="4575" w:hRule="atLeast"/>
          <w:jc w:val="center"/>
        </w:trPr>
        <w:tc>
          <w:tcPr>
            <w:tcW w:w="586"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2115" w:type="pct"/>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tabs>
                <w:tab w:val="left" w:pos="789"/>
              </w:tabs>
              <w:kinsoku/>
              <w:wordWrap/>
              <w:overflowPunct/>
              <w:topLinePunct w:val="0"/>
              <w:autoSpaceDE/>
              <w:autoSpaceDN/>
              <w:bidi w:val="0"/>
              <w:adjustRightInd/>
              <w:snapToGrid/>
              <w:spacing w:before="0" w:beforeAutospacing="0" w:after="0" w:afterAutospacing="0" w:line="0" w:lineRule="atLeast"/>
              <w:ind w:left="0" w:right="0" w:firstLine="420" w:firstLineChars="200"/>
              <w:jc w:val="left"/>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坚持以习近平新时代中国特色社会主义思想为指导，坚定不移全面从严治党，深化“三不”一体推进，推动各类监督贯通融合，不断提升纪检监察机关规范化、法治化、正规化水平，努力维护平稳健康的经济环境、国泰民安的社会环境、风清气正的政治环境，为实现县委“一廊二中心”战略部署、建设富美华容现代化强县提供坚强纪律保障。</w:t>
            </w:r>
          </w:p>
        </w:tc>
        <w:tc>
          <w:tcPr>
            <w:tcW w:w="2298" w:type="pct"/>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420" w:firstLineChars="200"/>
              <w:jc w:val="left"/>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rPr>
              <w:t>在党中央和省委、市委的坚强领导下，县委面对舆情、疫情、旱情“三情”叠加考验，以高度政治自觉和坚定决心定力，不断夯实“一廊二中心”产业格局新基础，深入贯彻落实全面从严治党的战略部署，以上率下压紧压实管党治党政治责任，全县政治生态持续向好，党风政风气象更新。全县各级纪检监察组织坚守初心使命，忠诚履职尽责，持之以恒正风肃纪，坚定不移惩贪治腐，紧贴中心、服务大局，充分发挥监督保障执行、促进完善发展作用，在推进“富美华容”现代化强县建设的生动实践中彰显了忠诚与担当、贡献了智慧和力量</w:t>
            </w:r>
            <w:r>
              <w:rPr>
                <w:rFonts w:hint="eastAsia" w:ascii="新宋体" w:hAnsi="新宋体" w:eastAsia="新宋体" w:cs="新宋体"/>
                <w:color w:val="000000"/>
                <w:sz w:val="21"/>
                <w:szCs w:val="21"/>
                <w:lang w:eastAsia="zh-CN"/>
              </w:rPr>
              <w:t>。</w:t>
            </w:r>
          </w:p>
        </w:tc>
      </w:tr>
      <w:tr>
        <w:tblPrEx>
          <w:tblCellMar>
            <w:top w:w="0" w:type="dxa"/>
            <w:left w:w="108" w:type="dxa"/>
            <w:bottom w:w="0" w:type="dxa"/>
            <w:right w:w="108" w:type="dxa"/>
          </w:tblCellMar>
        </w:tblPrEx>
        <w:trPr>
          <w:trHeight w:val="850" w:hRule="atLeast"/>
          <w:jc w:val="center"/>
        </w:trPr>
        <w:tc>
          <w:tcPr>
            <w:tcW w:w="586"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4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4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6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3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5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41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8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1020" w:hRule="atLeast"/>
          <w:jc w:val="center"/>
        </w:trPr>
        <w:tc>
          <w:tcPr>
            <w:tcW w:w="58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产出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(50分)</w:t>
            </w:r>
          </w:p>
        </w:tc>
        <w:tc>
          <w:tcPr>
            <w:tcW w:w="46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数量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6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eastAsia" w:ascii="仿宋" w:hAnsi="仿宋" w:eastAsia="仿宋" w:cs="Times New Roman"/>
                <w:color w:val="000000"/>
                <w:kern w:val="2"/>
                <w:sz w:val="21"/>
                <w:szCs w:val="21"/>
                <w:lang w:val="en-US" w:eastAsia="zh-CN" w:bidi="ar-SA"/>
              </w:rPr>
            </w:pPr>
            <w:r>
              <w:rPr>
                <w:rFonts w:hint="eastAsia" w:ascii="仿宋" w:hAnsi="仿宋" w:eastAsia="仿宋"/>
                <w:color w:val="000000"/>
                <w:szCs w:val="21"/>
              </w:rPr>
              <w:t>开展</w:t>
            </w:r>
            <w:r>
              <w:rPr>
                <w:rFonts w:hint="eastAsia" w:ascii="仿宋" w:hAnsi="仿宋" w:eastAsia="仿宋"/>
                <w:color w:val="000000"/>
                <w:szCs w:val="21"/>
                <w:lang w:eastAsia="zh-CN"/>
              </w:rPr>
              <w:t>作风检查次数</w:t>
            </w:r>
          </w:p>
        </w:tc>
        <w:tc>
          <w:tcPr>
            <w:tcW w:w="53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center"/>
              <w:textAlignment w:val="center"/>
              <w:rPr>
                <w:rFonts w:hint="default" w:ascii="仿宋" w:hAnsi="仿宋" w:eastAsia="仿宋" w:cs="Times New Roman"/>
                <w:color w:val="000000"/>
                <w:kern w:val="2"/>
                <w:sz w:val="21"/>
                <w:szCs w:val="21"/>
                <w:lang w:val="en-US" w:eastAsia="zh-CN" w:bidi="ar-SA"/>
              </w:rPr>
            </w:pPr>
            <w:r>
              <w:rPr>
                <w:rFonts w:hint="eastAsia" w:ascii="仿宋" w:hAnsi="仿宋" w:eastAsia="仿宋"/>
                <w:color w:val="000000"/>
                <w:szCs w:val="21"/>
              </w:rPr>
              <w:t>≥</w:t>
            </w:r>
            <w:r>
              <w:rPr>
                <w:rFonts w:hint="eastAsia" w:ascii="仿宋" w:hAnsi="仿宋" w:eastAsia="仿宋"/>
                <w:color w:val="000000"/>
                <w:szCs w:val="21"/>
                <w:lang w:val="en-US" w:eastAsia="zh-CN"/>
              </w:rPr>
              <w:t>300</w:t>
            </w:r>
            <w:r>
              <w:rPr>
                <w:rFonts w:hint="eastAsia" w:ascii="仿宋" w:hAnsi="仿宋" w:eastAsia="仿宋"/>
                <w:color w:val="000000"/>
                <w:szCs w:val="21"/>
              </w:rPr>
              <w:t>次</w:t>
            </w:r>
          </w:p>
        </w:tc>
        <w:tc>
          <w:tcPr>
            <w:tcW w:w="5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default" w:ascii="仿宋" w:hAnsi="仿宋" w:eastAsia="仿宋"/>
                <w:color w:val="000000"/>
                <w:sz w:val="20"/>
                <w:szCs w:val="20"/>
                <w:lang w:val="en-US" w:eastAsia="zh-CN"/>
              </w:rPr>
            </w:pPr>
            <w:r>
              <w:rPr>
                <w:rFonts w:hint="eastAsia" w:ascii="仿宋" w:hAnsi="仿宋" w:eastAsia="仿宋"/>
                <w:color w:val="000000"/>
                <w:sz w:val="20"/>
                <w:szCs w:val="20"/>
              </w:rPr>
              <w:t>　</w:t>
            </w:r>
            <w:r>
              <w:rPr>
                <w:rFonts w:hint="eastAsia" w:ascii="仿宋" w:hAnsi="仿宋" w:eastAsia="仿宋"/>
                <w:color w:val="000000"/>
                <w:sz w:val="20"/>
                <w:szCs w:val="20"/>
                <w:lang w:val="en-US" w:eastAsia="zh-CN"/>
              </w:rPr>
              <w:t>352</w:t>
            </w:r>
          </w:p>
        </w:tc>
        <w:tc>
          <w:tcPr>
            <w:tcW w:w="41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eastAsia" w:ascii="仿宋" w:hAnsi="仿宋" w:eastAsia="仿宋"/>
                <w:color w:val="000000"/>
                <w:sz w:val="20"/>
                <w:szCs w:val="20"/>
                <w:lang w:val="en-US" w:eastAsia="zh-CN"/>
              </w:rPr>
            </w:pPr>
            <w:r>
              <w:rPr>
                <w:rFonts w:hint="eastAsia" w:ascii="仿宋" w:hAnsi="仿宋" w:eastAsia="仿宋"/>
                <w:color w:val="000000"/>
                <w:sz w:val="20"/>
                <w:szCs w:val="20"/>
              </w:rPr>
              <w:t>　</w:t>
            </w:r>
            <w:r>
              <w:rPr>
                <w:rFonts w:hint="eastAsia" w:ascii="仿宋" w:hAnsi="仿宋" w:eastAsia="仿宋"/>
                <w:color w:val="000000"/>
                <w:sz w:val="20"/>
                <w:szCs w:val="20"/>
                <w:lang w:val="en-US" w:eastAsia="zh-CN"/>
              </w:rPr>
              <w:t>5</w:t>
            </w: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eastAsia" w:ascii="仿宋" w:hAnsi="仿宋" w:eastAsia="仿宋"/>
                <w:color w:val="000000"/>
                <w:sz w:val="20"/>
                <w:szCs w:val="20"/>
                <w:lang w:val="en-US" w:eastAsia="zh-CN"/>
              </w:rPr>
            </w:pPr>
            <w:r>
              <w:rPr>
                <w:rFonts w:hint="eastAsia" w:ascii="仿宋" w:hAnsi="仿宋" w:eastAsia="仿宋"/>
                <w:color w:val="000000"/>
                <w:sz w:val="20"/>
                <w:szCs w:val="20"/>
              </w:rPr>
              <w:t>　</w:t>
            </w:r>
            <w:r>
              <w:rPr>
                <w:rFonts w:hint="eastAsia" w:ascii="仿宋" w:hAnsi="仿宋" w:eastAsia="仿宋"/>
                <w:color w:val="000000"/>
                <w:sz w:val="20"/>
                <w:szCs w:val="20"/>
                <w:lang w:val="en-US" w:eastAsia="zh-CN"/>
              </w:rPr>
              <w:t>5</w:t>
            </w:r>
          </w:p>
        </w:tc>
        <w:tc>
          <w:tcPr>
            <w:tcW w:w="8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eastAsia" w:ascii="仿宋" w:hAnsi="仿宋" w:eastAsia="仿宋"/>
                <w:color w:val="000000"/>
                <w:sz w:val="20"/>
                <w:szCs w:val="20"/>
              </w:rPr>
            </w:pPr>
            <w:r>
              <w:rPr>
                <w:rFonts w:hint="eastAsia" w:ascii="仿宋" w:hAnsi="仿宋" w:eastAsia="仿宋"/>
                <w:color w:val="000000"/>
                <w:sz w:val="20"/>
                <w:szCs w:val="20"/>
              </w:rPr>
              <w:t>　</w:t>
            </w:r>
          </w:p>
        </w:tc>
      </w:tr>
      <w:tr>
        <w:tblPrEx>
          <w:tblCellMar>
            <w:top w:w="0" w:type="dxa"/>
            <w:left w:w="108" w:type="dxa"/>
            <w:bottom w:w="0" w:type="dxa"/>
            <w:right w:w="108" w:type="dxa"/>
          </w:tblCellMar>
        </w:tblPrEx>
        <w:trPr>
          <w:trHeight w:val="1020" w:hRule="atLeast"/>
          <w:jc w:val="center"/>
        </w:trPr>
        <w:tc>
          <w:tcPr>
            <w:tcW w:w="58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47" w:type="pct"/>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autoSpaceDN w:val="0"/>
              <w:spacing w:before="0" w:beforeAutospacing="0" w:after="0" w:afterAutospacing="0" w:line="320" w:lineRule="exact"/>
              <w:ind w:left="0" w:right="0"/>
              <w:jc w:val="left"/>
              <w:textAlignment w:val="center"/>
              <w:rPr>
                <w:rFonts w:hint="eastAsia" w:ascii="仿宋" w:hAnsi="仿宋" w:eastAsia="仿宋" w:cs="Times New Roman"/>
                <w:color w:val="000000"/>
                <w:kern w:val="2"/>
                <w:sz w:val="21"/>
                <w:szCs w:val="21"/>
                <w:lang w:val="en-US" w:eastAsia="zh-CN" w:bidi="ar-SA"/>
              </w:rPr>
            </w:pPr>
            <w:r>
              <w:rPr>
                <w:rFonts w:hint="eastAsia" w:ascii="仿宋" w:hAnsi="仿宋" w:eastAsia="仿宋"/>
                <w:color w:val="000000"/>
                <w:szCs w:val="21"/>
                <w:lang w:eastAsia="zh-CN"/>
              </w:rPr>
              <w:t>日常监督问题线索办理数量</w:t>
            </w:r>
          </w:p>
        </w:tc>
        <w:tc>
          <w:tcPr>
            <w:tcW w:w="53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center"/>
              <w:textAlignment w:val="center"/>
              <w:rPr>
                <w:rFonts w:hint="eastAsia" w:ascii="仿宋" w:hAnsi="仿宋" w:eastAsia="仿宋" w:cs="Times New Roman"/>
                <w:color w:val="000000"/>
                <w:kern w:val="2"/>
                <w:sz w:val="21"/>
                <w:szCs w:val="21"/>
                <w:lang w:val="en-US" w:eastAsia="zh-CN" w:bidi="ar-SA"/>
              </w:rPr>
            </w:pPr>
            <w:r>
              <w:rPr>
                <w:rFonts w:hint="eastAsia" w:ascii="仿宋" w:hAnsi="仿宋" w:eastAsia="仿宋"/>
                <w:color w:val="000000"/>
                <w:szCs w:val="21"/>
              </w:rPr>
              <w:t>≥</w:t>
            </w:r>
            <w:r>
              <w:rPr>
                <w:rFonts w:hint="eastAsia" w:ascii="仿宋" w:hAnsi="仿宋" w:eastAsia="仿宋"/>
                <w:color w:val="000000"/>
                <w:szCs w:val="21"/>
                <w:lang w:val="en-US" w:eastAsia="zh-CN"/>
              </w:rPr>
              <w:t>100</w:t>
            </w:r>
            <w:r>
              <w:rPr>
                <w:rFonts w:hint="eastAsia" w:ascii="仿宋" w:hAnsi="仿宋" w:eastAsia="仿宋"/>
                <w:color w:val="000000"/>
                <w:szCs w:val="21"/>
                <w:lang w:eastAsia="zh-CN"/>
              </w:rPr>
              <w:t>件</w:t>
            </w:r>
          </w:p>
        </w:tc>
        <w:tc>
          <w:tcPr>
            <w:tcW w:w="5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default" w:ascii="仿宋" w:hAnsi="仿宋" w:eastAsia="仿宋"/>
                <w:color w:val="000000"/>
                <w:sz w:val="20"/>
                <w:szCs w:val="20"/>
                <w:lang w:val="en-US" w:eastAsia="zh-CN"/>
              </w:rPr>
            </w:pPr>
            <w:r>
              <w:rPr>
                <w:rFonts w:hint="eastAsia" w:ascii="仿宋" w:hAnsi="仿宋" w:eastAsia="仿宋"/>
                <w:color w:val="000000"/>
                <w:sz w:val="20"/>
                <w:szCs w:val="20"/>
              </w:rPr>
              <w:t>　</w:t>
            </w:r>
            <w:r>
              <w:rPr>
                <w:rFonts w:hint="eastAsia" w:ascii="仿宋" w:hAnsi="仿宋" w:eastAsia="仿宋"/>
                <w:color w:val="000000"/>
                <w:sz w:val="20"/>
                <w:szCs w:val="20"/>
                <w:lang w:val="en-US" w:eastAsia="zh-CN"/>
              </w:rPr>
              <w:t>106</w:t>
            </w:r>
          </w:p>
        </w:tc>
        <w:tc>
          <w:tcPr>
            <w:tcW w:w="41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eastAsia" w:ascii="仿宋" w:hAnsi="仿宋" w:eastAsia="仿宋"/>
                <w:color w:val="000000"/>
                <w:sz w:val="20"/>
                <w:szCs w:val="20"/>
                <w:lang w:val="en-US" w:eastAsia="zh-CN"/>
              </w:rPr>
            </w:pPr>
            <w:r>
              <w:rPr>
                <w:rFonts w:hint="eastAsia" w:ascii="仿宋" w:hAnsi="仿宋" w:eastAsia="仿宋"/>
                <w:color w:val="000000"/>
                <w:sz w:val="20"/>
                <w:szCs w:val="20"/>
              </w:rPr>
              <w:t>　</w:t>
            </w:r>
            <w:r>
              <w:rPr>
                <w:rFonts w:hint="eastAsia" w:ascii="仿宋" w:hAnsi="仿宋" w:eastAsia="仿宋"/>
                <w:color w:val="000000"/>
                <w:sz w:val="20"/>
                <w:szCs w:val="20"/>
                <w:lang w:val="en-US" w:eastAsia="zh-CN"/>
              </w:rPr>
              <w:t>5</w:t>
            </w: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eastAsia" w:ascii="仿宋" w:hAnsi="仿宋" w:eastAsia="仿宋"/>
                <w:color w:val="000000"/>
                <w:sz w:val="20"/>
                <w:szCs w:val="20"/>
                <w:lang w:val="en-US" w:eastAsia="zh-CN"/>
              </w:rPr>
            </w:pPr>
            <w:r>
              <w:rPr>
                <w:rFonts w:hint="eastAsia" w:ascii="仿宋" w:hAnsi="仿宋" w:eastAsia="仿宋"/>
                <w:color w:val="000000"/>
                <w:sz w:val="20"/>
                <w:szCs w:val="20"/>
              </w:rPr>
              <w:t>　</w:t>
            </w:r>
            <w:r>
              <w:rPr>
                <w:rFonts w:hint="eastAsia" w:ascii="仿宋" w:hAnsi="仿宋" w:eastAsia="仿宋"/>
                <w:color w:val="000000"/>
                <w:sz w:val="20"/>
                <w:szCs w:val="20"/>
                <w:lang w:val="en-US" w:eastAsia="zh-CN"/>
              </w:rPr>
              <w:t>5</w:t>
            </w:r>
          </w:p>
        </w:tc>
        <w:tc>
          <w:tcPr>
            <w:tcW w:w="8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eastAsia" w:ascii="仿宋" w:hAnsi="仿宋" w:eastAsia="仿宋"/>
                <w:color w:val="000000"/>
                <w:sz w:val="20"/>
                <w:szCs w:val="20"/>
              </w:rPr>
            </w:pPr>
            <w:r>
              <w:rPr>
                <w:rFonts w:hint="eastAsia" w:ascii="仿宋" w:hAnsi="仿宋" w:eastAsia="仿宋"/>
                <w:color w:val="000000"/>
                <w:sz w:val="20"/>
                <w:szCs w:val="20"/>
              </w:rPr>
              <w:t>　</w:t>
            </w:r>
          </w:p>
        </w:tc>
      </w:tr>
      <w:tr>
        <w:tblPrEx>
          <w:tblCellMar>
            <w:top w:w="0" w:type="dxa"/>
            <w:left w:w="108" w:type="dxa"/>
            <w:bottom w:w="0" w:type="dxa"/>
            <w:right w:w="108" w:type="dxa"/>
          </w:tblCellMar>
        </w:tblPrEx>
        <w:trPr>
          <w:trHeight w:val="1020" w:hRule="atLeast"/>
          <w:jc w:val="center"/>
        </w:trPr>
        <w:tc>
          <w:tcPr>
            <w:tcW w:w="58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eastAsia" w:ascii="仿宋" w:hAnsi="仿宋" w:eastAsia="仿宋" w:cs="Times New Roman"/>
                <w:color w:val="000000"/>
                <w:kern w:val="2"/>
                <w:sz w:val="21"/>
                <w:szCs w:val="21"/>
                <w:lang w:val="en-US" w:eastAsia="zh-CN" w:bidi="ar-SA"/>
              </w:rPr>
            </w:pPr>
            <w:r>
              <w:rPr>
                <w:rFonts w:hint="eastAsia" w:ascii="仿宋" w:hAnsi="仿宋" w:eastAsia="仿宋"/>
                <w:color w:val="000000"/>
                <w:szCs w:val="21"/>
                <w:lang w:eastAsia="zh-CN"/>
              </w:rPr>
              <w:t>谈心谈话人次</w:t>
            </w:r>
          </w:p>
        </w:tc>
        <w:tc>
          <w:tcPr>
            <w:tcW w:w="53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center"/>
              <w:textAlignment w:val="center"/>
              <w:rPr>
                <w:rFonts w:hint="eastAsia" w:ascii="仿宋" w:hAnsi="仿宋" w:eastAsia="仿宋" w:cs="Times New Roman"/>
                <w:color w:val="000000"/>
                <w:kern w:val="2"/>
                <w:sz w:val="21"/>
                <w:szCs w:val="21"/>
                <w:lang w:val="en-US" w:eastAsia="zh-CN" w:bidi="ar-SA"/>
              </w:rPr>
            </w:pPr>
            <w:r>
              <w:rPr>
                <w:rFonts w:hint="eastAsia" w:ascii="仿宋" w:hAnsi="仿宋" w:eastAsia="仿宋"/>
                <w:color w:val="000000"/>
                <w:szCs w:val="21"/>
              </w:rPr>
              <w:t>≥</w:t>
            </w:r>
            <w:r>
              <w:rPr>
                <w:rFonts w:hint="eastAsia" w:ascii="仿宋" w:hAnsi="仿宋" w:eastAsia="仿宋"/>
                <w:color w:val="000000"/>
                <w:szCs w:val="21"/>
                <w:lang w:val="en-US" w:eastAsia="zh-CN"/>
              </w:rPr>
              <w:t>1500</w:t>
            </w:r>
            <w:r>
              <w:rPr>
                <w:rFonts w:hint="eastAsia" w:ascii="仿宋" w:hAnsi="仿宋" w:eastAsia="仿宋"/>
                <w:color w:val="000000"/>
                <w:szCs w:val="21"/>
              </w:rPr>
              <w:t>人</w:t>
            </w:r>
            <w:r>
              <w:rPr>
                <w:rFonts w:hint="eastAsia" w:ascii="仿宋" w:hAnsi="仿宋" w:eastAsia="仿宋"/>
                <w:color w:val="000000"/>
                <w:szCs w:val="21"/>
                <w:lang w:eastAsia="zh-CN"/>
              </w:rPr>
              <w:t>次</w:t>
            </w:r>
          </w:p>
        </w:tc>
        <w:tc>
          <w:tcPr>
            <w:tcW w:w="5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default" w:ascii="仿宋" w:hAnsi="仿宋" w:eastAsia="仿宋"/>
                <w:color w:val="000000"/>
                <w:sz w:val="20"/>
                <w:szCs w:val="20"/>
                <w:lang w:val="en-US" w:eastAsia="zh-CN"/>
              </w:rPr>
            </w:pPr>
            <w:r>
              <w:rPr>
                <w:rFonts w:hint="eastAsia" w:ascii="仿宋" w:hAnsi="仿宋" w:eastAsia="仿宋"/>
                <w:color w:val="000000"/>
                <w:sz w:val="20"/>
                <w:szCs w:val="20"/>
              </w:rPr>
              <w:t>　</w:t>
            </w:r>
            <w:r>
              <w:rPr>
                <w:rFonts w:hint="eastAsia" w:ascii="仿宋" w:hAnsi="仿宋" w:eastAsia="仿宋"/>
                <w:color w:val="000000"/>
                <w:sz w:val="20"/>
                <w:szCs w:val="20"/>
                <w:lang w:val="en-US" w:eastAsia="zh-CN"/>
              </w:rPr>
              <w:t>1606</w:t>
            </w:r>
          </w:p>
        </w:tc>
        <w:tc>
          <w:tcPr>
            <w:tcW w:w="41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eastAsia" w:ascii="仿宋" w:hAnsi="仿宋" w:eastAsia="仿宋"/>
                <w:color w:val="000000"/>
                <w:sz w:val="20"/>
                <w:szCs w:val="20"/>
                <w:lang w:val="en-US" w:eastAsia="zh-CN"/>
              </w:rPr>
            </w:pPr>
            <w:r>
              <w:rPr>
                <w:rFonts w:hint="eastAsia" w:ascii="仿宋" w:hAnsi="仿宋" w:eastAsia="仿宋"/>
                <w:color w:val="000000"/>
                <w:sz w:val="20"/>
                <w:szCs w:val="20"/>
              </w:rPr>
              <w:t>　</w:t>
            </w:r>
            <w:r>
              <w:rPr>
                <w:rFonts w:hint="eastAsia" w:ascii="仿宋" w:hAnsi="仿宋" w:eastAsia="仿宋"/>
                <w:color w:val="000000"/>
                <w:sz w:val="20"/>
                <w:szCs w:val="20"/>
                <w:lang w:val="en-US" w:eastAsia="zh-CN"/>
              </w:rPr>
              <w:t>5</w:t>
            </w: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eastAsia" w:ascii="仿宋" w:hAnsi="仿宋" w:eastAsia="仿宋"/>
                <w:color w:val="000000"/>
                <w:sz w:val="20"/>
                <w:szCs w:val="20"/>
                <w:lang w:val="en-US" w:eastAsia="zh-CN"/>
              </w:rPr>
            </w:pPr>
            <w:r>
              <w:rPr>
                <w:rFonts w:hint="eastAsia" w:ascii="仿宋" w:hAnsi="仿宋" w:eastAsia="仿宋"/>
                <w:color w:val="000000"/>
                <w:sz w:val="20"/>
                <w:szCs w:val="20"/>
              </w:rPr>
              <w:t>　</w:t>
            </w:r>
            <w:r>
              <w:rPr>
                <w:rFonts w:hint="eastAsia" w:ascii="仿宋" w:hAnsi="仿宋" w:eastAsia="仿宋"/>
                <w:color w:val="000000"/>
                <w:sz w:val="20"/>
                <w:szCs w:val="20"/>
                <w:lang w:val="en-US" w:eastAsia="zh-CN"/>
              </w:rPr>
              <w:t>5</w:t>
            </w:r>
          </w:p>
        </w:tc>
        <w:tc>
          <w:tcPr>
            <w:tcW w:w="8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eastAsia" w:ascii="仿宋" w:hAnsi="仿宋" w:eastAsia="仿宋"/>
                <w:color w:val="000000"/>
                <w:sz w:val="20"/>
                <w:szCs w:val="20"/>
              </w:rPr>
            </w:pPr>
            <w:r>
              <w:rPr>
                <w:rFonts w:hint="eastAsia" w:ascii="仿宋" w:hAnsi="仿宋" w:eastAsia="仿宋"/>
                <w:color w:val="000000"/>
                <w:sz w:val="20"/>
                <w:szCs w:val="20"/>
              </w:rPr>
              <w:t>　</w:t>
            </w:r>
          </w:p>
        </w:tc>
      </w:tr>
      <w:tr>
        <w:tblPrEx>
          <w:tblCellMar>
            <w:top w:w="0" w:type="dxa"/>
            <w:left w:w="108" w:type="dxa"/>
            <w:bottom w:w="0" w:type="dxa"/>
            <w:right w:w="108" w:type="dxa"/>
          </w:tblCellMar>
        </w:tblPrEx>
        <w:trPr>
          <w:trHeight w:val="1020" w:hRule="atLeast"/>
          <w:jc w:val="center"/>
        </w:trPr>
        <w:tc>
          <w:tcPr>
            <w:tcW w:w="58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质量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6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eastAsia" w:ascii="仿宋" w:hAnsi="仿宋" w:eastAsia="仿宋"/>
                <w:color w:val="000000"/>
                <w:sz w:val="20"/>
                <w:szCs w:val="20"/>
                <w:lang w:val="en-US" w:eastAsia="zh-CN"/>
              </w:rPr>
            </w:pPr>
            <w:r>
              <w:rPr>
                <w:rFonts w:hint="eastAsia" w:ascii="仿宋" w:hAnsi="仿宋" w:eastAsia="仿宋"/>
                <w:color w:val="000000"/>
                <w:szCs w:val="21"/>
              </w:rPr>
              <w:t>政府采购执行率</w:t>
            </w:r>
          </w:p>
        </w:tc>
        <w:tc>
          <w:tcPr>
            <w:tcW w:w="53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default" w:ascii="仿宋" w:hAnsi="仿宋" w:eastAsia="仿宋"/>
                <w:color w:val="000000"/>
                <w:sz w:val="20"/>
                <w:szCs w:val="20"/>
                <w:lang w:val="en-US"/>
              </w:rPr>
            </w:pPr>
            <w:r>
              <w:rPr>
                <w:rFonts w:hint="eastAsia" w:ascii="仿宋" w:hAnsi="仿宋" w:eastAsia="仿宋"/>
                <w:color w:val="000000"/>
                <w:szCs w:val="21"/>
              </w:rPr>
              <w:t>≥</w:t>
            </w:r>
            <w:r>
              <w:rPr>
                <w:rFonts w:hint="eastAsia" w:ascii="仿宋" w:hAnsi="仿宋" w:eastAsia="仿宋"/>
                <w:color w:val="000000"/>
                <w:szCs w:val="21"/>
                <w:lang w:val="en-US" w:eastAsia="zh-CN"/>
              </w:rPr>
              <w:t>90%</w:t>
            </w:r>
          </w:p>
        </w:tc>
        <w:tc>
          <w:tcPr>
            <w:tcW w:w="5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olor w:val="000000"/>
                <w:szCs w:val="21"/>
              </w:rPr>
              <w:t>100%</w:t>
            </w:r>
          </w:p>
        </w:tc>
        <w:tc>
          <w:tcPr>
            <w:tcW w:w="41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eastAsia" w:ascii="仿宋" w:hAnsi="仿宋" w:eastAsia="仿宋"/>
                <w:color w:val="000000"/>
                <w:sz w:val="20"/>
                <w:szCs w:val="20"/>
                <w:lang w:val="en-US" w:eastAsia="zh-CN"/>
              </w:rPr>
            </w:pPr>
            <w:r>
              <w:rPr>
                <w:rFonts w:hint="eastAsia" w:ascii="仿宋" w:hAnsi="仿宋" w:eastAsia="仿宋"/>
                <w:color w:val="000000"/>
                <w:sz w:val="20"/>
                <w:szCs w:val="20"/>
              </w:rPr>
              <w:t>　</w:t>
            </w:r>
            <w:r>
              <w:rPr>
                <w:rFonts w:hint="eastAsia" w:ascii="仿宋" w:hAnsi="仿宋" w:eastAsia="仿宋"/>
                <w:color w:val="000000"/>
                <w:sz w:val="20"/>
                <w:szCs w:val="20"/>
                <w:lang w:val="en-US" w:eastAsia="zh-CN"/>
              </w:rPr>
              <w:t>5</w:t>
            </w: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eastAsia" w:ascii="仿宋" w:hAnsi="仿宋" w:eastAsia="仿宋"/>
                <w:color w:val="000000"/>
                <w:sz w:val="20"/>
                <w:szCs w:val="20"/>
                <w:lang w:val="en-US" w:eastAsia="zh-CN"/>
              </w:rPr>
            </w:pPr>
            <w:r>
              <w:rPr>
                <w:rFonts w:hint="eastAsia" w:ascii="仿宋" w:hAnsi="仿宋" w:eastAsia="仿宋"/>
                <w:color w:val="000000"/>
                <w:sz w:val="20"/>
                <w:szCs w:val="20"/>
              </w:rPr>
              <w:t>　</w:t>
            </w:r>
            <w:r>
              <w:rPr>
                <w:rFonts w:hint="eastAsia" w:ascii="仿宋" w:hAnsi="仿宋" w:eastAsia="仿宋"/>
                <w:color w:val="000000"/>
                <w:sz w:val="20"/>
                <w:szCs w:val="20"/>
                <w:lang w:val="en-US" w:eastAsia="zh-CN"/>
              </w:rPr>
              <w:t>5</w:t>
            </w:r>
          </w:p>
        </w:tc>
        <w:tc>
          <w:tcPr>
            <w:tcW w:w="8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eastAsia" w:ascii="仿宋" w:hAnsi="仿宋" w:eastAsia="仿宋"/>
                <w:color w:val="000000"/>
                <w:sz w:val="20"/>
                <w:szCs w:val="20"/>
              </w:rPr>
            </w:pPr>
            <w:r>
              <w:rPr>
                <w:rFonts w:hint="eastAsia" w:ascii="仿宋" w:hAnsi="仿宋" w:eastAsia="仿宋"/>
                <w:color w:val="000000"/>
                <w:sz w:val="20"/>
                <w:szCs w:val="20"/>
              </w:rPr>
              <w:t>　</w:t>
            </w:r>
          </w:p>
        </w:tc>
      </w:tr>
      <w:tr>
        <w:tblPrEx>
          <w:tblCellMar>
            <w:top w:w="0" w:type="dxa"/>
            <w:left w:w="108" w:type="dxa"/>
            <w:bottom w:w="0" w:type="dxa"/>
            <w:right w:w="108" w:type="dxa"/>
          </w:tblCellMar>
        </w:tblPrEx>
        <w:trPr>
          <w:trHeight w:val="1020" w:hRule="atLeast"/>
          <w:jc w:val="center"/>
        </w:trPr>
        <w:tc>
          <w:tcPr>
            <w:tcW w:w="58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eastAsia" w:ascii="仿宋" w:hAnsi="仿宋" w:eastAsia="仿宋"/>
                <w:color w:val="000000"/>
                <w:sz w:val="20"/>
                <w:szCs w:val="20"/>
                <w:lang w:val="en-US" w:eastAsia="zh-CN"/>
              </w:rPr>
            </w:pPr>
            <w:r>
              <w:rPr>
                <w:rFonts w:hint="eastAsia" w:ascii="仿宋" w:hAnsi="仿宋" w:eastAsia="仿宋"/>
                <w:color w:val="000000"/>
                <w:szCs w:val="21"/>
              </w:rPr>
              <w:t>固定资产利用率</w:t>
            </w:r>
          </w:p>
        </w:tc>
        <w:tc>
          <w:tcPr>
            <w:tcW w:w="53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default" w:ascii="仿宋" w:hAnsi="仿宋" w:eastAsia="仿宋"/>
                <w:color w:val="000000"/>
                <w:sz w:val="20"/>
                <w:szCs w:val="20"/>
                <w:lang w:val="en-US"/>
              </w:rPr>
            </w:pPr>
            <w:r>
              <w:rPr>
                <w:rFonts w:hint="eastAsia" w:ascii="仿宋" w:hAnsi="仿宋" w:eastAsia="仿宋"/>
                <w:color w:val="000000"/>
                <w:szCs w:val="21"/>
              </w:rPr>
              <w:t>≥</w:t>
            </w:r>
            <w:r>
              <w:rPr>
                <w:rFonts w:hint="eastAsia" w:ascii="仿宋" w:hAnsi="仿宋" w:eastAsia="仿宋"/>
                <w:color w:val="000000"/>
                <w:szCs w:val="21"/>
                <w:lang w:val="en-US" w:eastAsia="zh-CN"/>
              </w:rPr>
              <w:t>90%</w:t>
            </w:r>
          </w:p>
        </w:tc>
        <w:tc>
          <w:tcPr>
            <w:tcW w:w="5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center"/>
              <w:textAlignment w:val="center"/>
              <w:rPr>
                <w:rFonts w:hint="eastAsia" w:ascii="仿宋_GB2312" w:hAnsi="仿宋_GB2312" w:eastAsia="仿宋_GB2312" w:cs="仿宋_GB2312"/>
                <w:b/>
                <w:color w:val="000000"/>
                <w:kern w:val="2"/>
                <w:sz w:val="24"/>
                <w:szCs w:val="24"/>
                <w:lang w:val="en-US" w:eastAsia="zh-CN" w:bidi="ar-SA"/>
              </w:rPr>
            </w:pPr>
            <w:r>
              <w:rPr>
                <w:rFonts w:hint="eastAsia" w:ascii="仿宋" w:hAnsi="仿宋" w:eastAsia="仿宋"/>
                <w:color w:val="000000"/>
                <w:szCs w:val="21"/>
                <w:lang w:val="en-US" w:eastAsia="zh-CN"/>
              </w:rPr>
              <w:t>100</w:t>
            </w:r>
            <w:r>
              <w:rPr>
                <w:rFonts w:hint="eastAsia" w:ascii="仿宋" w:hAnsi="仿宋" w:eastAsia="仿宋"/>
                <w:color w:val="000000"/>
                <w:szCs w:val="21"/>
              </w:rPr>
              <w:t>%</w:t>
            </w:r>
          </w:p>
        </w:tc>
        <w:tc>
          <w:tcPr>
            <w:tcW w:w="41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eastAsia" w:ascii="仿宋" w:hAnsi="仿宋" w:eastAsia="仿宋"/>
                <w:color w:val="000000"/>
                <w:sz w:val="20"/>
                <w:szCs w:val="20"/>
                <w:lang w:val="en-US" w:eastAsia="zh-CN"/>
              </w:rPr>
            </w:pPr>
            <w:r>
              <w:rPr>
                <w:rFonts w:hint="eastAsia" w:ascii="仿宋" w:hAnsi="仿宋" w:eastAsia="仿宋"/>
                <w:color w:val="000000"/>
                <w:sz w:val="20"/>
                <w:szCs w:val="20"/>
              </w:rPr>
              <w:t>　</w:t>
            </w:r>
            <w:r>
              <w:rPr>
                <w:rFonts w:hint="eastAsia" w:ascii="仿宋" w:hAnsi="仿宋" w:eastAsia="仿宋"/>
                <w:color w:val="000000"/>
                <w:sz w:val="20"/>
                <w:szCs w:val="20"/>
                <w:lang w:val="en-US" w:eastAsia="zh-CN"/>
              </w:rPr>
              <w:t>3</w:t>
            </w: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eastAsia" w:ascii="仿宋" w:hAnsi="仿宋" w:eastAsia="仿宋"/>
                <w:color w:val="000000"/>
                <w:sz w:val="20"/>
                <w:szCs w:val="20"/>
                <w:lang w:val="en-US" w:eastAsia="zh-CN"/>
              </w:rPr>
            </w:pPr>
            <w:r>
              <w:rPr>
                <w:rFonts w:hint="eastAsia" w:ascii="仿宋" w:hAnsi="仿宋" w:eastAsia="仿宋"/>
                <w:color w:val="000000"/>
                <w:sz w:val="20"/>
                <w:szCs w:val="20"/>
              </w:rPr>
              <w:t>　</w:t>
            </w:r>
            <w:r>
              <w:rPr>
                <w:rFonts w:hint="eastAsia" w:ascii="仿宋" w:hAnsi="仿宋" w:eastAsia="仿宋"/>
                <w:color w:val="000000"/>
                <w:sz w:val="20"/>
                <w:szCs w:val="20"/>
                <w:lang w:val="en-US" w:eastAsia="zh-CN"/>
              </w:rPr>
              <w:t>3</w:t>
            </w:r>
          </w:p>
        </w:tc>
        <w:tc>
          <w:tcPr>
            <w:tcW w:w="8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eastAsia" w:ascii="仿宋" w:hAnsi="仿宋" w:eastAsia="仿宋"/>
                <w:color w:val="000000"/>
                <w:sz w:val="20"/>
                <w:szCs w:val="20"/>
              </w:rPr>
            </w:pPr>
            <w:r>
              <w:rPr>
                <w:rFonts w:hint="eastAsia" w:ascii="仿宋" w:hAnsi="仿宋" w:eastAsia="仿宋"/>
                <w:color w:val="000000"/>
                <w:sz w:val="20"/>
                <w:szCs w:val="20"/>
              </w:rPr>
              <w:t>　</w:t>
            </w:r>
          </w:p>
        </w:tc>
      </w:tr>
      <w:tr>
        <w:tblPrEx>
          <w:tblCellMar>
            <w:top w:w="0" w:type="dxa"/>
            <w:left w:w="108" w:type="dxa"/>
            <w:bottom w:w="0" w:type="dxa"/>
            <w:right w:w="108" w:type="dxa"/>
          </w:tblCellMar>
        </w:tblPrEx>
        <w:trPr>
          <w:trHeight w:val="1020" w:hRule="atLeast"/>
          <w:jc w:val="center"/>
        </w:trPr>
        <w:tc>
          <w:tcPr>
            <w:tcW w:w="58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eastAsia" w:ascii="仿宋" w:hAnsi="仿宋" w:eastAsia="仿宋"/>
                <w:color w:val="000000"/>
                <w:sz w:val="20"/>
                <w:szCs w:val="20"/>
                <w:lang w:val="en-US" w:eastAsia="zh-CN"/>
              </w:rPr>
            </w:pPr>
            <w:r>
              <w:rPr>
                <w:rFonts w:hint="eastAsia" w:ascii="仿宋" w:hAnsi="仿宋" w:eastAsia="仿宋"/>
                <w:color w:val="000000"/>
                <w:szCs w:val="21"/>
              </w:rPr>
              <w:t>公务卡刷卡率</w:t>
            </w:r>
          </w:p>
        </w:tc>
        <w:tc>
          <w:tcPr>
            <w:tcW w:w="53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default" w:ascii="仿宋" w:hAnsi="仿宋" w:eastAsia="仿宋"/>
                <w:color w:val="000000"/>
                <w:sz w:val="20"/>
                <w:szCs w:val="20"/>
                <w:lang w:val="en-US"/>
              </w:rPr>
            </w:pPr>
            <w:r>
              <w:rPr>
                <w:rFonts w:hint="eastAsia" w:ascii="仿宋" w:hAnsi="仿宋" w:eastAsia="仿宋"/>
                <w:color w:val="000000"/>
                <w:szCs w:val="21"/>
              </w:rPr>
              <w:t>≥</w:t>
            </w:r>
            <w:r>
              <w:rPr>
                <w:rFonts w:hint="eastAsia" w:ascii="仿宋" w:hAnsi="仿宋" w:eastAsia="仿宋"/>
                <w:color w:val="000000"/>
                <w:szCs w:val="21"/>
                <w:lang w:val="en-US" w:eastAsia="zh-CN"/>
              </w:rPr>
              <w:t>90%</w:t>
            </w:r>
          </w:p>
        </w:tc>
        <w:tc>
          <w:tcPr>
            <w:tcW w:w="5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center"/>
              <w:textAlignment w:val="center"/>
              <w:rPr>
                <w:rFonts w:hint="eastAsia" w:ascii="仿宋_GB2312" w:hAnsi="仿宋_GB2312" w:eastAsia="仿宋_GB2312" w:cs="仿宋_GB2312"/>
                <w:b/>
                <w:color w:val="000000"/>
                <w:kern w:val="2"/>
                <w:sz w:val="24"/>
                <w:szCs w:val="24"/>
                <w:lang w:val="en-US" w:eastAsia="zh-CN" w:bidi="ar-SA"/>
              </w:rPr>
            </w:pPr>
            <w:r>
              <w:rPr>
                <w:rFonts w:hint="eastAsia" w:ascii="仿宋" w:hAnsi="仿宋" w:eastAsia="仿宋"/>
                <w:color w:val="000000"/>
                <w:szCs w:val="21"/>
                <w:lang w:val="en-US" w:eastAsia="zh-CN"/>
              </w:rPr>
              <w:t>88</w:t>
            </w:r>
            <w:r>
              <w:rPr>
                <w:rFonts w:hint="eastAsia" w:ascii="仿宋" w:hAnsi="仿宋" w:eastAsia="仿宋"/>
                <w:color w:val="000000"/>
                <w:szCs w:val="21"/>
              </w:rPr>
              <w:t>%</w:t>
            </w:r>
          </w:p>
        </w:tc>
        <w:tc>
          <w:tcPr>
            <w:tcW w:w="41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eastAsia" w:ascii="仿宋" w:hAnsi="仿宋" w:eastAsia="仿宋"/>
                <w:color w:val="000000"/>
                <w:sz w:val="20"/>
                <w:szCs w:val="20"/>
                <w:lang w:val="en-US" w:eastAsia="zh-CN"/>
              </w:rPr>
            </w:pPr>
            <w:r>
              <w:rPr>
                <w:rFonts w:hint="eastAsia" w:ascii="仿宋" w:hAnsi="仿宋" w:eastAsia="仿宋"/>
                <w:color w:val="000000"/>
                <w:sz w:val="20"/>
                <w:szCs w:val="20"/>
              </w:rPr>
              <w:t>　</w:t>
            </w:r>
            <w:r>
              <w:rPr>
                <w:rFonts w:hint="eastAsia" w:ascii="仿宋" w:hAnsi="仿宋" w:eastAsia="仿宋"/>
                <w:color w:val="000000"/>
                <w:sz w:val="20"/>
                <w:szCs w:val="20"/>
                <w:lang w:val="en-US" w:eastAsia="zh-CN"/>
              </w:rPr>
              <w:t>2</w:t>
            </w: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eastAsia" w:ascii="仿宋" w:hAnsi="仿宋" w:eastAsia="仿宋"/>
                <w:color w:val="000000"/>
                <w:sz w:val="20"/>
                <w:szCs w:val="20"/>
                <w:lang w:val="en-US" w:eastAsia="zh-CN"/>
              </w:rPr>
            </w:pPr>
            <w:r>
              <w:rPr>
                <w:rFonts w:hint="eastAsia" w:ascii="仿宋" w:hAnsi="仿宋" w:eastAsia="仿宋"/>
                <w:color w:val="000000"/>
                <w:sz w:val="20"/>
                <w:szCs w:val="20"/>
              </w:rPr>
              <w:t>　</w:t>
            </w:r>
            <w:r>
              <w:rPr>
                <w:rFonts w:hint="eastAsia" w:ascii="仿宋" w:hAnsi="仿宋" w:eastAsia="仿宋"/>
                <w:color w:val="000000"/>
                <w:sz w:val="20"/>
                <w:szCs w:val="20"/>
                <w:lang w:val="en-US" w:eastAsia="zh-CN"/>
              </w:rPr>
              <w:t>0</w:t>
            </w:r>
          </w:p>
        </w:tc>
        <w:tc>
          <w:tcPr>
            <w:tcW w:w="8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eastAsia" w:ascii="仿宋" w:hAnsi="仿宋" w:eastAsia="仿宋"/>
                <w:color w:val="000000"/>
                <w:sz w:val="20"/>
                <w:szCs w:val="20"/>
              </w:rPr>
            </w:pPr>
            <w:r>
              <w:rPr>
                <w:rFonts w:hint="eastAsia" w:ascii="仿宋" w:hAnsi="仿宋" w:eastAsia="仿宋"/>
                <w:color w:val="000000"/>
                <w:sz w:val="20"/>
                <w:szCs w:val="20"/>
              </w:rPr>
              <w:t>　</w:t>
            </w:r>
          </w:p>
        </w:tc>
      </w:tr>
      <w:tr>
        <w:tblPrEx>
          <w:tblCellMar>
            <w:top w:w="0" w:type="dxa"/>
            <w:left w:w="108" w:type="dxa"/>
            <w:bottom w:w="0" w:type="dxa"/>
            <w:right w:w="108" w:type="dxa"/>
          </w:tblCellMar>
        </w:tblPrEx>
        <w:trPr>
          <w:trHeight w:val="1020" w:hRule="atLeast"/>
          <w:jc w:val="center"/>
        </w:trPr>
        <w:tc>
          <w:tcPr>
            <w:tcW w:w="58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时效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6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eastAsia" w:ascii="仿宋" w:hAnsi="仿宋" w:eastAsia="仿宋" w:cs="仿宋"/>
                <w:kern w:val="2"/>
                <w:sz w:val="20"/>
                <w:szCs w:val="20"/>
                <w:lang w:val="en-US" w:eastAsia="zh-CN" w:bidi="ar-SA"/>
              </w:rPr>
            </w:pPr>
            <w:r>
              <w:rPr>
                <w:rFonts w:hint="eastAsia" w:ascii="仿宋" w:hAnsi="仿宋" w:eastAsia="仿宋"/>
                <w:color w:val="000000"/>
                <w:sz w:val="20"/>
                <w:szCs w:val="20"/>
              </w:rPr>
              <w:t>按时间节点完成目标任务</w:t>
            </w:r>
          </w:p>
        </w:tc>
        <w:tc>
          <w:tcPr>
            <w:tcW w:w="53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olor w:val="000000"/>
                <w:szCs w:val="21"/>
              </w:rPr>
              <w:t>按时按质完成任务</w:t>
            </w:r>
          </w:p>
        </w:tc>
        <w:tc>
          <w:tcPr>
            <w:tcW w:w="5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olor w:val="000000"/>
                <w:szCs w:val="21"/>
              </w:rPr>
              <w:t>按时按质完成任务</w:t>
            </w:r>
          </w:p>
        </w:tc>
        <w:tc>
          <w:tcPr>
            <w:tcW w:w="41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lang w:val="en-US" w:eastAsia="zh-CN"/>
              </w:rPr>
            </w:pPr>
            <w:r>
              <w:rPr>
                <w:rFonts w:hint="eastAsia" w:ascii="新宋体" w:hAnsi="新宋体" w:eastAsia="新宋体" w:cs="新宋体"/>
                <w:color w:val="000000"/>
                <w:sz w:val="20"/>
                <w:szCs w:val="20"/>
              </w:rPr>
              <w:t>　</w:t>
            </w:r>
            <w:r>
              <w:rPr>
                <w:rFonts w:hint="eastAsia" w:ascii="新宋体" w:hAnsi="新宋体" w:eastAsia="新宋体" w:cs="新宋体"/>
                <w:color w:val="000000"/>
                <w:sz w:val="20"/>
                <w:szCs w:val="20"/>
                <w:lang w:val="en-US" w:eastAsia="zh-CN"/>
              </w:rPr>
              <w:t>5</w:t>
            </w: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lang w:val="en-US" w:eastAsia="zh-CN"/>
              </w:rPr>
            </w:pPr>
            <w:r>
              <w:rPr>
                <w:rFonts w:hint="eastAsia" w:ascii="新宋体" w:hAnsi="新宋体" w:eastAsia="新宋体" w:cs="新宋体"/>
                <w:color w:val="000000"/>
                <w:sz w:val="20"/>
                <w:szCs w:val="20"/>
              </w:rPr>
              <w:t>　</w:t>
            </w:r>
            <w:r>
              <w:rPr>
                <w:rFonts w:hint="eastAsia" w:ascii="新宋体" w:hAnsi="新宋体" w:eastAsia="新宋体" w:cs="新宋体"/>
                <w:color w:val="000000"/>
                <w:sz w:val="20"/>
                <w:szCs w:val="20"/>
                <w:lang w:val="en-US" w:eastAsia="zh-CN"/>
              </w:rPr>
              <w:t>5</w:t>
            </w:r>
          </w:p>
        </w:tc>
        <w:tc>
          <w:tcPr>
            <w:tcW w:w="8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rPr>
            </w:pPr>
            <w:r>
              <w:rPr>
                <w:rFonts w:hint="eastAsia" w:ascii="新宋体" w:hAnsi="新宋体" w:eastAsia="新宋体" w:cs="新宋体"/>
                <w:color w:val="000000"/>
                <w:sz w:val="20"/>
                <w:szCs w:val="20"/>
              </w:rPr>
              <w:t>　</w:t>
            </w:r>
          </w:p>
        </w:tc>
      </w:tr>
      <w:tr>
        <w:tblPrEx>
          <w:tblCellMar>
            <w:top w:w="0" w:type="dxa"/>
            <w:left w:w="108" w:type="dxa"/>
            <w:bottom w:w="0" w:type="dxa"/>
            <w:right w:w="108" w:type="dxa"/>
          </w:tblCellMar>
        </w:tblPrEx>
        <w:trPr>
          <w:trHeight w:val="1020" w:hRule="atLeast"/>
          <w:jc w:val="center"/>
        </w:trPr>
        <w:tc>
          <w:tcPr>
            <w:tcW w:w="58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eastAsia" w:ascii="仿宋" w:hAnsi="仿宋" w:eastAsia="仿宋" w:cs="仿宋"/>
                <w:kern w:val="2"/>
                <w:sz w:val="20"/>
                <w:szCs w:val="20"/>
                <w:lang w:val="en-US" w:eastAsia="zh-CN" w:bidi="ar-SA"/>
              </w:rPr>
            </w:pPr>
            <w:r>
              <w:rPr>
                <w:rFonts w:hint="eastAsia" w:ascii="仿宋" w:hAnsi="仿宋" w:eastAsia="仿宋"/>
                <w:color w:val="000000"/>
                <w:sz w:val="20"/>
                <w:szCs w:val="20"/>
              </w:rPr>
              <w:t>公用经费保障性支出及时性</w:t>
            </w:r>
          </w:p>
        </w:tc>
        <w:tc>
          <w:tcPr>
            <w:tcW w:w="53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olor w:val="000000"/>
                <w:szCs w:val="21"/>
              </w:rPr>
              <w:t>≥</w:t>
            </w:r>
            <w:r>
              <w:rPr>
                <w:rFonts w:hint="eastAsia" w:ascii="仿宋" w:hAnsi="仿宋" w:eastAsia="仿宋"/>
                <w:color w:val="000000"/>
                <w:szCs w:val="21"/>
                <w:lang w:val="en-US" w:eastAsia="zh-CN"/>
              </w:rPr>
              <w:t>90%</w:t>
            </w:r>
          </w:p>
        </w:tc>
        <w:tc>
          <w:tcPr>
            <w:tcW w:w="5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olor w:val="000000"/>
                <w:szCs w:val="21"/>
              </w:rPr>
              <w:t>100%</w:t>
            </w:r>
          </w:p>
        </w:tc>
        <w:tc>
          <w:tcPr>
            <w:tcW w:w="41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lang w:val="en-US" w:eastAsia="zh-CN"/>
              </w:rPr>
            </w:pPr>
            <w:r>
              <w:rPr>
                <w:rFonts w:hint="eastAsia" w:ascii="新宋体" w:hAnsi="新宋体" w:eastAsia="新宋体" w:cs="新宋体"/>
                <w:color w:val="000000"/>
                <w:sz w:val="20"/>
                <w:szCs w:val="20"/>
              </w:rPr>
              <w:t>　</w:t>
            </w:r>
            <w:r>
              <w:rPr>
                <w:rFonts w:hint="eastAsia" w:ascii="新宋体" w:hAnsi="新宋体" w:eastAsia="新宋体" w:cs="新宋体"/>
                <w:color w:val="000000"/>
                <w:sz w:val="20"/>
                <w:szCs w:val="20"/>
                <w:lang w:val="en-US" w:eastAsia="zh-CN"/>
              </w:rPr>
              <w:t>5</w:t>
            </w: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lang w:val="en-US" w:eastAsia="zh-CN"/>
              </w:rPr>
            </w:pPr>
            <w:r>
              <w:rPr>
                <w:rFonts w:hint="eastAsia" w:ascii="新宋体" w:hAnsi="新宋体" w:eastAsia="新宋体" w:cs="新宋体"/>
                <w:color w:val="000000"/>
                <w:sz w:val="20"/>
                <w:szCs w:val="20"/>
              </w:rPr>
              <w:t>　</w:t>
            </w:r>
            <w:r>
              <w:rPr>
                <w:rFonts w:hint="eastAsia" w:ascii="新宋体" w:hAnsi="新宋体" w:eastAsia="新宋体" w:cs="新宋体"/>
                <w:color w:val="000000"/>
                <w:sz w:val="20"/>
                <w:szCs w:val="20"/>
                <w:lang w:val="en-US" w:eastAsia="zh-CN"/>
              </w:rPr>
              <w:t>5</w:t>
            </w:r>
          </w:p>
        </w:tc>
        <w:tc>
          <w:tcPr>
            <w:tcW w:w="8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rPr>
            </w:pPr>
            <w:r>
              <w:rPr>
                <w:rFonts w:hint="eastAsia" w:ascii="新宋体" w:hAnsi="新宋体" w:eastAsia="新宋体" w:cs="新宋体"/>
                <w:color w:val="000000"/>
                <w:sz w:val="20"/>
                <w:szCs w:val="20"/>
              </w:rPr>
              <w:t>　</w:t>
            </w:r>
          </w:p>
        </w:tc>
      </w:tr>
      <w:tr>
        <w:tblPrEx>
          <w:tblCellMar>
            <w:top w:w="0" w:type="dxa"/>
            <w:left w:w="108" w:type="dxa"/>
            <w:bottom w:w="0" w:type="dxa"/>
            <w:right w:w="108" w:type="dxa"/>
          </w:tblCellMar>
        </w:tblPrEx>
        <w:trPr>
          <w:trHeight w:val="1020" w:hRule="atLeast"/>
          <w:jc w:val="center"/>
        </w:trPr>
        <w:tc>
          <w:tcPr>
            <w:tcW w:w="58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eastAsia" w:ascii="仿宋_GB2312" w:hAnsi="仿宋_GB2312" w:eastAsia="仿宋_GB2312" w:cs="仿宋_GB2312"/>
                <w:color w:val="000000"/>
                <w:kern w:val="2"/>
                <w:sz w:val="20"/>
                <w:szCs w:val="20"/>
                <w:lang w:val="en-US" w:eastAsia="zh-CN" w:bidi="ar-SA"/>
              </w:rPr>
            </w:pPr>
            <w:r>
              <w:rPr>
                <w:rFonts w:hint="eastAsia" w:ascii="仿宋" w:hAnsi="仿宋" w:eastAsia="仿宋"/>
                <w:color w:val="000000"/>
                <w:sz w:val="20"/>
                <w:szCs w:val="20"/>
              </w:rPr>
              <w:t>专项资金支付进度</w:t>
            </w:r>
          </w:p>
        </w:tc>
        <w:tc>
          <w:tcPr>
            <w:tcW w:w="53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center"/>
              <w:textAlignment w:val="center"/>
              <w:rPr>
                <w:rFonts w:hint="eastAsia" w:ascii="仿宋_GB2312" w:hAnsi="仿宋_GB2312" w:eastAsia="仿宋_GB2312" w:cs="仿宋_GB2312"/>
                <w:b/>
                <w:color w:val="000000"/>
                <w:kern w:val="2"/>
                <w:sz w:val="24"/>
                <w:szCs w:val="24"/>
                <w:lang w:val="en-US" w:eastAsia="zh-CN" w:bidi="ar-SA"/>
              </w:rPr>
            </w:pPr>
            <w:r>
              <w:rPr>
                <w:rFonts w:hint="eastAsia" w:ascii="仿宋" w:hAnsi="仿宋" w:eastAsia="仿宋"/>
                <w:color w:val="000000"/>
                <w:szCs w:val="21"/>
              </w:rPr>
              <w:t>≥</w:t>
            </w:r>
            <w:r>
              <w:rPr>
                <w:rFonts w:hint="eastAsia" w:ascii="仿宋" w:hAnsi="仿宋" w:eastAsia="仿宋"/>
                <w:color w:val="000000"/>
                <w:szCs w:val="21"/>
                <w:lang w:val="en-US" w:eastAsia="zh-CN"/>
              </w:rPr>
              <w:t>90%</w:t>
            </w:r>
          </w:p>
        </w:tc>
        <w:tc>
          <w:tcPr>
            <w:tcW w:w="5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center"/>
              <w:textAlignment w:val="center"/>
              <w:rPr>
                <w:rFonts w:hint="eastAsia" w:ascii="仿宋_GB2312" w:hAnsi="仿宋_GB2312" w:eastAsia="仿宋_GB2312" w:cs="仿宋_GB2312"/>
                <w:b/>
                <w:color w:val="000000"/>
                <w:kern w:val="2"/>
                <w:sz w:val="24"/>
                <w:szCs w:val="24"/>
                <w:lang w:val="en-US" w:eastAsia="zh-CN" w:bidi="ar-SA"/>
              </w:rPr>
            </w:pPr>
            <w:r>
              <w:rPr>
                <w:rFonts w:hint="eastAsia" w:ascii="仿宋" w:hAnsi="仿宋" w:eastAsia="仿宋"/>
                <w:color w:val="000000"/>
                <w:szCs w:val="21"/>
              </w:rPr>
              <w:t>100%</w:t>
            </w:r>
          </w:p>
        </w:tc>
        <w:tc>
          <w:tcPr>
            <w:tcW w:w="41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lang w:val="en-US" w:eastAsia="zh-CN"/>
              </w:rPr>
            </w:pPr>
            <w:r>
              <w:rPr>
                <w:rFonts w:hint="eastAsia" w:ascii="新宋体" w:hAnsi="新宋体" w:eastAsia="新宋体" w:cs="新宋体"/>
                <w:color w:val="000000"/>
                <w:sz w:val="20"/>
                <w:szCs w:val="20"/>
              </w:rPr>
              <w:t>　</w:t>
            </w:r>
            <w:r>
              <w:rPr>
                <w:rFonts w:hint="eastAsia" w:ascii="新宋体" w:hAnsi="新宋体" w:eastAsia="新宋体" w:cs="新宋体"/>
                <w:color w:val="000000"/>
                <w:sz w:val="20"/>
                <w:szCs w:val="20"/>
                <w:lang w:val="en-US" w:eastAsia="zh-CN"/>
              </w:rPr>
              <w:t>5</w:t>
            </w: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lang w:val="en-US" w:eastAsia="zh-CN"/>
              </w:rPr>
            </w:pPr>
            <w:r>
              <w:rPr>
                <w:rFonts w:hint="eastAsia" w:ascii="新宋体" w:hAnsi="新宋体" w:eastAsia="新宋体" w:cs="新宋体"/>
                <w:color w:val="000000"/>
                <w:sz w:val="20"/>
                <w:szCs w:val="20"/>
              </w:rPr>
              <w:t>　</w:t>
            </w:r>
            <w:r>
              <w:rPr>
                <w:rFonts w:hint="eastAsia" w:ascii="新宋体" w:hAnsi="新宋体" w:eastAsia="新宋体" w:cs="新宋体"/>
                <w:color w:val="000000"/>
                <w:sz w:val="20"/>
                <w:szCs w:val="20"/>
                <w:lang w:val="en-US" w:eastAsia="zh-CN"/>
              </w:rPr>
              <w:t>5</w:t>
            </w:r>
          </w:p>
        </w:tc>
        <w:tc>
          <w:tcPr>
            <w:tcW w:w="8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rPr>
            </w:pPr>
            <w:r>
              <w:rPr>
                <w:rFonts w:hint="eastAsia" w:ascii="新宋体" w:hAnsi="新宋体" w:eastAsia="新宋体" w:cs="新宋体"/>
                <w:color w:val="000000"/>
                <w:sz w:val="20"/>
                <w:szCs w:val="20"/>
              </w:rPr>
              <w:t>　</w:t>
            </w:r>
          </w:p>
        </w:tc>
      </w:tr>
      <w:tr>
        <w:tblPrEx>
          <w:tblCellMar>
            <w:top w:w="0" w:type="dxa"/>
            <w:left w:w="108" w:type="dxa"/>
            <w:bottom w:w="0" w:type="dxa"/>
            <w:right w:w="108" w:type="dxa"/>
          </w:tblCellMar>
        </w:tblPrEx>
        <w:trPr>
          <w:trHeight w:val="1020" w:hRule="atLeast"/>
          <w:jc w:val="center"/>
        </w:trPr>
        <w:tc>
          <w:tcPr>
            <w:tcW w:w="58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成本</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6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eastAsia" w:ascii="仿宋_GB2312" w:hAnsi="仿宋_GB2312" w:eastAsia="仿宋_GB2312" w:cs="仿宋_GB2312"/>
                <w:color w:val="000000"/>
                <w:kern w:val="2"/>
                <w:sz w:val="24"/>
                <w:szCs w:val="24"/>
                <w:lang w:val="en-US" w:eastAsia="zh-CN" w:bidi="ar-SA"/>
              </w:rPr>
            </w:pPr>
            <w:r>
              <w:rPr>
                <w:rFonts w:hint="eastAsia" w:ascii="仿宋" w:hAnsi="仿宋" w:eastAsia="仿宋"/>
                <w:color w:val="000000"/>
                <w:szCs w:val="21"/>
              </w:rPr>
              <w:t>人员费用金额</w:t>
            </w:r>
          </w:p>
        </w:tc>
        <w:tc>
          <w:tcPr>
            <w:tcW w:w="53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0"/>
                <w:szCs w:val="20"/>
                <w:lang w:val="en-US" w:eastAsia="zh-CN"/>
              </w:rPr>
            </w:pPr>
            <w:r>
              <w:rPr>
                <w:rFonts w:hint="eastAsia" w:ascii="新宋体" w:hAnsi="新宋体" w:eastAsia="新宋体" w:cs="新宋体"/>
                <w:color w:val="000000"/>
                <w:sz w:val="20"/>
                <w:szCs w:val="20"/>
              </w:rPr>
              <w:t>　</w:t>
            </w:r>
            <w:r>
              <w:rPr>
                <w:rFonts w:hint="default" w:ascii="Arial" w:hAnsi="Arial" w:eastAsia="新宋体" w:cs="Arial"/>
                <w:color w:val="000000"/>
                <w:sz w:val="20"/>
                <w:szCs w:val="20"/>
              </w:rPr>
              <w:t>≤</w:t>
            </w:r>
            <w:r>
              <w:rPr>
                <w:rFonts w:hint="eastAsia" w:ascii="新宋体" w:hAnsi="新宋体" w:eastAsia="新宋体" w:cs="新宋体"/>
                <w:color w:val="000000"/>
                <w:sz w:val="20"/>
                <w:szCs w:val="20"/>
                <w:lang w:val="en-US" w:eastAsia="zh-CN"/>
              </w:rPr>
              <w:t>1200万元</w:t>
            </w:r>
          </w:p>
        </w:tc>
        <w:tc>
          <w:tcPr>
            <w:tcW w:w="5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0"/>
                <w:szCs w:val="20"/>
                <w:lang w:val="en-US" w:eastAsia="zh-CN"/>
              </w:rPr>
            </w:pPr>
            <w:r>
              <w:rPr>
                <w:rFonts w:hint="eastAsia" w:ascii="新宋体" w:hAnsi="新宋体" w:eastAsia="新宋体" w:cs="新宋体"/>
                <w:color w:val="000000"/>
                <w:sz w:val="20"/>
                <w:szCs w:val="20"/>
              </w:rPr>
              <w:t>　</w:t>
            </w:r>
            <w:r>
              <w:rPr>
                <w:rFonts w:hint="eastAsia" w:ascii="新宋体" w:hAnsi="新宋体" w:eastAsia="新宋体" w:cs="新宋体"/>
                <w:color w:val="000000"/>
                <w:sz w:val="20"/>
                <w:szCs w:val="20"/>
                <w:lang w:val="en-US" w:eastAsia="zh-CN"/>
              </w:rPr>
              <w:t>1147.20万元</w:t>
            </w:r>
          </w:p>
        </w:tc>
        <w:tc>
          <w:tcPr>
            <w:tcW w:w="41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lang w:val="en-US" w:eastAsia="zh-CN"/>
              </w:rPr>
            </w:pPr>
            <w:r>
              <w:rPr>
                <w:rFonts w:hint="eastAsia" w:ascii="新宋体" w:hAnsi="新宋体" w:eastAsia="新宋体" w:cs="新宋体"/>
                <w:color w:val="000000"/>
                <w:sz w:val="20"/>
                <w:szCs w:val="20"/>
              </w:rPr>
              <w:t>　</w:t>
            </w:r>
            <w:r>
              <w:rPr>
                <w:rFonts w:hint="eastAsia" w:ascii="新宋体" w:hAnsi="新宋体" w:eastAsia="新宋体" w:cs="新宋体"/>
                <w:color w:val="000000"/>
                <w:sz w:val="20"/>
                <w:szCs w:val="20"/>
                <w:lang w:val="en-US" w:eastAsia="zh-CN"/>
              </w:rPr>
              <w:t>5</w:t>
            </w: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lang w:val="en-US" w:eastAsia="zh-CN"/>
              </w:rPr>
            </w:pPr>
            <w:r>
              <w:rPr>
                <w:rFonts w:hint="eastAsia" w:ascii="新宋体" w:hAnsi="新宋体" w:eastAsia="新宋体" w:cs="新宋体"/>
                <w:color w:val="000000"/>
                <w:sz w:val="20"/>
                <w:szCs w:val="20"/>
              </w:rPr>
              <w:t>　</w:t>
            </w:r>
            <w:r>
              <w:rPr>
                <w:rFonts w:hint="eastAsia" w:ascii="新宋体" w:hAnsi="新宋体" w:eastAsia="新宋体" w:cs="新宋体"/>
                <w:color w:val="000000"/>
                <w:sz w:val="20"/>
                <w:szCs w:val="20"/>
                <w:lang w:val="en-US" w:eastAsia="zh-CN"/>
              </w:rPr>
              <w:t>5</w:t>
            </w:r>
          </w:p>
        </w:tc>
        <w:tc>
          <w:tcPr>
            <w:tcW w:w="8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rPr>
            </w:pPr>
            <w:r>
              <w:rPr>
                <w:rFonts w:hint="eastAsia" w:ascii="新宋体" w:hAnsi="新宋体" w:eastAsia="新宋体" w:cs="新宋体"/>
                <w:color w:val="000000"/>
                <w:sz w:val="20"/>
                <w:szCs w:val="20"/>
              </w:rPr>
              <w:t>　</w:t>
            </w:r>
          </w:p>
        </w:tc>
      </w:tr>
      <w:tr>
        <w:tblPrEx>
          <w:tblCellMar>
            <w:top w:w="0" w:type="dxa"/>
            <w:left w:w="108" w:type="dxa"/>
            <w:bottom w:w="0" w:type="dxa"/>
            <w:right w:w="108" w:type="dxa"/>
          </w:tblCellMar>
        </w:tblPrEx>
        <w:trPr>
          <w:trHeight w:val="1020" w:hRule="atLeast"/>
          <w:jc w:val="center"/>
        </w:trPr>
        <w:tc>
          <w:tcPr>
            <w:tcW w:w="58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6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eastAsia" w:ascii="仿宋_GB2312" w:hAnsi="仿宋_GB2312" w:eastAsia="仿宋_GB2312" w:cs="仿宋_GB2312"/>
                <w:color w:val="000000"/>
                <w:kern w:val="2"/>
                <w:sz w:val="24"/>
                <w:szCs w:val="24"/>
                <w:lang w:val="en-US" w:eastAsia="zh-CN" w:bidi="ar-SA"/>
              </w:rPr>
            </w:pPr>
            <w:r>
              <w:rPr>
                <w:rFonts w:hint="eastAsia" w:ascii="仿宋" w:hAnsi="仿宋" w:eastAsia="仿宋"/>
                <w:color w:val="000000"/>
                <w:szCs w:val="21"/>
              </w:rPr>
              <w:t>公用费用金额</w:t>
            </w:r>
          </w:p>
        </w:tc>
        <w:tc>
          <w:tcPr>
            <w:tcW w:w="53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rPr>
            </w:pPr>
            <w:r>
              <w:rPr>
                <w:rFonts w:hint="eastAsia" w:ascii="新宋体" w:hAnsi="新宋体" w:eastAsia="新宋体" w:cs="新宋体"/>
                <w:color w:val="000000"/>
                <w:sz w:val="20"/>
                <w:szCs w:val="20"/>
              </w:rPr>
              <w:t>　</w:t>
            </w:r>
            <w:r>
              <w:rPr>
                <w:rFonts w:hint="default" w:ascii="Arial" w:hAnsi="Arial" w:eastAsia="新宋体" w:cs="Arial"/>
                <w:color w:val="000000"/>
                <w:sz w:val="20"/>
                <w:szCs w:val="20"/>
              </w:rPr>
              <w:t>≤</w:t>
            </w:r>
            <w:r>
              <w:rPr>
                <w:rFonts w:hint="eastAsia" w:ascii="新宋体" w:hAnsi="新宋体" w:eastAsia="新宋体" w:cs="新宋体"/>
                <w:color w:val="000000"/>
                <w:sz w:val="20"/>
                <w:szCs w:val="20"/>
                <w:lang w:val="en-US" w:eastAsia="zh-CN"/>
              </w:rPr>
              <w:t>1200万元</w:t>
            </w:r>
          </w:p>
        </w:tc>
        <w:tc>
          <w:tcPr>
            <w:tcW w:w="5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0"/>
                <w:szCs w:val="20"/>
                <w:lang w:val="en-US" w:eastAsia="zh-CN"/>
              </w:rPr>
            </w:pPr>
            <w:r>
              <w:rPr>
                <w:rFonts w:hint="eastAsia" w:ascii="新宋体" w:hAnsi="新宋体" w:eastAsia="新宋体" w:cs="新宋体"/>
                <w:color w:val="000000"/>
                <w:sz w:val="20"/>
                <w:szCs w:val="20"/>
              </w:rPr>
              <w:t>　</w:t>
            </w:r>
            <w:r>
              <w:rPr>
                <w:rFonts w:hint="eastAsia" w:ascii="新宋体" w:hAnsi="新宋体" w:eastAsia="新宋体" w:cs="新宋体"/>
                <w:color w:val="000000"/>
                <w:sz w:val="20"/>
                <w:szCs w:val="20"/>
                <w:lang w:val="en-US" w:eastAsia="zh-CN"/>
              </w:rPr>
              <w:t>1114.92万元</w:t>
            </w:r>
          </w:p>
        </w:tc>
        <w:tc>
          <w:tcPr>
            <w:tcW w:w="41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lang w:val="en-US" w:eastAsia="zh-CN"/>
              </w:rPr>
            </w:pPr>
            <w:r>
              <w:rPr>
                <w:rFonts w:hint="eastAsia" w:ascii="新宋体" w:hAnsi="新宋体" w:eastAsia="新宋体" w:cs="新宋体"/>
                <w:color w:val="000000"/>
                <w:sz w:val="20"/>
                <w:szCs w:val="20"/>
              </w:rPr>
              <w:t>　</w:t>
            </w:r>
            <w:r>
              <w:rPr>
                <w:rFonts w:hint="eastAsia" w:ascii="新宋体" w:hAnsi="新宋体" w:eastAsia="新宋体" w:cs="新宋体"/>
                <w:color w:val="000000"/>
                <w:sz w:val="20"/>
                <w:szCs w:val="20"/>
                <w:lang w:val="en-US" w:eastAsia="zh-CN"/>
              </w:rPr>
              <w:t>5</w:t>
            </w: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lang w:val="en-US" w:eastAsia="zh-CN"/>
              </w:rPr>
            </w:pPr>
            <w:r>
              <w:rPr>
                <w:rFonts w:hint="eastAsia" w:ascii="新宋体" w:hAnsi="新宋体" w:eastAsia="新宋体" w:cs="新宋体"/>
                <w:color w:val="000000"/>
                <w:sz w:val="20"/>
                <w:szCs w:val="20"/>
              </w:rPr>
              <w:t>　</w:t>
            </w:r>
            <w:r>
              <w:rPr>
                <w:rFonts w:hint="eastAsia" w:ascii="新宋体" w:hAnsi="新宋体" w:eastAsia="新宋体" w:cs="新宋体"/>
                <w:color w:val="000000"/>
                <w:sz w:val="20"/>
                <w:szCs w:val="20"/>
                <w:lang w:val="en-US" w:eastAsia="zh-CN"/>
              </w:rPr>
              <w:t>5</w:t>
            </w:r>
          </w:p>
        </w:tc>
        <w:tc>
          <w:tcPr>
            <w:tcW w:w="8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rPr>
            </w:pPr>
            <w:r>
              <w:rPr>
                <w:rFonts w:hint="eastAsia" w:ascii="新宋体" w:hAnsi="新宋体" w:eastAsia="新宋体" w:cs="新宋体"/>
                <w:color w:val="000000"/>
                <w:sz w:val="20"/>
                <w:szCs w:val="20"/>
              </w:rPr>
              <w:t>　</w:t>
            </w:r>
          </w:p>
        </w:tc>
      </w:tr>
      <w:tr>
        <w:tblPrEx>
          <w:tblCellMar>
            <w:top w:w="0" w:type="dxa"/>
            <w:left w:w="108" w:type="dxa"/>
            <w:bottom w:w="0" w:type="dxa"/>
            <w:right w:w="108" w:type="dxa"/>
          </w:tblCellMar>
        </w:tblPrEx>
        <w:trPr>
          <w:trHeight w:val="1020" w:hRule="atLeast"/>
          <w:jc w:val="center"/>
        </w:trPr>
        <w:tc>
          <w:tcPr>
            <w:tcW w:w="58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6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rPr>
            </w:pPr>
          </w:p>
          <w:p>
            <w:pPr>
              <w:pStyle w:val="2"/>
              <w:keepNext w:val="0"/>
              <w:keepLines w:val="0"/>
              <w:widowControl w:val="0"/>
              <w:numPr>
                <w:ilvl w:val="0"/>
                <w:numId w:val="0"/>
              </w:numPr>
              <w:suppressLineNumbers w:val="0"/>
              <w:spacing w:before="0" w:beforeAutospacing="0" w:after="0" w:afterAutospacing="0"/>
              <w:ind w:left="0" w:right="0"/>
              <w:jc w:val="both"/>
              <w:rPr>
                <w:rFonts w:hint="eastAsia"/>
              </w:rPr>
            </w:pPr>
          </w:p>
        </w:tc>
        <w:tc>
          <w:tcPr>
            <w:tcW w:w="53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rPr>
            </w:pPr>
            <w:r>
              <w:rPr>
                <w:rFonts w:hint="eastAsia" w:ascii="新宋体" w:hAnsi="新宋体" w:eastAsia="新宋体" w:cs="新宋体"/>
                <w:color w:val="000000"/>
                <w:sz w:val="20"/>
                <w:szCs w:val="20"/>
              </w:rPr>
              <w:t>　</w:t>
            </w:r>
          </w:p>
        </w:tc>
        <w:tc>
          <w:tcPr>
            <w:tcW w:w="5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rPr>
            </w:pPr>
            <w:r>
              <w:rPr>
                <w:rFonts w:hint="eastAsia" w:ascii="新宋体" w:hAnsi="新宋体" w:eastAsia="新宋体" w:cs="新宋体"/>
                <w:color w:val="000000"/>
                <w:sz w:val="20"/>
                <w:szCs w:val="20"/>
              </w:rPr>
              <w:t>　</w:t>
            </w:r>
          </w:p>
        </w:tc>
        <w:tc>
          <w:tcPr>
            <w:tcW w:w="41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rPr>
            </w:pPr>
            <w:r>
              <w:rPr>
                <w:rFonts w:hint="eastAsia" w:ascii="新宋体" w:hAnsi="新宋体" w:eastAsia="新宋体" w:cs="新宋体"/>
                <w:color w:val="000000"/>
                <w:sz w:val="20"/>
                <w:szCs w:val="20"/>
              </w:rPr>
              <w:t>　</w:t>
            </w: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rPr>
            </w:pPr>
            <w:r>
              <w:rPr>
                <w:rFonts w:hint="eastAsia" w:ascii="新宋体" w:hAnsi="新宋体" w:eastAsia="新宋体" w:cs="新宋体"/>
                <w:color w:val="000000"/>
                <w:sz w:val="20"/>
                <w:szCs w:val="20"/>
              </w:rPr>
              <w:t>　</w:t>
            </w:r>
          </w:p>
        </w:tc>
        <w:tc>
          <w:tcPr>
            <w:tcW w:w="8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rPr>
            </w:pPr>
            <w:r>
              <w:rPr>
                <w:rFonts w:hint="eastAsia" w:ascii="新宋体" w:hAnsi="新宋体" w:eastAsia="新宋体" w:cs="新宋体"/>
                <w:color w:val="000000"/>
                <w:sz w:val="20"/>
                <w:szCs w:val="20"/>
              </w:rPr>
              <w:t>　</w:t>
            </w:r>
          </w:p>
        </w:tc>
      </w:tr>
      <w:tr>
        <w:tblPrEx>
          <w:tblCellMar>
            <w:top w:w="0" w:type="dxa"/>
            <w:left w:w="108" w:type="dxa"/>
            <w:bottom w:w="0" w:type="dxa"/>
            <w:right w:w="108" w:type="dxa"/>
          </w:tblCellMar>
        </w:tblPrEx>
        <w:trPr>
          <w:trHeight w:val="850" w:hRule="atLeast"/>
          <w:jc w:val="center"/>
        </w:trPr>
        <w:tc>
          <w:tcPr>
            <w:tcW w:w="586"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4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4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6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0"/>
                <w:szCs w:val="20"/>
              </w:rPr>
            </w:pPr>
            <w:r>
              <w:rPr>
                <w:rFonts w:hint="eastAsia" w:ascii="新宋体" w:hAnsi="新宋体" w:eastAsia="新宋体" w:cs="新宋体"/>
                <w:color w:val="000000"/>
                <w:sz w:val="20"/>
                <w:szCs w:val="20"/>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0"/>
                <w:szCs w:val="20"/>
              </w:rPr>
            </w:pPr>
            <w:r>
              <w:rPr>
                <w:rFonts w:hint="eastAsia" w:ascii="新宋体" w:hAnsi="新宋体" w:eastAsia="新宋体" w:cs="新宋体"/>
                <w:color w:val="000000"/>
                <w:sz w:val="20"/>
                <w:szCs w:val="20"/>
              </w:rPr>
              <w:t>指标</w:t>
            </w:r>
          </w:p>
        </w:tc>
        <w:tc>
          <w:tcPr>
            <w:tcW w:w="53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0"/>
                <w:szCs w:val="20"/>
              </w:rPr>
            </w:pPr>
            <w:r>
              <w:rPr>
                <w:rFonts w:hint="eastAsia" w:ascii="新宋体" w:hAnsi="新宋体" w:eastAsia="新宋体" w:cs="新宋体"/>
                <w:color w:val="000000"/>
                <w:sz w:val="20"/>
                <w:szCs w:val="20"/>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0"/>
                <w:szCs w:val="20"/>
              </w:rPr>
            </w:pPr>
            <w:r>
              <w:rPr>
                <w:rFonts w:hint="eastAsia" w:ascii="新宋体" w:hAnsi="新宋体" w:eastAsia="新宋体" w:cs="新宋体"/>
                <w:color w:val="000000"/>
                <w:sz w:val="20"/>
                <w:szCs w:val="20"/>
              </w:rPr>
              <w:t>指标值</w:t>
            </w:r>
          </w:p>
        </w:tc>
        <w:tc>
          <w:tcPr>
            <w:tcW w:w="5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0"/>
                <w:szCs w:val="20"/>
              </w:rPr>
            </w:pPr>
            <w:r>
              <w:rPr>
                <w:rFonts w:hint="eastAsia" w:ascii="新宋体" w:hAnsi="新宋体" w:eastAsia="新宋体" w:cs="新宋体"/>
                <w:color w:val="000000"/>
                <w:sz w:val="20"/>
                <w:szCs w:val="20"/>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0"/>
                <w:szCs w:val="20"/>
              </w:rPr>
            </w:pPr>
            <w:r>
              <w:rPr>
                <w:rFonts w:hint="eastAsia" w:ascii="新宋体" w:hAnsi="新宋体" w:eastAsia="新宋体" w:cs="新宋体"/>
                <w:color w:val="000000"/>
                <w:sz w:val="20"/>
                <w:szCs w:val="20"/>
              </w:rPr>
              <w:t>完成值</w:t>
            </w:r>
          </w:p>
        </w:tc>
        <w:tc>
          <w:tcPr>
            <w:tcW w:w="41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0"/>
                <w:szCs w:val="20"/>
              </w:rPr>
            </w:pPr>
            <w:r>
              <w:rPr>
                <w:rFonts w:hint="eastAsia" w:ascii="新宋体" w:hAnsi="新宋体" w:eastAsia="新宋体" w:cs="新宋体"/>
                <w:color w:val="000000"/>
                <w:sz w:val="20"/>
                <w:szCs w:val="20"/>
              </w:rPr>
              <w:t>分值</w:t>
            </w: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0"/>
                <w:szCs w:val="20"/>
              </w:rPr>
            </w:pPr>
            <w:r>
              <w:rPr>
                <w:rFonts w:hint="eastAsia" w:ascii="新宋体" w:hAnsi="新宋体" w:eastAsia="新宋体" w:cs="新宋体"/>
                <w:color w:val="000000"/>
                <w:sz w:val="20"/>
                <w:szCs w:val="20"/>
              </w:rPr>
              <w:t>得分</w:t>
            </w:r>
          </w:p>
        </w:tc>
        <w:tc>
          <w:tcPr>
            <w:tcW w:w="8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0"/>
                <w:szCs w:val="20"/>
              </w:rPr>
            </w:pPr>
            <w:r>
              <w:rPr>
                <w:rFonts w:hint="eastAsia" w:ascii="新宋体" w:hAnsi="新宋体" w:eastAsia="新宋体" w:cs="新宋体"/>
                <w:color w:val="000000"/>
                <w:sz w:val="20"/>
                <w:szCs w:val="20"/>
              </w:rPr>
              <w:t>偏差原因分析及改进措施</w:t>
            </w:r>
          </w:p>
        </w:tc>
      </w:tr>
      <w:tr>
        <w:tblPrEx>
          <w:tblCellMar>
            <w:top w:w="0" w:type="dxa"/>
            <w:left w:w="108" w:type="dxa"/>
            <w:bottom w:w="0" w:type="dxa"/>
            <w:right w:w="108" w:type="dxa"/>
          </w:tblCellMar>
        </w:tblPrEx>
        <w:trPr>
          <w:trHeight w:val="462" w:hRule="atLeast"/>
          <w:jc w:val="center"/>
        </w:trPr>
        <w:tc>
          <w:tcPr>
            <w:tcW w:w="586"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（30分）</w:t>
            </w:r>
          </w:p>
        </w:tc>
        <w:tc>
          <w:tcPr>
            <w:tcW w:w="46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6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eastAsia" w:ascii="仿宋_GB2312" w:hAnsi="仿宋_GB2312" w:eastAsia="仿宋_GB2312" w:cs="仿宋_GB2312"/>
                <w:color w:val="000000"/>
                <w:kern w:val="2"/>
                <w:sz w:val="24"/>
                <w:szCs w:val="24"/>
                <w:lang w:val="en-US" w:eastAsia="zh-CN" w:bidi="ar-SA"/>
              </w:rPr>
            </w:pPr>
            <w:r>
              <w:rPr>
                <w:rFonts w:hint="eastAsia" w:ascii="仿宋" w:hAnsi="仿宋" w:eastAsia="仿宋"/>
                <w:color w:val="000000"/>
                <w:szCs w:val="21"/>
                <w:lang w:eastAsia="zh-CN"/>
              </w:rPr>
              <w:t>贡献财政收入</w:t>
            </w:r>
          </w:p>
        </w:tc>
        <w:tc>
          <w:tcPr>
            <w:tcW w:w="53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center"/>
              <w:textAlignment w:val="center"/>
              <w:rPr>
                <w:rFonts w:hint="eastAsia" w:ascii="仿宋_GB2312" w:hAnsi="仿宋_GB2312" w:eastAsia="仿宋_GB2312" w:cs="仿宋_GB2312"/>
                <w:b/>
                <w:color w:val="000000"/>
                <w:kern w:val="2"/>
                <w:sz w:val="24"/>
                <w:szCs w:val="24"/>
                <w:lang w:val="en-US" w:eastAsia="zh-CN" w:bidi="ar-SA"/>
              </w:rPr>
            </w:pPr>
            <w:r>
              <w:rPr>
                <w:rFonts w:hint="default" w:ascii="Arial" w:hAnsi="Arial" w:eastAsia="仿宋" w:cs="Arial"/>
                <w:color w:val="000000"/>
                <w:szCs w:val="21"/>
                <w:lang w:val="en-US" w:eastAsia="zh-CN"/>
              </w:rPr>
              <w:t>≥</w:t>
            </w:r>
            <w:r>
              <w:rPr>
                <w:rFonts w:hint="eastAsia" w:ascii="仿宋" w:hAnsi="仿宋" w:eastAsia="仿宋"/>
                <w:color w:val="000000"/>
                <w:szCs w:val="21"/>
                <w:lang w:val="en-US" w:eastAsia="zh-CN"/>
              </w:rPr>
              <w:t>1000万元</w:t>
            </w:r>
          </w:p>
        </w:tc>
        <w:tc>
          <w:tcPr>
            <w:tcW w:w="5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0"/>
                <w:szCs w:val="20"/>
                <w:lang w:val="en-US" w:eastAsia="zh-CN"/>
              </w:rPr>
            </w:pPr>
            <w:r>
              <w:rPr>
                <w:rFonts w:hint="eastAsia" w:ascii="新宋体" w:hAnsi="新宋体" w:eastAsia="新宋体" w:cs="新宋体"/>
                <w:color w:val="000000"/>
                <w:sz w:val="20"/>
                <w:szCs w:val="20"/>
              </w:rPr>
              <w:t>　</w:t>
            </w:r>
            <w:r>
              <w:rPr>
                <w:rFonts w:hint="eastAsia" w:ascii="新宋体" w:hAnsi="新宋体" w:eastAsia="新宋体" w:cs="新宋体"/>
                <w:color w:val="000000"/>
                <w:sz w:val="20"/>
                <w:szCs w:val="20"/>
                <w:lang w:val="en-US" w:eastAsia="zh-CN"/>
              </w:rPr>
              <w:t>1128.62万元</w:t>
            </w:r>
          </w:p>
        </w:tc>
        <w:tc>
          <w:tcPr>
            <w:tcW w:w="41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lang w:val="en-US" w:eastAsia="zh-CN"/>
              </w:rPr>
            </w:pPr>
            <w:r>
              <w:rPr>
                <w:rFonts w:hint="eastAsia" w:ascii="新宋体" w:hAnsi="新宋体" w:eastAsia="新宋体" w:cs="新宋体"/>
                <w:color w:val="000000"/>
                <w:sz w:val="20"/>
                <w:szCs w:val="20"/>
              </w:rPr>
              <w:t>　</w:t>
            </w:r>
            <w:r>
              <w:rPr>
                <w:rFonts w:hint="eastAsia" w:ascii="新宋体" w:hAnsi="新宋体" w:eastAsia="新宋体" w:cs="新宋体"/>
                <w:color w:val="000000"/>
                <w:sz w:val="20"/>
                <w:szCs w:val="20"/>
                <w:lang w:val="en-US" w:eastAsia="zh-CN"/>
              </w:rPr>
              <w:t>6</w:t>
            </w: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lang w:val="en-US" w:eastAsia="zh-CN"/>
              </w:rPr>
            </w:pPr>
            <w:r>
              <w:rPr>
                <w:rFonts w:hint="eastAsia" w:ascii="新宋体" w:hAnsi="新宋体" w:eastAsia="新宋体" w:cs="新宋体"/>
                <w:color w:val="000000"/>
                <w:sz w:val="20"/>
                <w:szCs w:val="20"/>
              </w:rPr>
              <w:t>　</w:t>
            </w:r>
            <w:r>
              <w:rPr>
                <w:rFonts w:hint="eastAsia" w:ascii="新宋体" w:hAnsi="新宋体" w:eastAsia="新宋体" w:cs="新宋体"/>
                <w:color w:val="000000"/>
                <w:sz w:val="20"/>
                <w:szCs w:val="20"/>
                <w:lang w:val="en-US" w:eastAsia="zh-CN"/>
              </w:rPr>
              <w:t>6</w:t>
            </w:r>
          </w:p>
        </w:tc>
        <w:tc>
          <w:tcPr>
            <w:tcW w:w="8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rPr>
            </w:pPr>
            <w:r>
              <w:rPr>
                <w:rFonts w:hint="eastAsia" w:ascii="新宋体" w:hAnsi="新宋体" w:eastAsia="新宋体" w:cs="新宋体"/>
                <w:color w:val="000000"/>
                <w:sz w:val="20"/>
                <w:szCs w:val="20"/>
              </w:rPr>
              <w:t>　</w:t>
            </w:r>
          </w:p>
        </w:tc>
      </w:tr>
      <w:tr>
        <w:tblPrEx>
          <w:tblCellMar>
            <w:top w:w="0" w:type="dxa"/>
            <w:left w:w="108" w:type="dxa"/>
            <w:bottom w:w="0" w:type="dxa"/>
            <w:right w:w="108" w:type="dxa"/>
          </w:tblCellMar>
        </w:tblPrEx>
        <w:trPr>
          <w:trHeight w:val="352" w:hRule="atLeast"/>
          <w:jc w:val="center"/>
        </w:trPr>
        <w:tc>
          <w:tcPr>
            <w:tcW w:w="586"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4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0"/>
                <w:szCs w:val="20"/>
              </w:rPr>
            </w:pPr>
          </w:p>
        </w:tc>
        <w:tc>
          <w:tcPr>
            <w:tcW w:w="53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rPr>
            </w:pPr>
            <w:r>
              <w:rPr>
                <w:rFonts w:hint="eastAsia" w:ascii="新宋体" w:hAnsi="新宋体" w:eastAsia="新宋体" w:cs="新宋体"/>
                <w:color w:val="000000"/>
                <w:sz w:val="20"/>
                <w:szCs w:val="20"/>
              </w:rPr>
              <w:t>　</w:t>
            </w:r>
          </w:p>
        </w:tc>
        <w:tc>
          <w:tcPr>
            <w:tcW w:w="585"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rPr>
            </w:pPr>
            <w:r>
              <w:rPr>
                <w:rFonts w:hint="eastAsia" w:ascii="新宋体" w:hAnsi="新宋体" w:eastAsia="新宋体" w:cs="新宋体"/>
                <w:color w:val="000000"/>
                <w:sz w:val="20"/>
                <w:szCs w:val="20"/>
              </w:rPr>
              <w:t>　</w:t>
            </w:r>
          </w:p>
        </w:tc>
        <w:tc>
          <w:tcPr>
            <w:tcW w:w="413"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rPr>
            </w:pPr>
            <w:r>
              <w:rPr>
                <w:rFonts w:hint="eastAsia" w:ascii="新宋体" w:hAnsi="新宋体" w:eastAsia="新宋体" w:cs="新宋体"/>
                <w:color w:val="000000"/>
                <w:sz w:val="20"/>
                <w:szCs w:val="20"/>
              </w:rPr>
              <w:t>　</w:t>
            </w:r>
          </w:p>
        </w:tc>
        <w:tc>
          <w:tcPr>
            <w:tcW w:w="48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rPr>
            </w:pPr>
            <w:r>
              <w:rPr>
                <w:rFonts w:hint="eastAsia" w:ascii="新宋体" w:hAnsi="新宋体" w:eastAsia="新宋体" w:cs="新宋体"/>
                <w:color w:val="000000"/>
                <w:sz w:val="20"/>
                <w:szCs w:val="20"/>
              </w:rPr>
              <w:t>　</w:t>
            </w:r>
          </w:p>
        </w:tc>
        <w:tc>
          <w:tcPr>
            <w:tcW w:w="81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rPr>
            </w:pPr>
            <w:r>
              <w:rPr>
                <w:rFonts w:hint="eastAsia" w:ascii="新宋体" w:hAnsi="新宋体" w:eastAsia="新宋体" w:cs="新宋体"/>
                <w:color w:val="000000"/>
                <w:sz w:val="20"/>
                <w:szCs w:val="20"/>
              </w:rPr>
              <w:t>　</w:t>
            </w:r>
          </w:p>
        </w:tc>
      </w:tr>
      <w:tr>
        <w:tblPrEx>
          <w:tblCellMar>
            <w:top w:w="0" w:type="dxa"/>
            <w:left w:w="108" w:type="dxa"/>
            <w:bottom w:w="0" w:type="dxa"/>
            <w:right w:w="108" w:type="dxa"/>
          </w:tblCellMar>
        </w:tblPrEx>
        <w:trPr>
          <w:trHeight w:val="462" w:hRule="atLeast"/>
          <w:jc w:val="center"/>
        </w:trPr>
        <w:tc>
          <w:tcPr>
            <w:tcW w:w="586"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647" w:type="pct"/>
            <w:tcBorders>
              <w:top w:val="nil"/>
              <w:left w:val="nil"/>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eastAsia" w:ascii="仿宋" w:hAnsi="仿宋" w:eastAsia="仿宋" w:cs="仿宋_GB2312"/>
                <w:color w:val="000000"/>
                <w:kern w:val="2"/>
                <w:sz w:val="21"/>
                <w:szCs w:val="21"/>
                <w:lang w:val="en-US" w:eastAsia="zh-CN" w:bidi="ar-SA"/>
              </w:rPr>
            </w:pPr>
            <w:r>
              <w:rPr>
                <w:rFonts w:hint="eastAsia" w:ascii="仿宋" w:hAnsi="仿宋" w:eastAsia="仿宋"/>
                <w:color w:val="000000"/>
                <w:szCs w:val="21"/>
              </w:rPr>
              <w:t>确保党中央政令畅通，党内政治生态明显好转，全面从严治党取得重大成果</w:t>
            </w:r>
          </w:p>
        </w:tc>
        <w:tc>
          <w:tcPr>
            <w:tcW w:w="536" w:type="pct"/>
            <w:tcBorders>
              <w:top w:val="nil"/>
              <w:left w:val="nil"/>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center"/>
              <w:textAlignment w:val="center"/>
              <w:rPr>
                <w:rFonts w:hint="eastAsia" w:ascii="仿宋" w:hAnsi="仿宋" w:eastAsia="仿宋" w:cs="Times New Roman"/>
                <w:color w:val="000000"/>
                <w:kern w:val="2"/>
                <w:sz w:val="21"/>
                <w:szCs w:val="21"/>
                <w:lang w:val="en-US" w:eastAsia="zh-CN" w:bidi="ar-SA"/>
              </w:rPr>
            </w:pPr>
            <w:r>
              <w:rPr>
                <w:rFonts w:hint="eastAsia" w:ascii="仿宋" w:hAnsi="仿宋" w:eastAsia="仿宋"/>
                <w:color w:val="000000"/>
                <w:szCs w:val="21"/>
              </w:rPr>
              <w:t>效果显著</w:t>
            </w:r>
          </w:p>
        </w:tc>
        <w:tc>
          <w:tcPr>
            <w:tcW w:w="585" w:type="pct"/>
            <w:tcBorders>
              <w:top w:val="nil"/>
              <w:left w:val="nil"/>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center"/>
              <w:textAlignment w:val="center"/>
              <w:rPr>
                <w:rFonts w:hint="eastAsia" w:ascii="仿宋" w:hAnsi="仿宋" w:eastAsia="仿宋" w:cs="Times New Roman"/>
                <w:color w:val="000000"/>
                <w:kern w:val="2"/>
                <w:sz w:val="21"/>
                <w:szCs w:val="21"/>
                <w:lang w:val="en-US" w:eastAsia="zh-CN" w:bidi="ar-SA"/>
              </w:rPr>
            </w:pPr>
            <w:r>
              <w:rPr>
                <w:rFonts w:hint="eastAsia" w:ascii="仿宋" w:hAnsi="仿宋" w:eastAsia="仿宋"/>
                <w:color w:val="000000"/>
                <w:szCs w:val="21"/>
              </w:rPr>
              <w:t>效果显著</w:t>
            </w:r>
          </w:p>
        </w:tc>
        <w:tc>
          <w:tcPr>
            <w:tcW w:w="413"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lang w:val="en-US" w:eastAsia="zh-CN"/>
              </w:rPr>
            </w:pPr>
            <w:r>
              <w:rPr>
                <w:rFonts w:hint="eastAsia" w:ascii="新宋体" w:hAnsi="新宋体" w:eastAsia="新宋体" w:cs="新宋体"/>
                <w:color w:val="000000"/>
                <w:sz w:val="20"/>
                <w:szCs w:val="20"/>
              </w:rPr>
              <w:t>　</w:t>
            </w:r>
            <w:r>
              <w:rPr>
                <w:rFonts w:hint="eastAsia" w:ascii="新宋体" w:hAnsi="新宋体" w:eastAsia="新宋体" w:cs="新宋体"/>
                <w:color w:val="000000"/>
                <w:sz w:val="20"/>
                <w:szCs w:val="20"/>
                <w:lang w:val="en-US" w:eastAsia="zh-CN"/>
              </w:rPr>
              <w:t>8</w:t>
            </w:r>
          </w:p>
        </w:tc>
        <w:tc>
          <w:tcPr>
            <w:tcW w:w="48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lang w:val="en-US" w:eastAsia="zh-CN"/>
              </w:rPr>
            </w:pPr>
            <w:r>
              <w:rPr>
                <w:rFonts w:hint="eastAsia" w:ascii="新宋体" w:hAnsi="新宋体" w:eastAsia="新宋体" w:cs="新宋体"/>
                <w:color w:val="000000"/>
                <w:sz w:val="20"/>
                <w:szCs w:val="20"/>
              </w:rPr>
              <w:t>　</w:t>
            </w:r>
            <w:r>
              <w:rPr>
                <w:rFonts w:hint="eastAsia" w:ascii="新宋体" w:hAnsi="新宋体" w:eastAsia="新宋体" w:cs="新宋体"/>
                <w:color w:val="000000"/>
                <w:sz w:val="20"/>
                <w:szCs w:val="20"/>
                <w:lang w:val="en-US" w:eastAsia="zh-CN"/>
              </w:rPr>
              <w:t>8</w:t>
            </w:r>
          </w:p>
        </w:tc>
        <w:tc>
          <w:tcPr>
            <w:tcW w:w="81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rPr>
            </w:pPr>
            <w:r>
              <w:rPr>
                <w:rFonts w:hint="eastAsia" w:ascii="新宋体" w:hAnsi="新宋体" w:eastAsia="新宋体" w:cs="新宋体"/>
                <w:color w:val="000000"/>
                <w:sz w:val="20"/>
                <w:szCs w:val="20"/>
              </w:rPr>
              <w:t>　</w:t>
            </w:r>
          </w:p>
        </w:tc>
      </w:tr>
      <w:tr>
        <w:tblPrEx>
          <w:tblCellMar>
            <w:top w:w="0" w:type="dxa"/>
            <w:left w:w="108" w:type="dxa"/>
            <w:bottom w:w="0" w:type="dxa"/>
            <w:right w:w="108" w:type="dxa"/>
          </w:tblCellMar>
        </w:tblPrEx>
        <w:trPr>
          <w:trHeight w:val="322" w:hRule="atLeast"/>
          <w:jc w:val="center"/>
        </w:trPr>
        <w:tc>
          <w:tcPr>
            <w:tcW w:w="586"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4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0"/>
                <w:szCs w:val="20"/>
              </w:rPr>
            </w:pPr>
          </w:p>
        </w:tc>
        <w:tc>
          <w:tcPr>
            <w:tcW w:w="53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rPr>
            </w:pPr>
            <w:r>
              <w:rPr>
                <w:rFonts w:hint="eastAsia" w:ascii="新宋体" w:hAnsi="新宋体" w:eastAsia="新宋体" w:cs="新宋体"/>
                <w:color w:val="000000"/>
                <w:sz w:val="20"/>
                <w:szCs w:val="20"/>
              </w:rPr>
              <w:t>　</w:t>
            </w:r>
          </w:p>
        </w:tc>
        <w:tc>
          <w:tcPr>
            <w:tcW w:w="58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0"/>
                <w:szCs w:val="20"/>
                <w:lang w:val="en-US" w:eastAsia="zh-CN" w:bidi="ar-SA"/>
              </w:rPr>
            </w:pPr>
            <w:r>
              <w:rPr>
                <w:rFonts w:hint="eastAsia" w:ascii="新宋体" w:hAnsi="新宋体" w:eastAsia="新宋体" w:cs="新宋体"/>
                <w:color w:val="000000"/>
                <w:sz w:val="20"/>
                <w:szCs w:val="20"/>
              </w:rPr>
              <w:t>　</w:t>
            </w:r>
          </w:p>
        </w:tc>
        <w:tc>
          <w:tcPr>
            <w:tcW w:w="413"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rPr>
            </w:pPr>
            <w:r>
              <w:rPr>
                <w:rFonts w:hint="eastAsia" w:ascii="新宋体" w:hAnsi="新宋体" w:eastAsia="新宋体" w:cs="新宋体"/>
                <w:color w:val="000000"/>
                <w:sz w:val="20"/>
                <w:szCs w:val="20"/>
              </w:rPr>
              <w:t>　</w:t>
            </w:r>
          </w:p>
        </w:tc>
        <w:tc>
          <w:tcPr>
            <w:tcW w:w="48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rPr>
            </w:pPr>
            <w:r>
              <w:rPr>
                <w:rFonts w:hint="eastAsia" w:ascii="新宋体" w:hAnsi="新宋体" w:eastAsia="新宋体" w:cs="新宋体"/>
                <w:color w:val="000000"/>
                <w:sz w:val="20"/>
                <w:szCs w:val="20"/>
              </w:rPr>
              <w:t>　</w:t>
            </w:r>
          </w:p>
        </w:tc>
        <w:tc>
          <w:tcPr>
            <w:tcW w:w="81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rPr>
            </w:pPr>
            <w:r>
              <w:rPr>
                <w:rFonts w:hint="eastAsia" w:ascii="新宋体" w:hAnsi="新宋体" w:eastAsia="新宋体" w:cs="新宋体"/>
                <w:color w:val="000000"/>
                <w:sz w:val="20"/>
                <w:szCs w:val="20"/>
              </w:rPr>
              <w:t>　</w:t>
            </w:r>
          </w:p>
        </w:tc>
      </w:tr>
      <w:tr>
        <w:tblPrEx>
          <w:tblCellMar>
            <w:top w:w="0" w:type="dxa"/>
            <w:left w:w="108" w:type="dxa"/>
            <w:bottom w:w="0" w:type="dxa"/>
            <w:right w:w="108" w:type="dxa"/>
          </w:tblCellMar>
        </w:tblPrEx>
        <w:trPr>
          <w:trHeight w:val="462" w:hRule="atLeast"/>
          <w:jc w:val="center"/>
        </w:trPr>
        <w:tc>
          <w:tcPr>
            <w:tcW w:w="586"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647" w:type="pct"/>
            <w:tcBorders>
              <w:top w:val="nil"/>
              <w:left w:val="nil"/>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eastAsia" w:ascii="仿宋_GB2312" w:hAnsi="仿宋_GB2312" w:eastAsia="仿宋_GB2312" w:cs="仿宋_GB2312"/>
                <w:color w:val="000000"/>
                <w:kern w:val="2"/>
                <w:sz w:val="24"/>
                <w:szCs w:val="24"/>
                <w:lang w:val="en-US" w:eastAsia="zh-CN" w:bidi="ar-SA"/>
              </w:rPr>
            </w:pPr>
            <w:r>
              <w:rPr>
                <w:rFonts w:hint="eastAsia" w:ascii="仿宋" w:hAnsi="仿宋" w:eastAsia="仿宋"/>
                <w:color w:val="000000"/>
                <w:szCs w:val="21"/>
              </w:rPr>
              <w:t>严明党的政治纪律、政治规矩，净化政治生态</w:t>
            </w:r>
          </w:p>
        </w:tc>
        <w:tc>
          <w:tcPr>
            <w:tcW w:w="536" w:type="pct"/>
            <w:tcBorders>
              <w:top w:val="nil"/>
              <w:left w:val="nil"/>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center"/>
              <w:textAlignment w:val="center"/>
              <w:rPr>
                <w:rFonts w:hint="eastAsia" w:ascii="仿宋_GB2312" w:hAnsi="仿宋_GB2312" w:eastAsia="仿宋_GB2312" w:cs="仿宋_GB2312"/>
                <w:b/>
                <w:color w:val="000000"/>
                <w:kern w:val="2"/>
                <w:sz w:val="24"/>
                <w:szCs w:val="24"/>
                <w:lang w:val="en-US" w:eastAsia="zh-CN" w:bidi="ar-SA"/>
              </w:rPr>
            </w:pPr>
            <w:r>
              <w:rPr>
                <w:rFonts w:hint="eastAsia" w:ascii="仿宋" w:hAnsi="仿宋" w:eastAsia="仿宋"/>
                <w:color w:val="000000"/>
                <w:szCs w:val="21"/>
              </w:rPr>
              <w:t>效果显著</w:t>
            </w:r>
          </w:p>
        </w:tc>
        <w:tc>
          <w:tcPr>
            <w:tcW w:w="585" w:type="pct"/>
            <w:tcBorders>
              <w:top w:val="nil"/>
              <w:left w:val="nil"/>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center"/>
              <w:textAlignment w:val="center"/>
              <w:rPr>
                <w:rFonts w:hint="eastAsia" w:ascii="仿宋_GB2312" w:hAnsi="仿宋_GB2312" w:eastAsia="仿宋_GB2312" w:cs="仿宋_GB2312"/>
                <w:b/>
                <w:color w:val="000000"/>
                <w:kern w:val="2"/>
                <w:sz w:val="24"/>
                <w:szCs w:val="24"/>
                <w:lang w:val="en-US" w:eastAsia="zh-CN" w:bidi="ar-SA"/>
              </w:rPr>
            </w:pPr>
            <w:r>
              <w:rPr>
                <w:rFonts w:hint="eastAsia" w:ascii="仿宋" w:hAnsi="仿宋" w:eastAsia="仿宋"/>
                <w:color w:val="000000"/>
                <w:szCs w:val="21"/>
              </w:rPr>
              <w:t>效果显著</w:t>
            </w:r>
          </w:p>
        </w:tc>
        <w:tc>
          <w:tcPr>
            <w:tcW w:w="413"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lang w:val="en-US" w:eastAsia="zh-CN"/>
              </w:rPr>
            </w:pPr>
            <w:r>
              <w:rPr>
                <w:rFonts w:hint="eastAsia" w:ascii="新宋体" w:hAnsi="新宋体" w:eastAsia="新宋体" w:cs="新宋体"/>
                <w:color w:val="000000"/>
                <w:sz w:val="20"/>
                <w:szCs w:val="20"/>
              </w:rPr>
              <w:t>　</w:t>
            </w:r>
            <w:r>
              <w:rPr>
                <w:rFonts w:hint="eastAsia" w:ascii="新宋体" w:hAnsi="新宋体" w:eastAsia="新宋体" w:cs="新宋体"/>
                <w:color w:val="000000"/>
                <w:sz w:val="20"/>
                <w:szCs w:val="20"/>
                <w:lang w:val="en-US" w:eastAsia="zh-CN"/>
              </w:rPr>
              <w:t>8</w:t>
            </w:r>
          </w:p>
        </w:tc>
        <w:tc>
          <w:tcPr>
            <w:tcW w:w="48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lang w:val="en-US" w:eastAsia="zh-CN"/>
              </w:rPr>
            </w:pPr>
            <w:r>
              <w:rPr>
                <w:rFonts w:hint="eastAsia" w:ascii="新宋体" w:hAnsi="新宋体" w:eastAsia="新宋体" w:cs="新宋体"/>
                <w:color w:val="000000"/>
                <w:sz w:val="20"/>
                <w:szCs w:val="20"/>
              </w:rPr>
              <w:t>　</w:t>
            </w:r>
            <w:r>
              <w:rPr>
                <w:rFonts w:hint="eastAsia" w:ascii="新宋体" w:hAnsi="新宋体" w:eastAsia="新宋体" w:cs="新宋体"/>
                <w:color w:val="000000"/>
                <w:sz w:val="20"/>
                <w:szCs w:val="20"/>
                <w:lang w:val="en-US" w:eastAsia="zh-CN"/>
              </w:rPr>
              <w:t>8</w:t>
            </w:r>
          </w:p>
        </w:tc>
        <w:tc>
          <w:tcPr>
            <w:tcW w:w="81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rPr>
            </w:pPr>
            <w:r>
              <w:rPr>
                <w:rFonts w:hint="eastAsia" w:ascii="新宋体" w:hAnsi="新宋体" w:eastAsia="新宋体" w:cs="新宋体"/>
                <w:color w:val="000000"/>
                <w:sz w:val="20"/>
                <w:szCs w:val="20"/>
              </w:rPr>
              <w:t>　</w:t>
            </w:r>
          </w:p>
        </w:tc>
      </w:tr>
      <w:tr>
        <w:tblPrEx>
          <w:tblCellMar>
            <w:top w:w="0" w:type="dxa"/>
            <w:left w:w="108" w:type="dxa"/>
            <w:bottom w:w="0" w:type="dxa"/>
            <w:right w:w="108" w:type="dxa"/>
          </w:tblCellMar>
        </w:tblPrEx>
        <w:trPr>
          <w:trHeight w:val="382" w:hRule="atLeast"/>
          <w:jc w:val="center"/>
        </w:trPr>
        <w:tc>
          <w:tcPr>
            <w:tcW w:w="586"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64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0"/>
                <w:szCs w:val="20"/>
              </w:rPr>
            </w:pPr>
          </w:p>
        </w:tc>
        <w:tc>
          <w:tcPr>
            <w:tcW w:w="53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rPr>
            </w:pPr>
            <w:r>
              <w:rPr>
                <w:rFonts w:hint="eastAsia" w:ascii="新宋体" w:hAnsi="新宋体" w:eastAsia="新宋体" w:cs="新宋体"/>
                <w:color w:val="000000"/>
                <w:sz w:val="20"/>
                <w:szCs w:val="20"/>
              </w:rPr>
              <w:t>　</w:t>
            </w:r>
          </w:p>
        </w:tc>
        <w:tc>
          <w:tcPr>
            <w:tcW w:w="58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rPr>
            </w:pPr>
            <w:r>
              <w:rPr>
                <w:rFonts w:hint="eastAsia" w:ascii="新宋体" w:hAnsi="新宋体" w:eastAsia="新宋体" w:cs="新宋体"/>
                <w:color w:val="000000"/>
                <w:sz w:val="20"/>
                <w:szCs w:val="20"/>
              </w:rPr>
              <w:t>　</w:t>
            </w:r>
          </w:p>
        </w:tc>
        <w:tc>
          <w:tcPr>
            <w:tcW w:w="413"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rPr>
            </w:pPr>
            <w:r>
              <w:rPr>
                <w:rFonts w:hint="eastAsia" w:ascii="新宋体" w:hAnsi="新宋体" w:eastAsia="新宋体" w:cs="新宋体"/>
                <w:color w:val="000000"/>
                <w:sz w:val="20"/>
                <w:szCs w:val="20"/>
              </w:rPr>
              <w:t>　</w:t>
            </w:r>
          </w:p>
        </w:tc>
        <w:tc>
          <w:tcPr>
            <w:tcW w:w="48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rPr>
            </w:pPr>
            <w:r>
              <w:rPr>
                <w:rFonts w:hint="eastAsia" w:ascii="新宋体" w:hAnsi="新宋体" w:eastAsia="新宋体" w:cs="新宋体"/>
                <w:color w:val="000000"/>
                <w:sz w:val="20"/>
                <w:szCs w:val="20"/>
              </w:rPr>
              <w:t>　</w:t>
            </w:r>
          </w:p>
        </w:tc>
        <w:tc>
          <w:tcPr>
            <w:tcW w:w="81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rPr>
            </w:pPr>
            <w:r>
              <w:rPr>
                <w:rFonts w:hint="eastAsia" w:ascii="新宋体" w:hAnsi="新宋体" w:eastAsia="新宋体" w:cs="新宋体"/>
                <w:color w:val="000000"/>
                <w:sz w:val="20"/>
                <w:szCs w:val="20"/>
              </w:rPr>
              <w:t>　</w:t>
            </w:r>
          </w:p>
        </w:tc>
      </w:tr>
      <w:tr>
        <w:tblPrEx>
          <w:tblCellMar>
            <w:top w:w="0" w:type="dxa"/>
            <w:left w:w="108" w:type="dxa"/>
            <w:bottom w:w="0" w:type="dxa"/>
            <w:right w:w="108" w:type="dxa"/>
          </w:tblCellMar>
        </w:tblPrEx>
        <w:trPr>
          <w:trHeight w:val="462" w:hRule="atLeast"/>
          <w:jc w:val="center"/>
        </w:trPr>
        <w:tc>
          <w:tcPr>
            <w:tcW w:w="586"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可持续影响指标</w:t>
            </w:r>
          </w:p>
        </w:tc>
        <w:tc>
          <w:tcPr>
            <w:tcW w:w="6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0"/>
                <w:szCs w:val="20"/>
              </w:rPr>
            </w:pPr>
            <w:r>
              <w:rPr>
                <w:rFonts w:hint="eastAsia" w:ascii="仿宋" w:hAnsi="仿宋" w:eastAsia="仿宋"/>
                <w:color w:val="000000"/>
                <w:szCs w:val="21"/>
              </w:rPr>
              <w:t>坚定不移惩贪治腐，紧贴中心、服务大局，充分发挥监督保障执行、促进完善发展作用</w:t>
            </w:r>
          </w:p>
        </w:tc>
        <w:tc>
          <w:tcPr>
            <w:tcW w:w="53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0"/>
                <w:szCs w:val="20"/>
              </w:rPr>
            </w:pPr>
            <w:r>
              <w:rPr>
                <w:rFonts w:hint="eastAsia" w:ascii="仿宋" w:hAnsi="仿宋" w:eastAsia="仿宋"/>
                <w:color w:val="000000"/>
                <w:szCs w:val="21"/>
              </w:rPr>
              <w:t>效果显著</w:t>
            </w:r>
          </w:p>
        </w:tc>
        <w:tc>
          <w:tcPr>
            <w:tcW w:w="5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0"/>
                <w:szCs w:val="20"/>
                <w:lang w:val="en-US" w:eastAsia="zh-CN" w:bidi="ar-SA"/>
              </w:rPr>
            </w:pPr>
            <w:r>
              <w:rPr>
                <w:rFonts w:hint="eastAsia" w:ascii="仿宋" w:hAnsi="仿宋" w:eastAsia="仿宋"/>
                <w:color w:val="000000"/>
                <w:szCs w:val="21"/>
              </w:rPr>
              <w:t>效果显著</w:t>
            </w:r>
          </w:p>
        </w:tc>
        <w:tc>
          <w:tcPr>
            <w:tcW w:w="41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lang w:val="en-US" w:eastAsia="zh-CN"/>
              </w:rPr>
            </w:pPr>
            <w:r>
              <w:rPr>
                <w:rFonts w:hint="eastAsia" w:ascii="新宋体" w:hAnsi="新宋体" w:eastAsia="新宋体" w:cs="新宋体"/>
                <w:color w:val="000000"/>
                <w:sz w:val="20"/>
                <w:szCs w:val="20"/>
              </w:rPr>
              <w:t>　</w:t>
            </w:r>
            <w:r>
              <w:rPr>
                <w:rFonts w:hint="eastAsia" w:ascii="新宋体" w:hAnsi="新宋体" w:eastAsia="新宋体" w:cs="新宋体"/>
                <w:color w:val="000000"/>
                <w:sz w:val="20"/>
                <w:szCs w:val="20"/>
                <w:lang w:val="en-US" w:eastAsia="zh-CN"/>
              </w:rPr>
              <w:t>8</w:t>
            </w: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lang w:val="en-US" w:eastAsia="zh-CN"/>
              </w:rPr>
            </w:pPr>
            <w:r>
              <w:rPr>
                <w:rFonts w:hint="eastAsia" w:ascii="新宋体" w:hAnsi="新宋体" w:eastAsia="新宋体" w:cs="新宋体"/>
                <w:color w:val="000000"/>
                <w:sz w:val="20"/>
                <w:szCs w:val="20"/>
              </w:rPr>
              <w:t>　</w:t>
            </w:r>
            <w:r>
              <w:rPr>
                <w:rFonts w:hint="eastAsia" w:ascii="新宋体" w:hAnsi="新宋体" w:eastAsia="新宋体" w:cs="新宋体"/>
                <w:color w:val="000000"/>
                <w:sz w:val="20"/>
                <w:szCs w:val="20"/>
                <w:lang w:val="en-US" w:eastAsia="zh-CN"/>
              </w:rPr>
              <w:t>8</w:t>
            </w:r>
          </w:p>
        </w:tc>
        <w:tc>
          <w:tcPr>
            <w:tcW w:w="8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rPr>
            </w:pPr>
            <w:r>
              <w:rPr>
                <w:rFonts w:hint="eastAsia" w:ascii="新宋体" w:hAnsi="新宋体" w:eastAsia="新宋体" w:cs="新宋体"/>
                <w:color w:val="000000"/>
                <w:sz w:val="20"/>
                <w:szCs w:val="20"/>
              </w:rPr>
              <w:t>　</w:t>
            </w:r>
          </w:p>
        </w:tc>
      </w:tr>
      <w:tr>
        <w:tblPrEx>
          <w:tblCellMar>
            <w:top w:w="0" w:type="dxa"/>
            <w:left w:w="108" w:type="dxa"/>
            <w:bottom w:w="0" w:type="dxa"/>
            <w:right w:w="108" w:type="dxa"/>
          </w:tblCellMar>
        </w:tblPrEx>
        <w:trPr>
          <w:trHeight w:val="462" w:hRule="atLeast"/>
          <w:jc w:val="center"/>
        </w:trPr>
        <w:tc>
          <w:tcPr>
            <w:tcW w:w="586"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64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0"/>
                <w:szCs w:val="20"/>
              </w:rPr>
            </w:pPr>
          </w:p>
        </w:tc>
        <w:tc>
          <w:tcPr>
            <w:tcW w:w="53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rPr>
            </w:pPr>
            <w:r>
              <w:rPr>
                <w:rFonts w:hint="eastAsia" w:ascii="新宋体" w:hAnsi="新宋体" w:eastAsia="新宋体" w:cs="新宋体"/>
                <w:color w:val="000000"/>
                <w:sz w:val="20"/>
                <w:szCs w:val="20"/>
              </w:rPr>
              <w:t>　</w:t>
            </w:r>
          </w:p>
        </w:tc>
        <w:tc>
          <w:tcPr>
            <w:tcW w:w="58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0"/>
                <w:szCs w:val="20"/>
                <w:lang w:val="en-US" w:eastAsia="zh-CN" w:bidi="ar-SA"/>
              </w:rPr>
            </w:pPr>
            <w:r>
              <w:rPr>
                <w:rFonts w:hint="eastAsia" w:ascii="新宋体" w:hAnsi="新宋体" w:eastAsia="新宋体" w:cs="新宋体"/>
                <w:color w:val="000000"/>
                <w:sz w:val="20"/>
                <w:szCs w:val="20"/>
              </w:rPr>
              <w:t>　</w:t>
            </w:r>
          </w:p>
        </w:tc>
        <w:tc>
          <w:tcPr>
            <w:tcW w:w="413"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rPr>
            </w:pPr>
            <w:r>
              <w:rPr>
                <w:rFonts w:hint="eastAsia" w:ascii="新宋体" w:hAnsi="新宋体" w:eastAsia="新宋体" w:cs="新宋体"/>
                <w:color w:val="000000"/>
                <w:sz w:val="20"/>
                <w:szCs w:val="20"/>
              </w:rPr>
              <w:t>　</w:t>
            </w:r>
          </w:p>
        </w:tc>
        <w:tc>
          <w:tcPr>
            <w:tcW w:w="48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rPr>
            </w:pPr>
            <w:r>
              <w:rPr>
                <w:rFonts w:hint="eastAsia" w:ascii="新宋体" w:hAnsi="新宋体" w:eastAsia="新宋体" w:cs="新宋体"/>
                <w:color w:val="000000"/>
                <w:sz w:val="20"/>
                <w:szCs w:val="20"/>
              </w:rPr>
              <w:t>　</w:t>
            </w:r>
          </w:p>
        </w:tc>
        <w:tc>
          <w:tcPr>
            <w:tcW w:w="81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rPr>
            </w:pPr>
            <w:r>
              <w:rPr>
                <w:rFonts w:hint="eastAsia" w:ascii="新宋体" w:hAnsi="新宋体" w:eastAsia="新宋体" w:cs="新宋体"/>
                <w:color w:val="000000"/>
                <w:sz w:val="20"/>
                <w:szCs w:val="20"/>
              </w:rPr>
              <w:t>　</w:t>
            </w:r>
          </w:p>
        </w:tc>
      </w:tr>
      <w:tr>
        <w:tblPrEx>
          <w:tblCellMar>
            <w:top w:w="0" w:type="dxa"/>
            <w:left w:w="108" w:type="dxa"/>
            <w:bottom w:w="0" w:type="dxa"/>
            <w:right w:w="108" w:type="dxa"/>
          </w:tblCellMar>
        </w:tblPrEx>
        <w:trPr>
          <w:trHeight w:val="462" w:hRule="atLeast"/>
          <w:jc w:val="center"/>
        </w:trPr>
        <w:tc>
          <w:tcPr>
            <w:tcW w:w="586"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（10分）</w:t>
            </w:r>
          </w:p>
        </w:tc>
        <w:tc>
          <w:tcPr>
            <w:tcW w:w="464"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服务对象满意度指标</w:t>
            </w:r>
          </w:p>
        </w:tc>
        <w:tc>
          <w:tcPr>
            <w:tcW w:w="647" w:type="pct"/>
            <w:tcBorders>
              <w:top w:val="nil"/>
              <w:left w:val="nil"/>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eastAsia" w:ascii="仿宋_GB2312" w:hAnsi="仿宋_GB2312" w:eastAsia="仿宋_GB2312" w:cs="仿宋_GB2312"/>
                <w:color w:val="000000"/>
                <w:kern w:val="2"/>
                <w:sz w:val="24"/>
                <w:szCs w:val="24"/>
                <w:lang w:val="en-US" w:eastAsia="zh-CN" w:bidi="ar-SA"/>
              </w:rPr>
            </w:pPr>
            <w:r>
              <w:rPr>
                <w:rFonts w:hint="eastAsia" w:ascii="仿宋" w:hAnsi="仿宋" w:eastAsia="仿宋"/>
                <w:color w:val="000000"/>
                <w:szCs w:val="21"/>
              </w:rPr>
              <w:t>加大群众身边腐败问题的处理力度，增强人民群众获得感</w:t>
            </w:r>
          </w:p>
        </w:tc>
        <w:tc>
          <w:tcPr>
            <w:tcW w:w="536" w:type="pct"/>
            <w:tcBorders>
              <w:top w:val="nil"/>
              <w:left w:val="nil"/>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center"/>
              <w:textAlignment w:val="center"/>
              <w:rPr>
                <w:rFonts w:hint="eastAsia" w:ascii="仿宋_GB2312" w:hAnsi="仿宋_GB2312" w:eastAsia="仿宋_GB2312" w:cs="仿宋_GB2312"/>
                <w:b/>
                <w:color w:val="000000"/>
                <w:kern w:val="2"/>
                <w:sz w:val="24"/>
                <w:szCs w:val="24"/>
                <w:lang w:val="en-US" w:eastAsia="zh-CN" w:bidi="ar-SA"/>
              </w:rPr>
            </w:pPr>
            <w:r>
              <w:rPr>
                <w:rFonts w:hint="default" w:ascii="Arial" w:hAnsi="Arial" w:eastAsia="仿宋" w:cs="Arial"/>
                <w:color w:val="000000"/>
                <w:szCs w:val="21"/>
              </w:rPr>
              <w:t>≥</w:t>
            </w:r>
            <w:r>
              <w:rPr>
                <w:rFonts w:hint="eastAsia" w:ascii="仿宋" w:hAnsi="仿宋" w:eastAsia="仿宋"/>
                <w:color w:val="000000"/>
                <w:szCs w:val="21"/>
                <w:lang w:val="en-US" w:eastAsia="zh-CN"/>
              </w:rPr>
              <w:t>95</w:t>
            </w:r>
            <w:r>
              <w:rPr>
                <w:rFonts w:hint="eastAsia" w:ascii="仿宋" w:hAnsi="仿宋" w:eastAsia="仿宋"/>
                <w:color w:val="000000"/>
                <w:szCs w:val="21"/>
              </w:rPr>
              <w:t>%</w:t>
            </w:r>
          </w:p>
        </w:tc>
        <w:tc>
          <w:tcPr>
            <w:tcW w:w="585" w:type="pct"/>
            <w:tcBorders>
              <w:top w:val="nil"/>
              <w:left w:val="nil"/>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center"/>
              <w:textAlignment w:val="center"/>
              <w:rPr>
                <w:rFonts w:hint="eastAsia" w:ascii="仿宋_GB2312" w:hAnsi="仿宋_GB2312" w:eastAsia="仿宋_GB2312" w:cs="仿宋_GB2312"/>
                <w:b/>
                <w:color w:val="000000"/>
                <w:kern w:val="2"/>
                <w:sz w:val="24"/>
                <w:szCs w:val="24"/>
                <w:lang w:val="en-US" w:eastAsia="zh-CN" w:bidi="ar-SA"/>
              </w:rPr>
            </w:pPr>
            <w:r>
              <w:rPr>
                <w:rFonts w:hint="eastAsia" w:ascii="仿宋" w:hAnsi="仿宋" w:eastAsia="仿宋"/>
                <w:color w:val="000000"/>
                <w:szCs w:val="21"/>
              </w:rPr>
              <w:t>100%</w:t>
            </w:r>
          </w:p>
        </w:tc>
        <w:tc>
          <w:tcPr>
            <w:tcW w:w="413"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0"/>
                <w:szCs w:val="20"/>
                <w:lang w:val="en-US" w:eastAsia="zh-CN"/>
              </w:rPr>
            </w:pPr>
            <w:r>
              <w:rPr>
                <w:rFonts w:hint="eastAsia" w:ascii="新宋体" w:hAnsi="新宋体" w:eastAsia="新宋体" w:cs="新宋体"/>
                <w:color w:val="000000"/>
                <w:sz w:val="20"/>
                <w:szCs w:val="20"/>
              </w:rPr>
              <w:t>　</w:t>
            </w:r>
            <w:r>
              <w:rPr>
                <w:rFonts w:hint="eastAsia" w:ascii="新宋体" w:hAnsi="新宋体" w:eastAsia="新宋体" w:cs="新宋体"/>
                <w:color w:val="000000"/>
                <w:sz w:val="20"/>
                <w:szCs w:val="20"/>
                <w:lang w:val="en-US" w:eastAsia="zh-CN"/>
              </w:rPr>
              <w:t>10</w:t>
            </w:r>
          </w:p>
        </w:tc>
        <w:tc>
          <w:tcPr>
            <w:tcW w:w="48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0"/>
                <w:szCs w:val="20"/>
                <w:lang w:val="en-US" w:eastAsia="zh-CN"/>
              </w:rPr>
            </w:pPr>
            <w:r>
              <w:rPr>
                <w:rFonts w:hint="eastAsia" w:ascii="新宋体" w:hAnsi="新宋体" w:eastAsia="新宋体" w:cs="新宋体"/>
                <w:color w:val="000000"/>
                <w:sz w:val="20"/>
                <w:szCs w:val="20"/>
              </w:rPr>
              <w:t>　</w:t>
            </w:r>
            <w:r>
              <w:rPr>
                <w:rFonts w:hint="eastAsia" w:ascii="新宋体" w:hAnsi="新宋体" w:eastAsia="新宋体" w:cs="新宋体"/>
                <w:color w:val="000000"/>
                <w:sz w:val="20"/>
                <w:szCs w:val="20"/>
                <w:lang w:val="en-US" w:eastAsia="zh-CN"/>
              </w:rPr>
              <w:t>10</w:t>
            </w:r>
          </w:p>
        </w:tc>
        <w:tc>
          <w:tcPr>
            <w:tcW w:w="81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rPr>
            </w:pPr>
            <w:r>
              <w:rPr>
                <w:rFonts w:hint="eastAsia" w:ascii="新宋体" w:hAnsi="新宋体" w:eastAsia="新宋体" w:cs="新宋体"/>
                <w:color w:val="000000"/>
                <w:sz w:val="20"/>
                <w:szCs w:val="20"/>
              </w:rPr>
              <w:t>　</w:t>
            </w:r>
          </w:p>
        </w:tc>
      </w:tr>
      <w:tr>
        <w:tblPrEx>
          <w:tblCellMar>
            <w:top w:w="0" w:type="dxa"/>
            <w:left w:w="108" w:type="dxa"/>
            <w:bottom w:w="0" w:type="dxa"/>
            <w:right w:w="108" w:type="dxa"/>
          </w:tblCellMar>
        </w:tblPrEx>
        <w:trPr>
          <w:trHeight w:val="425" w:hRule="atLeast"/>
          <w:jc w:val="center"/>
        </w:trPr>
        <w:tc>
          <w:tcPr>
            <w:tcW w:w="586"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464"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64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0"/>
                <w:szCs w:val="20"/>
              </w:rPr>
            </w:pPr>
          </w:p>
        </w:tc>
        <w:tc>
          <w:tcPr>
            <w:tcW w:w="53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rPr>
            </w:pPr>
            <w:r>
              <w:rPr>
                <w:rFonts w:hint="eastAsia" w:ascii="新宋体" w:hAnsi="新宋体" w:eastAsia="新宋体" w:cs="新宋体"/>
                <w:color w:val="000000"/>
                <w:sz w:val="20"/>
                <w:szCs w:val="20"/>
              </w:rPr>
              <w:t>　</w:t>
            </w:r>
          </w:p>
        </w:tc>
        <w:tc>
          <w:tcPr>
            <w:tcW w:w="58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rPr>
            </w:pPr>
            <w:r>
              <w:rPr>
                <w:rFonts w:hint="eastAsia" w:ascii="新宋体" w:hAnsi="新宋体" w:eastAsia="新宋体" w:cs="新宋体"/>
                <w:color w:val="000000"/>
                <w:sz w:val="20"/>
                <w:szCs w:val="20"/>
              </w:rPr>
              <w:t>　</w:t>
            </w:r>
          </w:p>
        </w:tc>
        <w:tc>
          <w:tcPr>
            <w:tcW w:w="413"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rPr>
            </w:pPr>
            <w:r>
              <w:rPr>
                <w:rFonts w:hint="eastAsia" w:ascii="新宋体" w:hAnsi="新宋体" w:eastAsia="新宋体" w:cs="新宋体"/>
                <w:color w:val="000000"/>
                <w:sz w:val="20"/>
                <w:szCs w:val="20"/>
              </w:rPr>
              <w:t>　</w:t>
            </w:r>
          </w:p>
        </w:tc>
        <w:tc>
          <w:tcPr>
            <w:tcW w:w="48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rPr>
            </w:pPr>
            <w:r>
              <w:rPr>
                <w:rFonts w:hint="eastAsia" w:ascii="新宋体" w:hAnsi="新宋体" w:eastAsia="新宋体" w:cs="新宋体"/>
                <w:color w:val="000000"/>
                <w:sz w:val="20"/>
                <w:szCs w:val="20"/>
              </w:rPr>
              <w:t>　</w:t>
            </w:r>
          </w:p>
        </w:tc>
        <w:tc>
          <w:tcPr>
            <w:tcW w:w="81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0"/>
                <w:szCs w:val="20"/>
              </w:rPr>
            </w:pPr>
            <w:r>
              <w:rPr>
                <w:rFonts w:hint="eastAsia" w:ascii="新宋体" w:hAnsi="新宋体" w:eastAsia="新宋体" w:cs="新宋体"/>
                <w:color w:val="000000"/>
                <w:sz w:val="20"/>
                <w:szCs w:val="20"/>
              </w:rPr>
              <w:t>　</w:t>
            </w:r>
          </w:p>
        </w:tc>
      </w:tr>
      <w:tr>
        <w:tblPrEx>
          <w:tblCellMar>
            <w:top w:w="0" w:type="dxa"/>
            <w:left w:w="108" w:type="dxa"/>
            <w:bottom w:w="0" w:type="dxa"/>
            <w:right w:w="108" w:type="dxa"/>
          </w:tblCellMar>
        </w:tblPrEx>
        <w:trPr>
          <w:trHeight w:val="489" w:hRule="atLeast"/>
          <w:jc w:val="center"/>
        </w:trPr>
        <w:tc>
          <w:tcPr>
            <w:tcW w:w="3286" w:type="pct"/>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总分</w:t>
            </w:r>
          </w:p>
        </w:tc>
        <w:tc>
          <w:tcPr>
            <w:tcW w:w="413"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100</w:t>
            </w:r>
          </w:p>
        </w:tc>
        <w:tc>
          <w:tcPr>
            <w:tcW w:w="48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98</w:t>
            </w:r>
          </w:p>
        </w:tc>
        <w:tc>
          <w:tcPr>
            <w:tcW w:w="81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bl>
    <w:p>
      <w:pPr>
        <w:rPr>
          <w:rFonts w:hint="eastAsia" w:eastAsia="仿宋_GB2312" w:cs="Times New Roman"/>
          <w:sz w:val="22"/>
          <w:lang w:val="en-US" w:eastAsia="zh-CN"/>
        </w:rPr>
      </w:pPr>
      <w:r>
        <w:rPr>
          <w:rFonts w:hint="default" w:ascii="Times New Roman" w:hAnsi="Times New Roman" w:eastAsia="仿宋_GB2312" w:cs="Times New Roman"/>
          <w:sz w:val="22"/>
        </w:rPr>
        <w:t>说明：</w:t>
      </w:r>
      <w:r>
        <w:rPr>
          <w:rFonts w:hint="eastAsia" w:eastAsia="仿宋_GB2312" w:cs="Times New Roman"/>
          <w:sz w:val="22"/>
          <w:lang w:eastAsia="zh-CN"/>
        </w:rPr>
        <w:t>以上数据参照</w:t>
      </w:r>
      <w:r>
        <w:rPr>
          <w:rFonts w:hint="eastAsia" w:eastAsia="仿宋_GB2312" w:cs="Times New Roman"/>
          <w:sz w:val="22"/>
          <w:lang w:val="en-US" w:eastAsia="zh-CN"/>
        </w:rPr>
        <w:t>2022年部门决算报表中的“收入支出决算总表”(财决01表)。</w:t>
      </w:r>
    </w:p>
    <w:p>
      <w:pPr>
        <w:pStyle w:val="6"/>
        <w:rPr>
          <w:rFonts w:hint="default"/>
          <w:lang w:val="en-US" w:eastAsia="zh-CN"/>
        </w:rPr>
      </w:pPr>
    </w:p>
    <w:p>
      <w:pPr>
        <w:rPr>
          <w:rFonts w:hint="eastAsia" w:ascii="黑体" w:hAnsi="黑体" w:eastAsia="黑体" w:cs="黑体"/>
          <w:sz w:val="32"/>
          <w:szCs w:val="32"/>
          <w:lang w:val="en-US" w:eastAsia="zh-CN"/>
        </w:rPr>
      </w:pPr>
      <w:r>
        <w:rPr>
          <w:rFonts w:hint="default" w:ascii="Times New Roman" w:hAnsi="Times New Roman" w:eastAsia="仿宋_GB2312" w:cs="Times New Roman"/>
          <w:sz w:val="22"/>
          <w:szCs w:val="22"/>
        </w:rPr>
        <w:t>填表人：</w:t>
      </w:r>
      <w:r>
        <w:rPr>
          <w:rFonts w:hint="eastAsia" w:eastAsia="仿宋_GB2312" w:cs="Times New Roman"/>
          <w:sz w:val="22"/>
          <w:szCs w:val="22"/>
          <w:lang w:eastAsia="zh-CN"/>
        </w:rPr>
        <w:t>刘建芳</w:t>
      </w:r>
      <w:r>
        <w:rPr>
          <w:rFonts w:hint="default" w:ascii="Times New Roman" w:hAnsi="Times New Roman" w:eastAsia="仿宋_GB2312" w:cs="Times New Roman"/>
          <w:sz w:val="22"/>
          <w:szCs w:val="22"/>
        </w:rPr>
        <w:t xml:space="preserve"> 填报日期：</w:t>
      </w:r>
      <w:r>
        <w:rPr>
          <w:rFonts w:hint="eastAsia" w:eastAsia="仿宋_GB2312" w:cs="Times New Roman"/>
          <w:sz w:val="22"/>
          <w:szCs w:val="22"/>
          <w:lang w:val="en-US" w:eastAsia="zh-CN"/>
        </w:rPr>
        <w:t>2023.07.17</w:t>
      </w:r>
      <w:r>
        <w:rPr>
          <w:rFonts w:hint="default" w:ascii="Times New Roman" w:hAnsi="Times New Roman" w:eastAsia="仿宋_GB2312" w:cs="Times New Roman"/>
          <w:sz w:val="22"/>
          <w:szCs w:val="22"/>
        </w:rPr>
        <w:t xml:space="preserve">  联系电话：</w:t>
      </w:r>
      <w:r>
        <w:rPr>
          <w:rFonts w:hint="eastAsia" w:eastAsia="仿宋_GB2312" w:cs="Times New Roman"/>
          <w:sz w:val="22"/>
          <w:szCs w:val="22"/>
          <w:lang w:val="en-US" w:eastAsia="zh-CN"/>
        </w:rPr>
        <w:t>15873095838</w:t>
      </w:r>
      <w:r>
        <w:rPr>
          <w:rFonts w:hint="eastAsia" w:ascii="Times New Roman" w:hAnsi="Times New Roman" w:eastAsia="仿宋_GB2312" w:cs="Times New Roman"/>
          <w:sz w:val="22"/>
          <w:szCs w:val="22"/>
          <w:lang w:val="en-US" w:eastAsia="zh-CN"/>
        </w:rPr>
        <w:t xml:space="preserve"> </w:t>
      </w:r>
      <w:r>
        <w:rPr>
          <w:rFonts w:hint="default" w:ascii="Times New Roman" w:hAnsi="Times New Roman" w:eastAsia="仿宋_GB2312" w:cs="Times New Roman"/>
          <w:sz w:val="22"/>
          <w:szCs w:val="22"/>
        </w:rPr>
        <w:t>单位负责人签字：</w:t>
      </w:r>
      <w:r>
        <w:rPr>
          <w:rFonts w:hint="default" w:ascii="Times New Roman" w:hAnsi="Times New Roman" w:eastAsia="仿宋_GB2312" w:cs="Times New Roman"/>
          <w:sz w:val="22"/>
          <w:szCs w:val="22"/>
        </w:rPr>
        <w:br w:type="page"/>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华容县纪委监委</w:t>
      </w:r>
      <w:r>
        <w:rPr>
          <w:rFonts w:hint="eastAsia" w:ascii="方正小标宋简体" w:hAnsi="方正小标宋简体" w:eastAsia="方正小标宋简体" w:cs="方正小标宋简体"/>
          <w:sz w:val="44"/>
          <w:szCs w:val="44"/>
        </w:rPr>
        <w:t>整体支出</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eastAsia" w:ascii="Times New Roman" w:hAnsi="Times New Roman" w:eastAsia="仿宋_GB2312" w:cs="Times New Roman"/>
          <w:sz w:val="32"/>
          <w:szCs w:val="32"/>
          <w:u w:val="single"/>
          <w:lang w:eastAsia="zh-CN"/>
        </w:rPr>
      </w:pPr>
      <w:r>
        <w:rPr>
          <w:rFonts w:hint="default" w:ascii="Times New Roman" w:hAnsi="Times New Roman" w:eastAsia="仿宋_GB2312" w:cs="Times New Roman"/>
          <w:sz w:val="32"/>
          <w:szCs w:val="32"/>
        </w:rPr>
        <w:t>部门（单位）名称：</w:t>
      </w:r>
      <w:r>
        <w:rPr>
          <w:rFonts w:hint="default" w:ascii="Times New Roman" w:hAnsi="Times New Roman" w:eastAsia="仿宋_GB2312" w:cs="Times New Roman"/>
          <w:sz w:val="32"/>
          <w:szCs w:val="32"/>
          <w:u w:val="single"/>
        </w:rPr>
        <w:t>（盖章）</w:t>
      </w:r>
    </w:p>
    <w:p>
      <w:pPr>
        <w:spacing w:line="600" w:lineRule="exact"/>
        <w:jc w:val="center"/>
        <w:rPr>
          <w:rFonts w:hint="default" w:ascii="Times New Roman" w:hAnsi="Times New Roman" w:eastAsia="楷体_GB2312" w:cs="Times New Roman"/>
          <w:sz w:val="32"/>
          <w:szCs w:val="32"/>
        </w:rPr>
      </w:pPr>
      <w:r>
        <w:rPr>
          <w:rFonts w:hint="eastAsia" w:eastAsia="楷体_GB2312" w:cs="Times New Roman"/>
          <w:sz w:val="32"/>
          <w:szCs w:val="32"/>
          <w:lang w:val="en-US" w:eastAsia="zh-CN"/>
        </w:rPr>
        <w:t>2023</w:t>
      </w:r>
      <w:r>
        <w:rPr>
          <w:rFonts w:hint="default" w:ascii="Times New Roman" w:hAnsi="Times New Roman" w:eastAsia="楷体_GB2312" w:cs="Times New Roman"/>
          <w:sz w:val="32"/>
          <w:szCs w:val="32"/>
        </w:rPr>
        <w:t>年</w:t>
      </w:r>
      <w:r>
        <w:rPr>
          <w:rFonts w:hint="eastAsia" w:eastAsia="楷体_GB2312" w:cs="Times New Roman"/>
          <w:sz w:val="32"/>
          <w:szCs w:val="32"/>
          <w:lang w:val="en-US" w:eastAsia="zh-CN"/>
        </w:rPr>
        <w:t>7</w:t>
      </w:r>
      <w:r>
        <w:rPr>
          <w:rFonts w:hint="default" w:ascii="Times New Roman" w:hAnsi="Times New Roman" w:eastAsia="楷体_GB2312" w:cs="Times New Roman"/>
          <w:sz w:val="32"/>
          <w:szCs w:val="32"/>
        </w:rPr>
        <w:t xml:space="preserve">月 </w:t>
      </w:r>
      <w:r>
        <w:rPr>
          <w:rFonts w:hint="eastAsia" w:eastAsia="楷体_GB2312" w:cs="Times New Roman"/>
          <w:sz w:val="32"/>
          <w:szCs w:val="32"/>
          <w:lang w:val="en-US" w:eastAsia="zh-CN"/>
        </w:rPr>
        <w:t>17</w:t>
      </w:r>
      <w:r>
        <w:rPr>
          <w:rFonts w:hint="default" w:ascii="Times New Roman" w:hAnsi="Times New Roman" w:eastAsia="楷体_GB2312" w:cs="Times New Roman"/>
          <w:sz w:val="32"/>
          <w:szCs w:val="32"/>
        </w:rPr>
        <w:t>日</w:t>
      </w:r>
    </w:p>
    <w:p>
      <w:pPr>
        <w:pStyle w:val="2"/>
        <w:widowControl w:val="0"/>
        <w:numPr>
          <w:numId w:val="0"/>
        </w:numPr>
        <w:jc w:val="both"/>
        <w:rPr>
          <w:rFonts w:hint="default" w:ascii="Times New Roman" w:hAnsi="Times New Roman" w:eastAsia="楷体_GB2312" w:cs="Times New Roman"/>
          <w:sz w:val="32"/>
          <w:szCs w:val="32"/>
        </w:rPr>
      </w:pPr>
    </w:p>
    <w:p>
      <w:pPr>
        <w:pStyle w:val="2"/>
        <w:widowControl w:val="0"/>
        <w:numPr>
          <w:numId w:val="0"/>
        </w:numPr>
        <w:jc w:val="both"/>
        <w:rPr>
          <w:rFonts w:hint="default" w:ascii="Times New Roman" w:hAnsi="Times New Roman" w:eastAsia="楷体_GB2312" w:cs="Times New Roman"/>
          <w:sz w:val="32"/>
          <w:szCs w:val="32"/>
        </w:rPr>
      </w:pP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华容县纪委监委</w:t>
      </w:r>
      <w:r>
        <w:rPr>
          <w:rFonts w:hint="eastAsia" w:ascii="方正小标宋简体" w:hAnsi="方正小标宋简体" w:eastAsia="方正小标宋简体" w:cs="方正小标宋简体"/>
          <w:sz w:val="44"/>
          <w:szCs w:val="44"/>
        </w:rPr>
        <w:t>整体支出</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keepNext w:val="0"/>
        <w:keepLines w:val="0"/>
        <w:pageBreakBefore w:val="0"/>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numPr>
          <w:ilvl w:val="0"/>
          <w:numId w:val="2"/>
        </w:numPr>
        <w:kinsoku/>
        <w:wordWrap/>
        <w:overflowPunct/>
        <w:topLinePunct w:val="0"/>
        <w:autoSpaceDE/>
        <w:autoSpaceDN/>
        <w:bidi w:val="0"/>
        <w:adjustRightInd/>
        <w:snapToGrid/>
        <w:spacing w:line="600" w:lineRule="exact"/>
        <w:jc w:val="both"/>
        <w:textAlignment w:val="auto"/>
        <w:rPr>
          <w:rFonts w:hint="default" w:ascii="高级黑" w:hAnsi="高级黑" w:eastAsia="高级黑" w:cs="高级黑"/>
          <w:sz w:val="32"/>
          <w:szCs w:val="32"/>
          <w:lang w:eastAsia="zh-CN"/>
        </w:rPr>
      </w:pPr>
      <w:r>
        <w:rPr>
          <w:rFonts w:hint="default" w:ascii="高级黑" w:hAnsi="高级黑" w:eastAsia="高级黑" w:cs="高级黑"/>
          <w:sz w:val="32"/>
          <w:szCs w:val="32"/>
          <w:lang w:eastAsia="zh-CN"/>
        </w:rPr>
        <w:t>部门（单位）基本情况</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lang w:eastAsia="zh-CN"/>
        </w:rPr>
      </w:pPr>
      <w:r>
        <w:rPr>
          <w:rFonts w:hint="eastAsia" w:ascii="仿宋" w:hAnsi="仿宋" w:eastAsia="仿宋" w:cs="仿宋_GB2312"/>
          <w:b w:val="0"/>
          <w:bCs/>
          <w:sz w:val="28"/>
          <w:szCs w:val="28"/>
        </w:rPr>
        <w:t>中国共产党华容县纪律检查委员会与华容县监察委员会合署办公，辖事业单位1个、内设部室13个、派驻纪检监察组1</w:t>
      </w:r>
      <w:r>
        <w:rPr>
          <w:rFonts w:hint="eastAsia" w:ascii="仿宋" w:hAnsi="仿宋" w:eastAsia="仿宋" w:cs="仿宋_GB2312"/>
          <w:b w:val="0"/>
          <w:bCs/>
          <w:sz w:val="28"/>
          <w:szCs w:val="28"/>
          <w:lang w:val="en-US" w:eastAsia="zh-CN"/>
        </w:rPr>
        <w:t>4</w:t>
      </w:r>
      <w:r>
        <w:rPr>
          <w:rFonts w:hint="eastAsia" w:ascii="仿宋" w:hAnsi="仿宋" w:eastAsia="仿宋" w:cs="仿宋_GB2312"/>
          <w:b w:val="0"/>
          <w:bCs/>
          <w:sz w:val="28"/>
          <w:szCs w:val="28"/>
        </w:rPr>
        <w:t>个。县委巡察办、县委巡察组为独立正科级单位，办公地点设在县纪委监委，其财务由县纪委监委统一核算。根据编委核定，我部门共有编制13</w:t>
      </w:r>
      <w:r>
        <w:rPr>
          <w:rFonts w:hint="eastAsia" w:ascii="仿宋" w:hAnsi="仿宋" w:eastAsia="仿宋" w:cs="仿宋_GB2312"/>
          <w:b w:val="0"/>
          <w:bCs/>
          <w:sz w:val="28"/>
          <w:szCs w:val="28"/>
          <w:lang w:val="en-US" w:eastAsia="zh-CN"/>
        </w:rPr>
        <w:t>6</w:t>
      </w:r>
      <w:r>
        <w:rPr>
          <w:rFonts w:hint="eastAsia" w:ascii="仿宋" w:hAnsi="仿宋" w:eastAsia="仿宋" w:cs="仿宋_GB2312"/>
          <w:b w:val="0"/>
          <w:bCs/>
          <w:sz w:val="28"/>
          <w:szCs w:val="28"/>
        </w:rPr>
        <w:t>名 (其中：纪委机关50名，派驻组59名，警教中心8名，巡察办1</w:t>
      </w:r>
      <w:r>
        <w:rPr>
          <w:rFonts w:hint="eastAsia" w:ascii="仿宋" w:hAnsi="仿宋" w:eastAsia="仿宋" w:cs="仿宋_GB2312"/>
          <w:b w:val="0"/>
          <w:bCs/>
          <w:sz w:val="28"/>
          <w:szCs w:val="28"/>
          <w:lang w:val="en-US" w:eastAsia="zh-CN"/>
        </w:rPr>
        <w:t>9</w:t>
      </w:r>
      <w:r>
        <w:rPr>
          <w:rFonts w:hint="eastAsia" w:ascii="仿宋" w:hAnsi="仿宋" w:eastAsia="仿宋" w:cs="仿宋_GB2312"/>
          <w:b w:val="0"/>
          <w:bCs/>
          <w:sz w:val="28"/>
          <w:szCs w:val="28"/>
        </w:rPr>
        <w:t>名) ，年末实有在编在岗人员1</w:t>
      </w:r>
      <w:r>
        <w:rPr>
          <w:rFonts w:hint="eastAsia" w:ascii="仿宋" w:hAnsi="仿宋" w:eastAsia="仿宋" w:cs="仿宋_GB2312"/>
          <w:b w:val="0"/>
          <w:bCs/>
          <w:sz w:val="28"/>
          <w:szCs w:val="28"/>
          <w:lang w:val="en-US" w:eastAsia="zh-CN"/>
        </w:rPr>
        <w:t>21</w:t>
      </w:r>
      <w:r>
        <w:rPr>
          <w:rFonts w:hint="eastAsia" w:ascii="仿宋" w:hAnsi="仿宋" w:eastAsia="仿宋" w:cs="仿宋_GB2312"/>
          <w:b w:val="0"/>
          <w:bCs/>
          <w:sz w:val="28"/>
          <w:szCs w:val="28"/>
        </w:rPr>
        <w:t>人。</w:t>
      </w:r>
    </w:p>
    <w:p>
      <w:pPr>
        <w:keepNext w:val="0"/>
        <w:keepLines w:val="0"/>
        <w:pageBreakBefore w:val="0"/>
        <w:numPr>
          <w:ilvl w:val="0"/>
          <w:numId w:val="2"/>
        </w:numPr>
        <w:kinsoku/>
        <w:wordWrap/>
        <w:overflowPunct/>
        <w:topLinePunct w:val="0"/>
        <w:autoSpaceDE/>
        <w:autoSpaceDN/>
        <w:bidi w:val="0"/>
        <w:adjustRightInd/>
        <w:snapToGrid/>
        <w:spacing w:line="600" w:lineRule="exact"/>
        <w:ind w:left="0" w:leftChars="0" w:firstLine="0" w:firstLineChars="0"/>
        <w:jc w:val="both"/>
        <w:textAlignment w:val="auto"/>
        <w:rPr>
          <w:rFonts w:hint="default" w:ascii="高级黑" w:hAnsi="高级黑" w:eastAsia="高级黑" w:cs="高级黑"/>
          <w:sz w:val="32"/>
          <w:szCs w:val="32"/>
          <w:lang w:val="en-US" w:eastAsia="zh-CN"/>
        </w:rPr>
      </w:pPr>
      <w:r>
        <w:rPr>
          <w:rFonts w:hint="default" w:ascii="高级黑" w:hAnsi="高级黑" w:eastAsia="高级黑" w:cs="高级黑"/>
          <w:sz w:val="32"/>
          <w:szCs w:val="32"/>
          <w:lang w:val="en-US" w:eastAsia="zh-CN"/>
        </w:rPr>
        <w:t>基本支出情况</w:t>
      </w:r>
    </w:p>
    <w:p>
      <w:pPr>
        <w:pStyle w:val="2"/>
        <w:keepNext w:val="0"/>
        <w:keepLines w:val="0"/>
        <w:pageBreakBefore w:val="0"/>
        <w:numPr>
          <w:ilvl w:val="0"/>
          <w:numId w:val="0"/>
        </w:numPr>
        <w:kinsoku/>
        <w:wordWrap/>
        <w:overflowPunct/>
        <w:topLinePunct w:val="0"/>
        <w:autoSpaceDE/>
        <w:autoSpaceDN/>
        <w:bidi w:val="0"/>
        <w:adjustRightInd/>
        <w:snapToGrid/>
        <w:ind w:leftChars="0" w:firstLine="560" w:firstLineChars="200"/>
        <w:textAlignment w:val="auto"/>
        <w:rPr>
          <w:rFonts w:hint="default"/>
          <w:lang w:val="en-US" w:eastAsia="zh-CN"/>
        </w:rPr>
      </w:pPr>
      <w:r>
        <w:rPr>
          <w:rFonts w:hint="eastAsia" w:ascii="仿宋" w:hAnsi="仿宋" w:eastAsia="仿宋" w:cs="仿宋_GB2312"/>
          <w:b w:val="0"/>
          <w:bCs/>
          <w:sz w:val="28"/>
          <w:szCs w:val="28"/>
          <w:lang w:val="en-US" w:eastAsia="zh-CN"/>
        </w:rPr>
        <w:t>2022年度本部门基本支出1813.21万元，其中人员支出1147.20万元、公用支出383.74万元，对个人和家庭补助支出282.26万元。主要是用于保障机构正常运转的日常支出，包括基本工资、津贴补贴、社保缴费、住房公积金和日常公用经费等。</w:t>
      </w:r>
    </w:p>
    <w:p>
      <w:pPr>
        <w:keepNext w:val="0"/>
        <w:keepLines w:val="0"/>
        <w:pageBreakBefore w:val="0"/>
        <w:numPr>
          <w:ilvl w:val="0"/>
          <w:numId w:val="2"/>
        </w:numPr>
        <w:kinsoku/>
        <w:wordWrap/>
        <w:overflowPunct/>
        <w:topLinePunct w:val="0"/>
        <w:autoSpaceDE/>
        <w:autoSpaceDN/>
        <w:bidi w:val="0"/>
        <w:adjustRightInd/>
        <w:snapToGrid/>
        <w:spacing w:line="600" w:lineRule="exact"/>
        <w:ind w:left="0" w:leftChars="0" w:firstLine="0" w:firstLineChars="0"/>
        <w:jc w:val="both"/>
        <w:textAlignment w:val="auto"/>
        <w:rPr>
          <w:rFonts w:hint="default" w:ascii="高级黑" w:hAnsi="高级黑" w:eastAsia="高级黑" w:cs="高级黑"/>
          <w:sz w:val="32"/>
          <w:szCs w:val="32"/>
          <w:lang w:val="en-US" w:eastAsia="zh-CN"/>
        </w:rPr>
      </w:pPr>
      <w:r>
        <w:rPr>
          <w:rFonts w:hint="default" w:ascii="高级黑" w:hAnsi="高级黑" w:eastAsia="高级黑" w:cs="高级黑"/>
          <w:sz w:val="32"/>
          <w:szCs w:val="32"/>
          <w:lang w:val="en-US" w:eastAsia="zh-CN"/>
        </w:rPr>
        <w:t>项目支出情况</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_GB2312"/>
          <w:b w:val="0"/>
          <w:bCs/>
          <w:sz w:val="28"/>
          <w:szCs w:val="28"/>
          <w:lang w:val="en-US" w:eastAsia="zh-CN"/>
        </w:rPr>
      </w:pPr>
      <w:r>
        <w:rPr>
          <w:rFonts w:hint="eastAsia" w:ascii="仿宋" w:hAnsi="仿宋" w:eastAsia="仿宋" w:cs="仿宋_GB2312"/>
          <w:b w:val="0"/>
          <w:bCs/>
          <w:sz w:val="28"/>
          <w:szCs w:val="28"/>
          <w:lang w:val="en-US" w:eastAsia="zh-CN"/>
        </w:rPr>
        <w:t>2022年度本部门专项资金支出822.41万元，其中留置专案经费407.12万元、办信办案专项265.54万元、党风廉政刊物43.25万元、干部警示教育18.61万元、专项巡察77.88万元、纪检监察移动安全办公平台10万元。专项资金主要用于全县的党风廉政建设和反腐败斗争工作，办案工作的软硬件建设、查处各种违纪违法案件和配合上级纪委查办各类案件，特别是大案要案的查处工作。</w:t>
      </w:r>
    </w:p>
    <w:p>
      <w:pPr>
        <w:pStyle w:val="2"/>
        <w:keepNext w:val="0"/>
        <w:keepLines w:val="0"/>
        <w:pageBreakBefore w:val="0"/>
        <w:numPr>
          <w:ilvl w:val="0"/>
          <w:numId w:val="0"/>
        </w:numPr>
        <w:kinsoku/>
        <w:wordWrap/>
        <w:overflowPunct/>
        <w:topLinePunct w:val="0"/>
        <w:autoSpaceDE/>
        <w:autoSpaceDN/>
        <w:bidi w:val="0"/>
        <w:adjustRightInd/>
        <w:snapToGrid/>
        <w:ind w:leftChars="0"/>
        <w:textAlignment w:val="auto"/>
        <w:rPr>
          <w:rFonts w:hint="default"/>
          <w:lang w:val="en-US" w:eastAsia="zh-CN"/>
        </w:rPr>
      </w:pPr>
    </w:p>
    <w:p>
      <w:pPr>
        <w:keepNext w:val="0"/>
        <w:keepLines w:val="0"/>
        <w:pageBreakBefore w:val="0"/>
        <w:numPr>
          <w:ilvl w:val="0"/>
          <w:numId w:val="2"/>
        </w:numPr>
        <w:kinsoku/>
        <w:wordWrap/>
        <w:overflowPunct/>
        <w:topLinePunct w:val="0"/>
        <w:autoSpaceDE/>
        <w:autoSpaceDN/>
        <w:bidi w:val="0"/>
        <w:adjustRightInd/>
        <w:snapToGrid/>
        <w:spacing w:line="600" w:lineRule="exact"/>
        <w:ind w:left="0" w:leftChars="0" w:firstLine="0" w:firstLineChars="0"/>
        <w:jc w:val="both"/>
        <w:textAlignment w:val="auto"/>
        <w:rPr>
          <w:rFonts w:hint="default" w:ascii="高级黑" w:hAnsi="高级黑" w:eastAsia="高级黑" w:cs="高级黑"/>
          <w:sz w:val="32"/>
          <w:szCs w:val="32"/>
          <w:lang w:eastAsia="zh-CN"/>
        </w:rPr>
      </w:pPr>
      <w:r>
        <w:rPr>
          <w:rFonts w:hint="default" w:ascii="高级黑" w:hAnsi="高级黑" w:eastAsia="高级黑" w:cs="高级黑"/>
          <w:sz w:val="32"/>
          <w:szCs w:val="32"/>
          <w:lang w:eastAsia="zh-CN"/>
        </w:rPr>
        <w:t>部门整体支出绩效情况</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_GB2312"/>
          <w:b w:val="0"/>
          <w:bCs/>
          <w:sz w:val="28"/>
          <w:szCs w:val="28"/>
          <w:lang w:val="en-US" w:eastAsia="zh-CN"/>
        </w:rPr>
      </w:pPr>
      <w:r>
        <w:rPr>
          <w:rFonts w:hint="eastAsia" w:ascii="仿宋" w:hAnsi="仿宋" w:eastAsia="仿宋" w:cs="仿宋_GB2312"/>
          <w:b w:val="0"/>
          <w:bCs/>
          <w:sz w:val="28"/>
          <w:szCs w:val="28"/>
          <w:lang w:val="en-US" w:eastAsia="zh-CN"/>
        </w:rPr>
        <w:t>（一）聚焦政治监督，践行“两个维护”有力有效。深入贯彻落实习近平总书记重要讲话重要指示批示精神，加强监督检查和调研督导，推动党中央重大决策部署落实落地。以丰穗粮食购销有限公司相关人员涉嫌违纪违法为突破口，核查问题线索5件，留置3人，粮食购销领域腐败问题专项整治工作成效显著。深化“洞庭清波”专项行动，下发提示督办函7份，查处问题线索13件，处理37人，15个年度整改任务按期销号。扎实开展巩固脱贫攻坚成果和乡村振兴有效衔接、自建房安全隐患排查整治、安全生产等专项监督，着力查纠其中责任、作风、腐败和机制问题，查处问题线索17件，给予党纪政务处分18人。面对“3·15”土坑酸菜事件，积极配合上级纪委监委开展调查核实，适时提出合理处理建议，以迅速行动争取工作主动，赢得上级理解支持。“8·20”疫情防控中，坚持第一时间到岗，第一时间明确“六大纪律要求”，15个督查小组24小时连轴转，下发督查通报10期，处置问题线索45件，处分15人，为全县3天控局面、7天无新增高效抗疫注入了强有力的纪检监察力量。主动开展谈心谈话1606人次，作风检查352次，通报批评100多人次。在选人用人、评先评优等方面，廉政把关74批3406人，出具暂缓或否定性意见31人次，把牢了政治关、廉洁关，强力推动管党治党政治责任落到实处。</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_GB2312"/>
          <w:b w:val="0"/>
          <w:bCs/>
          <w:sz w:val="28"/>
          <w:szCs w:val="28"/>
          <w:lang w:val="en-US" w:eastAsia="zh-CN"/>
        </w:rPr>
      </w:pPr>
      <w:r>
        <w:rPr>
          <w:rFonts w:hint="eastAsia" w:ascii="仿宋" w:hAnsi="仿宋" w:eastAsia="仿宋" w:cs="仿宋_GB2312"/>
          <w:b w:val="0"/>
          <w:bCs/>
          <w:sz w:val="28"/>
          <w:szCs w:val="28"/>
          <w:lang w:val="en-US" w:eastAsia="zh-CN"/>
        </w:rPr>
        <w:t>（二）聚焦惩腐肃贪，“三不腐”效应叠加释放。全年立案207件，给予党纪政务处分182人次，其中县管干部18人，挽回经济损失1468.41万元。严肃查处丰穗粮食购销有限公司原总经理张某、原副总经理贺某严重违纪违法并涉嫌职务犯罪案件，移送检察机关3人。组织38人次办理市纪委监委“3·29”“4·28”“6·14”“9·01”“11·12”等5个系列专案，为全市反腐败斗争贡献了华容力量。针对典型案件暴露出的问题，督促县商务粮食局及时召开以案促改警示教育大会，修订完善相关规章制度，堵塞工作漏洞，强化风险防控。全年下发纪检监察建议书7份，督促相关单位党组织及时整改。组织开展专题监督检查，推动相关行业主管部门整治行业乱象，规范权力运行。组织全县公职人员及其家属集中开展廉政警示教育活动30余场1500余人次。严格落实新时代廉洁文化建设及清廉湖南建设要求，协助县委出台清廉建设工作方案，压紧压实牵头单位主体责任，构建“1+6”清廉华容建设模式，全市首个清廉单元建设现场推进会在华容召开，我县相关工作经验被中央、省、市主流媒体报道推介。</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_GB2312"/>
          <w:b w:val="0"/>
          <w:bCs/>
          <w:sz w:val="28"/>
          <w:szCs w:val="28"/>
          <w:lang w:val="en-US" w:eastAsia="zh-CN"/>
        </w:rPr>
      </w:pPr>
      <w:r>
        <w:rPr>
          <w:rFonts w:hint="eastAsia" w:ascii="仿宋" w:hAnsi="仿宋" w:eastAsia="仿宋" w:cs="仿宋_GB2312"/>
          <w:b w:val="0"/>
          <w:bCs/>
          <w:sz w:val="28"/>
          <w:szCs w:val="28"/>
          <w:lang w:val="en-US" w:eastAsia="zh-CN"/>
        </w:rPr>
        <w:t>（三）聚焦监督首责，治理效能明显提升。树牢“严管就是厚爱”理念，坚持提醒在先、监督在前，着力整治“浮泛拖推、逐利争好”突出问题，加强年轻干部教育监督管理，进一步盯紧了“关键少数”、重要岗位。注重发挥派驻纪检监察组“派”的权威和“驻”的优势，14个派驻纪检监察组查办问题线索106件，立案60件，处分58人。督促织密织牢廉政风险防控网络，各单位共查找“关键少数”廉政风险点8003个，制定防控措施8456条，推动依纪依法用权、公平公正行权。精准规范运用“四种形态”，发现问题及时谈话函询、提醒纠正，严把第一道关口，其中运用第一、二种形态处置问题线索占比87%，促进了党员干部更加相信依赖组织，更加严格要求自己。出台县委巡察工作五年规划和村（社区）党组织巡察全覆盖五年专项规划，对4个乡镇党委、12个县直部门单位和49个村（社区）党组织开展第二轮、第三轮常规巡察、违规举债和虚假化债专项巡察，共发现问题257个，线索34件。完成第一轮巡察整改评估，及时将第二轮巡察集中整改进展情况报告向党内和社会公开，两轮巡察共追责问责干部311人，处分15人，诫勉谈话16人，谈话提醒78人，建章立制125项，清退清缴各类违规资金154.83万元，巡察利剑的震慑、遏制、治本作用得到充分彰显。积极探索“1+N”专项监督模式，盘活“室组地”力量资源，联合开展专项监督193轮次，发现问题446个，组织处理204人，处分48人。用好“互联网+监督”平台，比对发现“公职人员重复领取企业养老金”问题线索14件，组织处理4人，追缴资金1.24万元；加强公职人员违规兼职取酬问题线索处置，组织处理11人，追缴违规所得35.85万元。</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_GB2312"/>
          <w:b w:val="0"/>
          <w:bCs/>
          <w:sz w:val="28"/>
          <w:szCs w:val="28"/>
          <w:lang w:val="en-US" w:eastAsia="zh-CN"/>
        </w:rPr>
      </w:pPr>
      <w:r>
        <w:rPr>
          <w:rFonts w:hint="eastAsia" w:ascii="仿宋" w:hAnsi="仿宋" w:eastAsia="仿宋" w:cs="仿宋_GB2312"/>
          <w:b w:val="0"/>
          <w:bCs/>
          <w:sz w:val="28"/>
          <w:szCs w:val="28"/>
          <w:lang w:val="en-US" w:eastAsia="zh-CN"/>
        </w:rPr>
        <w:t>（四）聚焦正风肃纪，新风正气不断充盈。锲而不舍落实中央八项规定及其实施细则精神，揪住不正之风“老问题”，密切关注“新动向”，对党员干部和公职人员“涉酒涉牌”突出问题进行集中整治，开展暗访督查10轮次，发现问题线索25件，处分29人。紧盯重要节假日开展作风督查6轮次，发现并移交各单位整改问题133个，约谈相关单位分管负责人23人次，以优良党风带动作风持续向好。着力防治“舌尖上的腐败”，紧盯违规吃喝典型问题，常态化开展明察暗访和专项检查，发现问题线索10件，处分6人。持续深化违规收送红包礼金专项整治，组织开展专题谈心谈话925人次，签订承诺书963份，上交“清风”账户112万元。扎实推进“吃空饷”专项整治，清查“吃空饷”人员39人，追缴资金57.67万元。更新完善廉政档案，新增县管干部纸质廉政档案116份，县管干部主动报备婚丧喜庆事宜65人次，有效遏制了“老问题”复燃、“新问题”萌发、“小问题”坐大。</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_GB2312"/>
          <w:b w:val="0"/>
          <w:bCs/>
          <w:sz w:val="28"/>
          <w:szCs w:val="28"/>
          <w:lang w:val="en-US" w:eastAsia="zh-CN"/>
        </w:rPr>
      </w:pPr>
      <w:r>
        <w:rPr>
          <w:rFonts w:hint="eastAsia" w:ascii="仿宋" w:hAnsi="仿宋" w:eastAsia="仿宋" w:cs="仿宋_GB2312"/>
          <w:b w:val="0"/>
          <w:bCs/>
          <w:sz w:val="28"/>
          <w:szCs w:val="28"/>
          <w:lang w:val="en-US" w:eastAsia="zh-CN"/>
        </w:rPr>
        <w:t>（五）聚焦执纪为民，民生福祉更有“质感”。深化惠民惠农财政补贴资金“一卡通”问题专项治理，下发督办函11份，交办函3份，处理68人次，追缴资金5.55万元，注销、停用银行卡160张。开展农村乱占耕地建房专项治理，发现问题线索4件，处分10人。加强乡村振兴领域专项监督，查处问题线索14件，处分16人。持续开展“我为群众办实事”活动，推动“公开接访”“干部下访”，共接待来访群众234批326人次，交办督办疑难信访件112件，越级访53件，同比减少7%，我县信访举报办理质效的经验被省纪委监委推介。围绕“学位、床位、车位、厕位”问题，主动上门监督，督促职能部门新增城区停车位1900余个，严查在“四位”上利用公共资源与民争利、谋私贪腐典型问题4个，处分6人，追缴资金21.25万元，既让发展有“温度”，又让整治有“力度”。紧盯基层“事”，开展农村集体“三资”管理突出问题专项监督，抽查8个乡镇12个村（社区）乡村振兴资金项目78个，移送问题线索16件，处分6人。紧盯基层“人”，加强清廉支部建设，对38名新进村支两委班子候选人进行“廉政体检”，否定候选人3名。紧盯基层“声”，注重发挥“群情通”“小微权力监督一点通”平台作用，督促及时处理工单，妥善解决问题，切实做到了民有所呼、我有所应，民有所求、我有所为，助推了基层治理“136”工程不断走向深入。</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_GB2312"/>
          <w:b w:val="0"/>
          <w:bCs/>
          <w:sz w:val="28"/>
          <w:szCs w:val="28"/>
          <w:lang w:val="en-US" w:eastAsia="zh-CN"/>
        </w:rPr>
      </w:pPr>
      <w:r>
        <w:rPr>
          <w:rFonts w:hint="eastAsia" w:ascii="仿宋" w:hAnsi="仿宋" w:eastAsia="仿宋" w:cs="仿宋_GB2312"/>
          <w:b w:val="0"/>
          <w:bCs/>
          <w:sz w:val="28"/>
          <w:szCs w:val="28"/>
          <w:lang w:val="en-US" w:eastAsia="zh-CN"/>
        </w:rPr>
        <w:t>（六）聚焦自身建设，着力打造反腐铁军。深入学习领会习近平新时代中国特色社会主义思想，切实把学习宣传贯彻党的二十大精神作为首要政治任务，严格落实“第一议题”制度，持之以恒用党的创新理论成果武装头脑，坚持在学习中坚定政治方向、锤炼政治信仰。持续推进“大起底、大讨论、大学习、大比武、大创建”系列活动，注重“导师带新人”、岗位大练兵，加强专业能力培训，提升业务本领。坚持边学习、边调研、边工作、边总结，深入开展走访调研，及时发现问题、总结经验，不断提高工作质量和水平，着力打造政治强、班子好、素质高、形象佳、业绩优的“有为”纪委监委，推进纪检监察工作规范化、法治化、正规化严格执行纪委常委班子自身建设十条、请示报告制度和纪检监察干部“负面清单”制度，加强对纪检监察干部“八小时之外”的监督和廉政档案管理，自觉接受党内监督、人大监督和社会各方面监督，坚决查处违纪违法行为，切实做到“三防”“四慎”，让纪检监察干部始终置身“最严格的监督”中。</w:t>
      </w:r>
    </w:p>
    <w:p>
      <w:pPr>
        <w:keepNext w:val="0"/>
        <w:keepLines w:val="0"/>
        <w:pageBreakBefore w:val="0"/>
        <w:kinsoku/>
        <w:wordWrap/>
        <w:overflowPunct/>
        <w:topLinePunct w:val="0"/>
        <w:autoSpaceDE/>
        <w:autoSpaceDN/>
        <w:bidi w:val="0"/>
        <w:adjustRightInd/>
        <w:snapToGrid/>
        <w:spacing w:line="600" w:lineRule="exact"/>
        <w:jc w:val="both"/>
        <w:textAlignment w:val="auto"/>
        <w:rPr>
          <w:rFonts w:hint="default" w:ascii="高级黑" w:hAnsi="高级黑" w:eastAsia="高级黑" w:cs="高级黑"/>
          <w:sz w:val="32"/>
          <w:szCs w:val="32"/>
          <w:lang w:eastAsia="zh-CN"/>
        </w:rPr>
      </w:pPr>
      <w:r>
        <w:rPr>
          <w:rFonts w:hint="eastAsia" w:ascii="高级黑" w:hAnsi="高级黑" w:eastAsia="高级黑" w:cs="高级黑"/>
          <w:sz w:val="32"/>
          <w:szCs w:val="32"/>
          <w:lang w:eastAsia="zh-CN"/>
        </w:rPr>
        <w:t>五</w:t>
      </w:r>
      <w:r>
        <w:rPr>
          <w:rFonts w:hint="default" w:ascii="高级黑" w:hAnsi="高级黑" w:eastAsia="高级黑" w:cs="高级黑"/>
          <w:sz w:val="32"/>
          <w:szCs w:val="32"/>
          <w:lang w:eastAsia="zh-CN"/>
        </w:rPr>
        <w:t>、存在的问题及原因分析</w:t>
      </w:r>
    </w:p>
    <w:p>
      <w:pPr>
        <w:keepNext w:val="0"/>
        <w:keepLines w:val="0"/>
        <w:pageBreakBefore w:val="0"/>
        <w:widowControl/>
        <w:kinsoku/>
        <w:wordWrap/>
        <w:overflowPunct/>
        <w:topLinePunct w:val="0"/>
        <w:autoSpaceDE/>
        <w:autoSpaceDN/>
        <w:bidi w:val="0"/>
        <w:adjustRightInd/>
        <w:snapToGrid/>
        <w:spacing w:line="610" w:lineRule="exact"/>
        <w:ind w:firstLine="560" w:firstLineChars="200"/>
        <w:jc w:val="both"/>
        <w:textAlignment w:val="auto"/>
        <w:rPr>
          <w:rFonts w:hint="eastAsia" w:ascii="仿宋" w:hAnsi="仿宋" w:eastAsia="仿宋" w:cs="仿宋_GB2312"/>
          <w:b w:val="0"/>
          <w:bCs/>
          <w:sz w:val="28"/>
          <w:szCs w:val="28"/>
          <w:lang w:val="en-US" w:eastAsia="zh-CN"/>
        </w:rPr>
      </w:pPr>
      <w:r>
        <w:rPr>
          <w:rFonts w:hint="eastAsia" w:ascii="仿宋" w:hAnsi="仿宋" w:eastAsia="仿宋" w:cs="仿宋_GB2312"/>
          <w:b w:val="0"/>
          <w:bCs/>
          <w:sz w:val="28"/>
          <w:szCs w:val="28"/>
          <w:lang w:val="en-US" w:eastAsia="zh-CN"/>
        </w:rPr>
        <w:t>（一）绩效指标不够明确、细化和量化。上级没有固定的绩效评价指标，各单位根据实际情况制定的绩效指标，引用的指标多是对本部门单位有利的指标，容易缺失工作重点，偏离工作实际。</w:t>
      </w:r>
    </w:p>
    <w:p>
      <w:pPr>
        <w:keepNext w:val="0"/>
        <w:keepLines w:val="0"/>
        <w:pageBreakBefore w:val="0"/>
        <w:widowControl/>
        <w:kinsoku/>
        <w:wordWrap/>
        <w:overflowPunct/>
        <w:topLinePunct w:val="0"/>
        <w:autoSpaceDE/>
        <w:autoSpaceDN/>
        <w:bidi w:val="0"/>
        <w:adjustRightInd/>
        <w:snapToGrid/>
        <w:spacing w:line="610" w:lineRule="exact"/>
        <w:ind w:firstLine="560" w:firstLineChars="200"/>
        <w:jc w:val="both"/>
        <w:textAlignment w:val="auto"/>
        <w:rPr>
          <w:rFonts w:hint="default" w:ascii="仿宋" w:hAnsi="仿宋" w:eastAsia="仿宋" w:cs="仿宋_GB2312"/>
          <w:b w:val="0"/>
          <w:bCs/>
          <w:sz w:val="28"/>
          <w:szCs w:val="28"/>
          <w:lang w:val="en-US" w:eastAsia="zh-CN"/>
        </w:rPr>
      </w:pPr>
      <w:r>
        <w:rPr>
          <w:rFonts w:hint="eastAsia" w:ascii="仿宋" w:hAnsi="仿宋" w:eastAsia="仿宋" w:cs="仿宋_GB2312"/>
          <w:b w:val="0"/>
          <w:bCs/>
          <w:sz w:val="28"/>
          <w:szCs w:val="28"/>
          <w:lang w:val="en-US" w:eastAsia="zh-CN"/>
        </w:rPr>
        <w:t>（二）绩效目标设定不够合理。部门在年初设定绩效目标时，往往是把年度工作计划或重点工作内容直接用来作为绩效目标，目标比较模糊，质量有待提高。</w:t>
      </w:r>
    </w:p>
    <w:p>
      <w:pPr>
        <w:keepNext w:val="0"/>
        <w:keepLines w:val="0"/>
        <w:pageBreakBefore w:val="0"/>
        <w:numPr>
          <w:ilvl w:val="0"/>
          <w:numId w:val="3"/>
        </w:numPr>
        <w:kinsoku/>
        <w:wordWrap/>
        <w:overflowPunct/>
        <w:topLinePunct w:val="0"/>
        <w:autoSpaceDE/>
        <w:autoSpaceDN/>
        <w:bidi w:val="0"/>
        <w:adjustRightInd/>
        <w:snapToGrid/>
        <w:spacing w:line="600" w:lineRule="exact"/>
        <w:jc w:val="both"/>
        <w:textAlignment w:val="auto"/>
        <w:rPr>
          <w:rFonts w:hint="default" w:ascii="高级黑" w:hAnsi="高级黑" w:eastAsia="高级黑" w:cs="高级黑"/>
          <w:sz w:val="32"/>
          <w:szCs w:val="32"/>
          <w:lang w:eastAsia="zh-CN"/>
        </w:rPr>
      </w:pPr>
      <w:r>
        <w:rPr>
          <w:rFonts w:hint="default" w:ascii="高级黑" w:hAnsi="高级黑" w:eastAsia="高级黑" w:cs="高级黑"/>
          <w:sz w:val="32"/>
          <w:szCs w:val="32"/>
          <w:lang w:eastAsia="zh-CN"/>
        </w:rPr>
        <w:t>下一步改进措施</w:t>
      </w:r>
    </w:p>
    <w:p>
      <w:pPr>
        <w:pStyle w:val="2"/>
        <w:keepNext w:val="0"/>
        <w:keepLines w:val="0"/>
        <w:pageBreakBefore w:val="0"/>
        <w:numPr>
          <w:ilvl w:val="0"/>
          <w:numId w:val="0"/>
        </w:numPr>
        <w:kinsoku/>
        <w:wordWrap/>
        <w:overflowPunct/>
        <w:topLinePunct w:val="0"/>
        <w:autoSpaceDE/>
        <w:autoSpaceDN/>
        <w:bidi w:val="0"/>
        <w:adjustRightInd/>
        <w:snapToGrid/>
        <w:ind w:leftChars="0" w:firstLine="560" w:firstLineChars="200"/>
        <w:textAlignment w:val="auto"/>
        <w:rPr>
          <w:rFonts w:hint="default"/>
          <w:lang w:eastAsia="zh-CN"/>
        </w:rPr>
      </w:pPr>
      <w:r>
        <w:rPr>
          <w:rFonts w:hint="eastAsia" w:ascii="仿宋" w:hAnsi="仿宋" w:eastAsia="仿宋" w:cs="仿宋_GB2312"/>
          <w:b w:val="0"/>
          <w:bCs/>
          <w:sz w:val="28"/>
          <w:szCs w:val="28"/>
          <w:lang w:val="en-US" w:eastAsia="zh-CN"/>
        </w:rPr>
        <w:t>严肃财政预算执行，预算执行情况直接影响部门整体支出绩效，重视预算执行效果，严格把控资金运行，使财政资金发挥更大的效益。</w:t>
      </w:r>
    </w:p>
    <w:p>
      <w:pPr>
        <w:keepNext w:val="0"/>
        <w:keepLines w:val="0"/>
        <w:pageBreakBefore w:val="0"/>
        <w:numPr>
          <w:ilvl w:val="0"/>
          <w:numId w:val="3"/>
        </w:numPr>
        <w:kinsoku/>
        <w:wordWrap/>
        <w:overflowPunct/>
        <w:topLinePunct w:val="0"/>
        <w:autoSpaceDE/>
        <w:autoSpaceDN/>
        <w:bidi w:val="0"/>
        <w:adjustRightInd/>
        <w:snapToGrid/>
        <w:spacing w:line="600" w:lineRule="exact"/>
        <w:ind w:left="0" w:leftChars="0" w:firstLine="0" w:firstLineChars="0"/>
        <w:jc w:val="both"/>
        <w:textAlignment w:val="auto"/>
        <w:rPr>
          <w:rFonts w:hint="default" w:ascii="高级黑" w:hAnsi="高级黑" w:eastAsia="高级黑" w:cs="高级黑"/>
          <w:sz w:val="32"/>
          <w:szCs w:val="32"/>
          <w:lang w:eastAsia="zh-CN"/>
        </w:rPr>
      </w:pPr>
      <w:r>
        <w:rPr>
          <w:rFonts w:hint="default" w:ascii="高级黑" w:hAnsi="高级黑" w:eastAsia="高级黑" w:cs="高级黑"/>
          <w:sz w:val="32"/>
          <w:szCs w:val="32"/>
          <w:lang w:eastAsia="zh-CN"/>
        </w:rPr>
        <w:t>其他需要说明的情况</w:t>
      </w:r>
    </w:p>
    <w:p>
      <w:pPr>
        <w:pStyle w:val="2"/>
        <w:keepNext w:val="0"/>
        <w:keepLines w:val="0"/>
        <w:pageBreakBefore w:val="0"/>
        <w:numPr>
          <w:ilvl w:val="0"/>
          <w:numId w:val="0"/>
        </w:numPr>
        <w:kinsoku/>
        <w:wordWrap/>
        <w:overflowPunct/>
        <w:topLinePunct w:val="0"/>
        <w:autoSpaceDE/>
        <w:autoSpaceDN/>
        <w:bidi w:val="0"/>
        <w:adjustRightInd/>
        <w:snapToGrid/>
        <w:ind w:leftChars="0" w:firstLine="420" w:firstLineChars="200"/>
        <w:textAlignment w:val="auto"/>
        <w:rPr>
          <w:rFonts w:hint="eastAsia"/>
          <w:lang w:val="en-US" w:eastAsia="zh-CN"/>
        </w:rPr>
      </w:pPr>
      <w:r>
        <w:rPr>
          <w:rFonts w:hint="eastAsia"/>
          <w:lang w:val="en-US" w:eastAsia="zh-CN"/>
        </w:rPr>
        <w:t>无。</w:t>
      </w:r>
    </w:p>
    <w:p>
      <w:pPr>
        <w:pStyle w:val="2"/>
        <w:keepNext w:val="0"/>
        <w:keepLines w:val="0"/>
        <w:pageBreakBefore w:val="0"/>
        <w:numPr>
          <w:ilvl w:val="0"/>
          <w:numId w:val="0"/>
        </w:numPr>
        <w:kinsoku/>
        <w:wordWrap/>
        <w:overflowPunct/>
        <w:topLinePunct w:val="0"/>
        <w:autoSpaceDE/>
        <w:autoSpaceDN/>
        <w:bidi w:val="0"/>
        <w:adjustRightInd/>
        <w:snapToGrid/>
        <w:ind w:leftChars="0" w:firstLine="420" w:firstLineChars="200"/>
        <w:textAlignment w:val="auto"/>
        <w:rPr>
          <w:rFonts w:hint="eastAsia"/>
          <w:lang w:val="en-US" w:eastAsia="zh-CN"/>
        </w:rPr>
      </w:pPr>
    </w:p>
    <w:p>
      <w:pPr>
        <w:pStyle w:val="2"/>
        <w:keepNext w:val="0"/>
        <w:keepLines w:val="0"/>
        <w:pageBreakBefore w:val="0"/>
        <w:numPr>
          <w:ilvl w:val="0"/>
          <w:numId w:val="0"/>
        </w:numPr>
        <w:kinsoku/>
        <w:wordWrap/>
        <w:overflowPunct/>
        <w:topLinePunct w:val="0"/>
        <w:autoSpaceDE/>
        <w:autoSpaceDN/>
        <w:bidi w:val="0"/>
        <w:adjustRightInd/>
        <w:snapToGrid/>
        <w:ind w:leftChars="0" w:firstLine="420" w:firstLineChars="200"/>
        <w:textAlignment w:val="auto"/>
        <w:rPr>
          <w:rFonts w:hint="eastAsia"/>
          <w:lang w:val="en-US" w:eastAsia="zh-CN"/>
        </w:rPr>
      </w:pPr>
    </w:p>
    <w:p>
      <w:pPr>
        <w:pStyle w:val="2"/>
        <w:keepNext w:val="0"/>
        <w:keepLines w:val="0"/>
        <w:pageBreakBefore w:val="0"/>
        <w:numPr>
          <w:ilvl w:val="0"/>
          <w:numId w:val="0"/>
        </w:numPr>
        <w:kinsoku/>
        <w:wordWrap/>
        <w:overflowPunct/>
        <w:topLinePunct w:val="0"/>
        <w:autoSpaceDE/>
        <w:autoSpaceDN/>
        <w:bidi w:val="0"/>
        <w:adjustRightInd/>
        <w:snapToGrid/>
        <w:ind w:leftChars="0" w:firstLine="420" w:firstLineChars="200"/>
        <w:textAlignment w:val="auto"/>
        <w:rPr>
          <w:rFonts w:hint="eastAsia"/>
          <w:lang w:val="en-US" w:eastAsia="zh-CN"/>
        </w:rPr>
      </w:pPr>
    </w:p>
    <w:p>
      <w:pPr>
        <w:pStyle w:val="2"/>
        <w:keepNext w:val="0"/>
        <w:keepLines w:val="0"/>
        <w:pageBreakBefore w:val="0"/>
        <w:numPr>
          <w:ilvl w:val="0"/>
          <w:numId w:val="0"/>
        </w:numPr>
        <w:kinsoku/>
        <w:wordWrap/>
        <w:overflowPunct/>
        <w:topLinePunct w:val="0"/>
        <w:autoSpaceDE/>
        <w:autoSpaceDN/>
        <w:bidi w:val="0"/>
        <w:adjustRightInd/>
        <w:snapToGrid/>
        <w:ind w:leftChars="0" w:firstLine="420" w:firstLineChars="200"/>
        <w:textAlignment w:val="auto"/>
        <w:rPr>
          <w:rFonts w:hint="eastAsia"/>
          <w:lang w:val="en-US" w:eastAsia="zh-CN"/>
        </w:rPr>
      </w:pPr>
    </w:p>
    <w:p>
      <w:pPr>
        <w:pStyle w:val="2"/>
        <w:keepNext w:val="0"/>
        <w:keepLines w:val="0"/>
        <w:pageBreakBefore w:val="0"/>
        <w:numPr>
          <w:ilvl w:val="0"/>
          <w:numId w:val="0"/>
        </w:numPr>
        <w:kinsoku/>
        <w:wordWrap/>
        <w:overflowPunct/>
        <w:topLinePunct w:val="0"/>
        <w:autoSpaceDE/>
        <w:autoSpaceDN/>
        <w:bidi w:val="0"/>
        <w:adjustRightInd/>
        <w:snapToGrid/>
        <w:ind w:leftChars="0" w:firstLine="420" w:firstLineChars="200"/>
        <w:textAlignment w:val="auto"/>
        <w:rPr>
          <w:rFonts w:hint="eastAsia"/>
          <w:lang w:val="en-US" w:eastAsia="zh-CN"/>
        </w:rPr>
      </w:pPr>
    </w:p>
    <w:p>
      <w:pPr>
        <w:pStyle w:val="2"/>
        <w:keepNext w:val="0"/>
        <w:keepLines w:val="0"/>
        <w:pageBreakBefore w:val="0"/>
        <w:numPr>
          <w:ilvl w:val="0"/>
          <w:numId w:val="0"/>
        </w:numPr>
        <w:kinsoku/>
        <w:wordWrap/>
        <w:overflowPunct/>
        <w:topLinePunct w:val="0"/>
        <w:autoSpaceDE/>
        <w:autoSpaceDN/>
        <w:bidi w:val="0"/>
        <w:adjustRightInd/>
        <w:snapToGrid/>
        <w:ind w:leftChars="0" w:firstLine="420" w:firstLineChars="200"/>
        <w:textAlignment w:val="auto"/>
        <w:rPr>
          <w:rFonts w:hint="eastAsia"/>
          <w:lang w:val="en-US" w:eastAsia="zh-CN"/>
        </w:rPr>
      </w:pPr>
    </w:p>
    <w:p>
      <w:pPr>
        <w:pStyle w:val="2"/>
        <w:keepNext w:val="0"/>
        <w:keepLines w:val="0"/>
        <w:pageBreakBefore w:val="0"/>
        <w:numPr>
          <w:ilvl w:val="0"/>
          <w:numId w:val="0"/>
        </w:numPr>
        <w:kinsoku/>
        <w:wordWrap/>
        <w:overflowPunct/>
        <w:topLinePunct w:val="0"/>
        <w:autoSpaceDE/>
        <w:autoSpaceDN/>
        <w:bidi w:val="0"/>
        <w:adjustRightInd/>
        <w:snapToGrid/>
        <w:ind w:leftChars="0" w:firstLine="420" w:firstLineChars="200"/>
        <w:textAlignment w:val="auto"/>
        <w:rPr>
          <w:rFonts w:hint="eastAsia"/>
          <w:lang w:val="en-US" w:eastAsia="zh-CN"/>
        </w:rPr>
      </w:pPr>
    </w:p>
    <w:p>
      <w:pPr>
        <w:pStyle w:val="2"/>
        <w:keepNext w:val="0"/>
        <w:keepLines w:val="0"/>
        <w:pageBreakBefore w:val="0"/>
        <w:numPr>
          <w:ilvl w:val="0"/>
          <w:numId w:val="0"/>
        </w:numPr>
        <w:kinsoku/>
        <w:wordWrap/>
        <w:overflowPunct/>
        <w:topLinePunct w:val="0"/>
        <w:autoSpaceDE/>
        <w:autoSpaceDN/>
        <w:bidi w:val="0"/>
        <w:adjustRightInd/>
        <w:snapToGrid/>
        <w:ind w:leftChars="0" w:firstLine="420" w:firstLineChars="200"/>
        <w:textAlignment w:val="auto"/>
        <w:rPr>
          <w:rFonts w:hint="eastAsia"/>
          <w:lang w:val="en-US" w:eastAsia="zh-CN"/>
        </w:rPr>
      </w:pPr>
    </w:p>
    <w:p>
      <w:pPr>
        <w:pStyle w:val="2"/>
        <w:keepNext w:val="0"/>
        <w:keepLines w:val="0"/>
        <w:pageBreakBefore w:val="0"/>
        <w:numPr>
          <w:ilvl w:val="0"/>
          <w:numId w:val="0"/>
        </w:numPr>
        <w:kinsoku/>
        <w:wordWrap/>
        <w:overflowPunct/>
        <w:topLinePunct w:val="0"/>
        <w:autoSpaceDE/>
        <w:autoSpaceDN/>
        <w:bidi w:val="0"/>
        <w:adjustRightInd/>
        <w:snapToGrid/>
        <w:ind w:leftChars="0" w:firstLine="420" w:firstLineChars="200"/>
        <w:textAlignment w:val="auto"/>
        <w:rPr>
          <w:rFonts w:hint="eastAsia"/>
          <w:lang w:val="en-US" w:eastAsia="zh-CN"/>
        </w:rPr>
      </w:pPr>
    </w:p>
    <w:p>
      <w:pPr>
        <w:pStyle w:val="2"/>
        <w:keepNext w:val="0"/>
        <w:keepLines w:val="0"/>
        <w:pageBreakBefore w:val="0"/>
        <w:numPr>
          <w:ilvl w:val="0"/>
          <w:numId w:val="0"/>
        </w:numPr>
        <w:kinsoku/>
        <w:wordWrap/>
        <w:overflowPunct/>
        <w:topLinePunct w:val="0"/>
        <w:autoSpaceDE/>
        <w:autoSpaceDN/>
        <w:bidi w:val="0"/>
        <w:adjustRightInd/>
        <w:snapToGrid/>
        <w:ind w:leftChars="0" w:firstLine="420" w:firstLineChars="200"/>
        <w:textAlignment w:val="auto"/>
        <w:rPr>
          <w:rFonts w:hint="eastAsia"/>
          <w:lang w:val="en-US" w:eastAsia="zh-CN"/>
        </w:rPr>
      </w:pPr>
    </w:p>
    <w:p>
      <w:pPr>
        <w:pStyle w:val="2"/>
        <w:keepNext w:val="0"/>
        <w:keepLines w:val="0"/>
        <w:pageBreakBefore w:val="0"/>
        <w:numPr>
          <w:ilvl w:val="0"/>
          <w:numId w:val="0"/>
        </w:numPr>
        <w:kinsoku/>
        <w:wordWrap/>
        <w:overflowPunct/>
        <w:topLinePunct w:val="0"/>
        <w:autoSpaceDE/>
        <w:autoSpaceDN/>
        <w:bidi w:val="0"/>
        <w:adjustRightInd/>
        <w:snapToGrid/>
        <w:ind w:leftChars="0" w:firstLine="420" w:firstLineChars="200"/>
        <w:textAlignment w:val="auto"/>
        <w:rPr>
          <w:rFonts w:hint="eastAsia"/>
          <w:lang w:val="en-US" w:eastAsia="zh-CN"/>
        </w:rPr>
      </w:pPr>
    </w:p>
    <w:p>
      <w:pPr>
        <w:pStyle w:val="2"/>
        <w:keepNext w:val="0"/>
        <w:keepLines w:val="0"/>
        <w:pageBreakBefore w:val="0"/>
        <w:numPr>
          <w:ilvl w:val="0"/>
          <w:numId w:val="0"/>
        </w:numPr>
        <w:kinsoku/>
        <w:wordWrap/>
        <w:overflowPunct/>
        <w:topLinePunct w:val="0"/>
        <w:autoSpaceDE/>
        <w:autoSpaceDN/>
        <w:bidi w:val="0"/>
        <w:adjustRightInd/>
        <w:snapToGrid/>
        <w:ind w:leftChars="0" w:firstLine="420" w:firstLineChars="200"/>
        <w:textAlignment w:val="auto"/>
        <w:rPr>
          <w:rFonts w:hint="eastAsia"/>
          <w:lang w:val="en-US" w:eastAsia="zh-CN"/>
        </w:rPr>
      </w:pPr>
    </w:p>
    <w:p>
      <w:pPr>
        <w:pStyle w:val="2"/>
        <w:keepNext w:val="0"/>
        <w:keepLines w:val="0"/>
        <w:pageBreakBefore w:val="0"/>
        <w:numPr>
          <w:ilvl w:val="0"/>
          <w:numId w:val="0"/>
        </w:numPr>
        <w:kinsoku/>
        <w:wordWrap/>
        <w:overflowPunct/>
        <w:topLinePunct w:val="0"/>
        <w:autoSpaceDE/>
        <w:autoSpaceDN/>
        <w:bidi w:val="0"/>
        <w:adjustRightInd/>
        <w:snapToGrid/>
        <w:ind w:leftChars="0" w:firstLine="420" w:firstLineChars="200"/>
        <w:textAlignment w:val="auto"/>
        <w:rPr>
          <w:rFonts w:hint="eastAsia"/>
          <w:lang w:val="en-US" w:eastAsia="zh-CN"/>
        </w:rPr>
      </w:pPr>
    </w:p>
    <w:p>
      <w:pPr>
        <w:pStyle w:val="2"/>
        <w:keepNext w:val="0"/>
        <w:keepLines w:val="0"/>
        <w:pageBreakBefore w:val="0"/>
        <w:numPr>
          <w:ilvl w:val="0"/>
          <w:numId w:val="0"/>
        </w:numPr>
        <w:kinsoku/>
        <w:wordWrap/>
        <w:overflowPunct/>
        <w:topLinePunct w:val="0"/>
        <w:autoSpaceDE/>
        <w:autoSpaceDN/>
        <w:bidi w:val="0"/>
        <w:adjustRightInd/>
        <w:snapToGrid/>
        <w:ind w:leftChars="0" w:firstLine="420" w:firstLineChars="200"/>
        <w:textAlignment w:val="auto"/>
        <w:rPr>
          <w:rFonts w:hint="eastAsia"/>
          <w:lang w:val="en-US" w:eastAsia="zh-CN"/>
        </w:rPr>
      </w:pPr>
    </w:p>
    <w:p>
      <w:pPr>
        <w:pStyle w:val="2"/>
        <w:keepNext w:val="0"/>
        <w:keepLines w:val="0"/>
        <w:pageBreakBefore w:val="0"/>
        <w:numPr>
          <w:ilvl w:val="0"/>
          <w:numId w:val="0"/>
        </w:numPr>
        <w:kinsoku/>
        <w:wordWrap/>
        <w:overflowPunct/>
        <w:topLinePunct w:val="0"/>
        <w:autoSpaceDE/>
        <w:autoSpaceDN/>
        <w:bidi w:val="0"/>
        <w:adjustRightInd/>
        <w:snapToGrid/>
        <w:ind w:leftChars="0" w:firstLine="420" w:firstLineChars="200"/>
        <w:textAlignment w:val="auto"/>
        <w:rPr>
          <w:rFonts w:hint="eastAsia"/>
          <w:lang w:val="en-US" w:eastAsia="zh-CN"/>
        </w:rPr>
      </w:pPr>
    </w:p>
    <w:p>
      <w:pPr>
        <w:pStyle w:val="2"/>
        <w:keepNext w:val="0"/>
        <w:keepLines w:val="0"/>
        <w:pageBreakBefore w:val="0"/>
        <w:numPr>
          <w:ilvl w:val="0"/>
          <w:numId w:val="0"/>
        </w:numPr>
        <w:kinsoku/>
        <w:wordWrap/>
        <w:overflowPunct/>
        <w:topLinePunct w:val="0"/>
        <w:autoSpaceDE/>
        <w:autoSpaceDN/>
        <w:bidi w:val="0"/>
        <w:adjustRightInd/>
        <w:snapToGrid/>
        <w:ind w:leftChars="0" w:firstLine="420" w:firstLineChars="200"/>
        <w:textAlignment w:val="auto"/>
        <w:rPr>
          <w:rFonts w:hint="eastAsia"/>
          <w:lang w:val="en-US" w:eastAsia="zh-CN"/>
        </w:rPr>
      </w:pPr>
    </w:p>
    <w:p>
      <w:pPr>
        <w:pStyle w:val="2"/>
        <w:keepNext w:val="0"/>
        <w:keepLines w:val="0"/>
        <w:pageBreakBefore w:val="0"/>
        <w:numPr>
          <w:ilvl w:val="0"/>
          <w:numId w:val="0"/>
        </w:numPr>
        <w:kinsoku/>
        <w:wordWrap/>
        <w:overflowPunct/>
        <w:topLinePunct w:val="0"/>
        <w:autoSpaceDE/>
        <w:autoSpaceDN/>
        <w:bidi w:val="0"/>
        <w:adjustRightInd/>
        <w:snapToGrid/>
        <w:ind w:leftChars="0" w:firstLine="420" w:firstLineChars="200"/>
        <w:textAlignment w:val="auto"/>
        <w:rPr>
          <w:rFonts w:hint="eastAsia"/>
          <w:lang w:val="en-US" w:eastAsia="zh-CN"/>
        </w:rPr>
      </w:pPr>
    </w:p>
    <w:p>
      <w:pPr>
        <w:pStyle w:val="2"/>
        <w:keepNext w:val="0"/>
        <w:keepLines w:val="0"/>
        <w:pageBreakBefore w:val="0"/>
        <w:numPr>
          <w:ilvl w:val="0"/>
          <w:numId w:val="0"/>
        </w:numPr>
        <w:kinsoku/>
        <w:wordWrap/>
        <w:overflowPunct/>
        <w:topLinePunct w:val="0"/>
        <w:autoSpaceDE/>
        <w:autoSpaceDN/>
        <w:bidi w:val="0"/>
        <w:adjustRightInd/>
        <w:snapToGrid/>
        <w:ind w:leftChars="0" w:firstLine="420" w:firstLineChars="200"/>
        <w:textAlignment w:val="auto"/>
        <w:rPr>
          <w:rFonts w:hint="eastAsia"/>
          <w:lang w:val="en-US" w:eastAsia="zh-CN"/>
        </w:rPr>
      </w:pPr>
    </w:p>
    <w:p>
      <w:pPr>
        <w:pStyle w:val="2"/>
        <w:keepNext w:val="0"/>
        <w:keepLines w:val="0"/>
        <w:pageBreakBefore w:val="0"/>
        <w:numPr>
          <w:ilvl w:val="0"/>
          <w:numId w:val="0"/>
        </w:numPr>
        <w:kinsoku/>
        <w:wordWrap/>
        <w:overflowPunct/>
        <w:topLinePunct w:val="0"/>
        <w:autoSpaceDE/>
        <w:autoSpaceDN/>
        <w:bidi w:val="0"/>
        <w:adjustRightInd/>
        <w:snapToGrid/>
        <w:ind w:leftChars="0" w:firstLine="420" w:firstLineChars="200"/>
        <w:textAlignment w:val="auto"/>
        <w:rPr>
          <w:rFonts w:hint="eastAsia"/>
          <w:lang w:val="en-US" w:eastAsia="zh-CN"/>
        </w:rPr>
      </w:pPr>
    </w:p>
    <w:p>
      <w:pPr>
        <w:keepNext w:val="0"/>
        <w:keepLines w:val="0"/>
        <w:pageBreakBefore w:val="0"/>
        <w:widowControl/>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项目支出绩效评价</w:t>
      </w:r>
      <w:r>
        <w:rPr>
          <w:rFonts w:hint="eastAsia" w:ascii="方正小标宋简体" w:hAnsi="方正小标宋简体" w:eastAsia="方正小标宋简体" w:cs="方正小标宋简体"/>
          <w:color w:val="000000"/>
          <w:sz w:val="44"/>
          <w:szCs w:val="44"/>
          <w:lang w:eastAsia="zh-CN"/>
        </w:rPr>
        <w:t>评分表</w:t>
      </w:r>
      <w:r>
        <w:rPr>
          <w:rFonts w:hint="eastAsia" w:ascii="方正小标宋简体" w:hAnsi="方正小标宋简体" w:eastAsia="方正小标宋简体" w:cs="方正小标宋简体"/>
          <w:color w:val="000000"/>
          <w:sz w:val="44"/>
          <w:szCs w:val="44"/>
        </w:rPr>
        <w:t>（</w:t>
      </w:r>
      <w:r>
        <w:rPr>
          <w:rFonts w:hint="eastAsia" w:ascii="方正小标宋简体" w:hAnsi="方正小标宋简体" w:eastAsia="方正小标宋简体" w:cs="方正小标宋简体"/>
          <w:color w:val="000000"/>
          <w:sz w:val="44"/>
          <w:szCs w:val="44"/>
          <w:lang w:eastAsia="zh-CN"/>
        </w:rPr>
        <w:t>共性</w:t>
      </w:r>
      <w:r>
        <w:rPr>
          <w:rFonts w:hint="eastAsia" w:ascii="方正小标宋简体" w:hAnsi="方正小标宋简体" w:eastAsia="方正小标宋简体" w:cs="方正小标宋简体"/>
          <w:color w:val="000000"/>
          <w:sz w:val="44"/>
          <w:szCs w:val="44"/>
        </w:rPr>
        <w:t>）</w:t>
      </w:r>
    </w:p>
    <w:tbl>
      <w:tblPr>
        <w:tblStyle w:val="8"/>
        <w:tblW w:w="9820" w:type="dxa"/>
        <w:jc w:val="center"/>
        <w:tblLayout w:type="fixed"/>
        <w:tblCellMar>
          <w:top w:w="0" w:type="dxa"/>
          <w:left w:w="108" w:type="dxa"/>
          <w:bottom w:w="0" w:type="dxa"/>
          <w:right w:w="108" w:type="dxa"/>
        </w:tblCellMar>
      </w:tblPr>
      <w:tblGrid>
        <w:gridCol w:w="702"/>
        <w:gridCol w:w="540"/>
        <w:gridCol w:w="703"/>
        <w:gridCol w:w="540"/>
        <w:gridCol w:w="803"/>
        <w:gridCol w:w="550"/>
        <w:gridCol w:w="2407"/>
        <w:gridCol w:w="2772"/>
        <w:gridCol w:w="803"/>
      </w:tblGrid>
      <w:tr>
        <w:tblPrEx>
          <w:tblCellMar>
            <w:top w:w="0" w:type="dxa"/>
            <w:left w:w="108" w:type="dxa"/>
            <w:bottom w:w="0" w:type="dxa"/>
            <w:right w:w="108" w:type="dxa"/>
          </w:tblCellMar>
        </w:tblPrEx>
        <w:trPr>
          <w:trHeight w:val="582" w:hRule="atLeast"/>
          <w:tblHeader/>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一级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7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二级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8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三级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5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2407"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具体指标</w:t>
            </w:r>
          </w:p>
        </w:tc>
        <w:tc>
          <w:tcPr>
            <w:tcW w:w="2772"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评价标准</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rPr>
            </w:pPr>
            <w:r>
              <w:rPr>
                <w:rFonts w:hint="eastAsia" w:ascii="仿宋_GB2312" w:hAnsi="宋体" w:eastAsia="仿宋_GB2312" w:cs="宋体"/>
                <w:b/>
                <w:bCs/>
                <w:kern w:val="0"/>
                <w:sz w:val="18"/>
                <w:szCs w:val="18"/>
              </w:rPr>
              <w:t>自评</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24"/>
              </w:rPr>
            </w:pPr>
            <w:r>
              <w:rPr>
                <w:rFonts w:hint="eastAsia" w:ascii="仿宋_GB2312" w:hAnsi="宋体" w:eastAsia="仿宋_GB2312" w:cs="宋体"/>
                <w:b/>
                <w:bCs/>
                <w:kern w:val="0"/>
                <w:sz w:val="18"/>
                <w:szCs w:val="18"/>
              </w:rPr>
              <w:t>得分</w:t>
            </w:r>
          </w:p>
        </w:tc>
      </w:tr>
      <w:tr>
        <w:tblPrEx>
          <w:tblCellMar>
            <w:top w:w="0" w:type="dxa"/>
            <w:left w:w="108" w:type="dxa"/>
            <w:bottom w:w="0" w:type="dxa"/>
            <w:right w:w="108" w:type="dxa"/>
          </w:tblCellMar>
        </w:tblPrEx>
        <w:trPr>
          <w:trHeight w:val="967" w:hRule="atLeast"/>
          <w:jc w:val="center"/>
        </w:trPr>
        <w:tc>
          <w:tcPr>
            <w:tcW w:w="702" w:type="dxa"/>
            <w:vMerge w:val="restart"/>
            <w:tcBorders>
              <w:top w:val="nil"/>
              <w:left w:val="single" w:color="000000" w:sz="4" w:space="0"/>
              <w:bottom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项目决策</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20</w:t>
            </w:r>
          </w:p>
        </w:tc>
        <w:tc>
          <w:tcPr>
            <w:tcW w:w="703" w:type="dxa"/>
            <w:tcBorders>
              <w:top w:val="nil"/>
              <w:left w:val="nil"/>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项目目标</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目标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内容</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设立了项目绩效目标；目标明确；目标细化；目标量化</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①设有目标（1分）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②目标明确（1分）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③目标细化（1分）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④目标量化（1分）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4</w:t>
            </w:r>
          </w:p>
        </w:tc>
      </w:tr>
      <w:tr>
        <w:tblPrEx>
          <w:tblCellMar>
            <w:top w:w="0" w:type="dxa"/>
            <w:left w:w="108" w:type="dxa"/>
            <w:bottom w:w="0" w:type="dxa"/>
            <w:right w:w="108" w:type="dxa"/>
          </w:tblCellMar>
        </w:tblPrEx>
        <w:trPr>
          <w:trHeight w:val="127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决策过程</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依据</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有关法律法规的明确规定；某一经济社会发展规划；某部门年度工作计划；某一实际问题和需求</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①符合法律法规（1分）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②符合经济社会发展规划（1分）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③部门年度工作计划（1分）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6"/>
                <w:kern w:val="0"/>
                <w:sz w:val="18"/>
                <w:szCs w:val="18"/>
                <w:lang w:eastAsia="zh-CN"/>
              </w:rPr>
            </w:pPr>
            <w:r>
              <w:rPr>
                <w:rFonts w:hint="eastAsia" w:ascii="仿宋_GB2312" w:hAnsi="宋体" w:eastAsia="仿宋_GB2312" w:cs="宋体"/>
                <w:spacing w:val="-6"/>
                <w:kern w:val="0"/>
                <w:sz w:val="18"/>
                <w:szCs w:val="18"/>
              </w:rPr>
              <w:t>④针对某一实际问题和需求（1分）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以上③需提供佐证资料。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4</w:t>
            </w:r>
          </w:p>
        </w:tc>
      </w:tr>
      <w:tr>
        <w:tblPrEx>
          <w:tblCellMar>
            <w:top w:w="0" w:type="dxa"/>
            <w:left w:w="108" w:type="dxa"/>
            <w:bottom w:w="0" w:type="dxa"/>
            <w:right w:w="108" w:type="dxa"/>
          </w:tblCellMar>
        </w:tblPrEx>
        <w:trPr>
          <w:trHeight w:val="983"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程序</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项目符合申报条件；申报、批复程序符合相关管理办法；项目调整履行了相应手续</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①符合申报条件（2分）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②项目申报、批复程序符合管理办法（1分）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③项目调整履行了相应手续（1分）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4</w:t>
            </w:r>
          </w:p>
        </w:tc>
      </w:tr>
      <w:tr>
        <w:tblPrEx>
          <w:tblCellMar>
            <w:top w:w="0" w:type="dxa"/>
            <w:left w:w="108" w:type="dxa"/>
            <w:bottom w:w="0" w:type="dxa"/>
            <w:right w:w="108" w:type="dxa"/>
          </w:tblCellMar>
        </w:tblPrEx>
        <w:trPr>
          <w:trHeight w:val="96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办法</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根据需要制定的相关资金管理办法；管理办法中有明确资金分配办法；资金分配因素全面、合理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①有相应的资金管理办法（1分）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②办法健全、规范（1分）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③因素全面合理（1分）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3</w:t>
            </w:r>
          </w:p>
        </w:tc>
      </w:tr>
      <w:tr>
        <w:tblPrEx>
          <w:tblCellMar>
            <w:top w:w="0" w:type="dxa"/>
            <w:left w:w="108" w:type="dxa"/>
            <w:bottom w:w="0" w:type="dxa"/>
            <w:right w:w="108" w:type="dxa"/>
          </w:tblCellMar>
        </w:tblPrEx>
        <w:trPr>
          <w:trHeight w:val="758"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结果</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资金分配符合相关管理办法；分配结果公平合理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①符合分配办法（2分）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②分配公平合理（3分）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此项需提供相应的资金分配方案。</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r>
      <w:tr>
        <w:tblPrEx>
          <w:tblCellMar>
            <w:top w:w="0" w:type="dxa"/>
            <w:left w:w="108" w:type="dxa"/>
            <w:bottom w:w="0" w:type="dxa"/>
            <w:right w:w="108" w:type="dxa"/>
          </w:tblCellMar>
        </w:tblPrEx>
        <w:trPr>
          <w:trHeight w:val="438" w:hRule="atLeast"/>
          <w:jc w:val="center"/>
        </w:trPr>
        <w:tc>
          <w:tcPr>
            <w:tcW w:w="702" w:type="dxa"/>
            <w:vMerge w:val="restart"/>
            <w:tcBorders>
              <w:top w:val="nil"/>
              <w:left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firstLine="2520" w:firstLineChars="1400"/>
              <w:jc w:val="both"/>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r>
              <w:rPr>
                <w:rFonts w:hint="eastAsia" w:ascii="仿宋_GB2312" w:hAnsi="宋体" w:eastAsia="仿宋_GB2312" w:cs="宋体"/>
                <w:kern w:val="0"/>
                <w:sz w:val="18"/>
                <w:szCs w:val="18"/>
                <w:lang w:eastAsia="zh-CN"/>
              </w:rPr>
              <w:t>管理</w:t>
            </w:r>
          </w:p>
        </w:tc>
        <w:tc>
          <w:tcPr>
            <w:tcW w:w="540" w:type="dxa"/>
            <w:vMerge w:val="restart"/>
            <w:tcBorders>
              <w:top w:val="nil"/>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25</w:t>
            </w:r>
          </w:p>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资金到位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到位率</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实际到位/计划到位*100%</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根据项目资金的实际到位率计算得分（3分）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3</w:t>
            </w:r>
          </w:p>
        </w:tc>
      </w:tr>
      <w:tr>
        <w:tblPrEx>
          <w:tblCellMar>
            <w:top w:w="0" w:type="dxa"/>
            <w:left w:w="108" w:type="dxa"/>
            <w:bottom w:w="0" w:type="dxa"/>
            <w:right w:w="108" w:type="dxa"/>
          </w:tblCellMar>
        </w:tblPrEx>
        <w:trPr>
          <w:trHeight w:val="744"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到位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资金及时到位；若未及时到位，是否影响项目进度</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①到位及时（2分）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10"/>
                <w:kern w:val="0"/>
                <w:sz w:val="18"/>
                <w:szCs w:val="18"/>
                <w:lang w:eastAsia="zh-CN"/>
              </w:rPr>
            </w:pPr>
            <w:r>
              <w:rPr>
                <w:rFonts w:hint="eastAsia" w:ascii="仿宋_GB2312" w:hAnsi="宋体" w:eastAsia="仿宋_GB2312" w:cs="宋体"/>
                <w:spacing w:val="-10"/>
                <w:kern w:val="0"/>
                <w:sz w:val="18"/>
                <w:szCs w:val="18"/>
              </w:rPr>
              <w:t>②不及时但未影响项目进度 （1分）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③不及时并影响项目进度（0.5分）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w:t>
            </w:r>
          </w:p>
        </w:tc>
      </w:tr>
      <w:tr>
        <w:tblPrEx>
          <w:tblCellMar>
            <w:top w:w="0" w:type="dxa"/>
            <w:left w:w="108" w:type="dxa"/>
            <w:bottom w:w="0" w:type="dxa"/>
            <w:right w:w="108" w:type="dxa"/>
          </w:tblCellMar>
        </w:tblPrEx>
        <w:trPr>
          <w:trHeight w:val="1168"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资金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使用</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7</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支出依据合规，无虚列项目支出情况；无截留挤占挪用情况；无超标准开支情况；无超预算情况</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 xml:space="preserve">①虚列套取扣4-7分 </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②依据不合规扣2分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③截留、挤占、挪用扣3-6分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④超标准开支扣2-5分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⑤超预算扣2-5分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7</w:t>
            </w:r>
          </w:p>
        </w:tc>
      </w:tr>
      <w:tr>
        <w:tblPrEx>
          <w:tblCellMar>
            <w:top w:w="0" w:type="dxa"/>
            <w:left w:w="108" w:type="dxa"/>
            <w:bottom w:w="0" w:type="dxa"/>
            <w:right w:w="108" w:type="dxa"/>
          </w:tblCellMar>
        </w:tblPrEx>
        <w:trPr>
          <w:trHeight w:val="871"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财务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管理</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资金管理、费用支出等制度健全；制度执行严格；会计核算规范</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①财务制度健全（1分）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②严格执行制度（1分）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③会计核算规范（1分）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3</w:t>
            </w:r>
          </w:p>
        </w:tc>
      </w:tr>
      <w:tr>
        <w:tblPrEx>
          <w:tblCellMar>
            <w:top w:w="0" w:type="dxa"/>
            <w:left w:w="108" w:type="dxa"/>
            <w:bottom w:w="0" w:type="dxa"/>
            <w:right w:w="108" w:type="dxa"/>
          </w:tblCellMar>
        </w:tblPrEx>
        <w:trPr>
          <w:trHeight w:val="532" w:hRule="atLeast"/>
          <w:jc w:val="center"/>
        </w:trPr>
        <w:tc>
          <w:tcPr>
            <w:tcW w:w="702" w:type="dxa"/>
            <w:vMerge w:val="continue"/>
            <w:tcBorders>
              <w:left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组织实施</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组织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机构健全、分工明确</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①机构健全、分工明确  （1分）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支撑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条件</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项目实施单位是否提供或具备了必备的人员、场地和设备等条件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具备人员、场地、设备条件（1分）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实施</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项目按计划开工；按计划进度开展；按计划完工</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①按计划开工（1分）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②按计划开展（1分）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③按计划完工（1分）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3</w:t>
            </w:r>
          </w:p>
        </w:tc>
      </w:tr>
      <w:tr>
        <w:tblPrEx>
          <w:tblCellMar>
            <w:top w:w="0" w:type="dxa"/>
            <w:left w:w="108" w:type="dxa"/>
            <w:bottom w:w="0" w:type="dxa"/>
            <w:right w:w="108" w:type="dxa"/>
          </w:tblCellMar>
        </w:tblPrEx>
        <w:trPr>
          <w:trHeight w:val="745" w:hRule="atLeast"/>
          <w:jc w:val="center"/>
        </w:trPr>
        <w:tc>
          <w:tcPr>
            <w:tcW w:w="702"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管理</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制度</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项目管理制度健全；严格执行相关管理制度</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①管理制度健全（2分）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②制度执行严格（3分）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项目绩效</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55</w:t>
            </w:r>
          </w:p>
        </w:tc>
        <w:tc>
          <w:tcPr>
            <w:tcW w:w="703"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15</w:t>
            </w:r>
          </w:p>
        </w:tc>
        <w:tc>
          <w:tcPr>
            <w:tcW w:w="803"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数量</w:t>
            </w:r>
          </w:p>
        </w:tc>
        <w:tc>
          <w:tcPr>
            <w:tcW w:w="550"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目标完成率=目标完成数/预定目标数×100%</w:t>
            </w:r>
          </w:p>
        </w:tc>
        <w:tc>
          <w:tcPr>
            <w:tcW w:w="2772"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完成绩效目标100%得5分，未完成100%的同比例扣减。</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质量</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目标完成质量=实际达到的效果/预定目标×100%</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项目产出质量达到绩效目标100%得4分，未完成100%的同比例扣减。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4</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项目资金使用的预定目标是否如期完成，未完成的理由是否充分</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项目产出时效达到绩效目标得3分，未如期完成且无充分理由的扣3分。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成本</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项目产出成本是否按绩效目标控制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项目产出成本按绩效目标控制得3分，未完成的，按超支比例扣减。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项目效果</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经济</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项目实施对经济发展所带来的直接或间接影响情况。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完成绩效目标设定的经济效益得8分，未完成的，按完成情况酌情扣分。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社会</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项目实施对社会发展所带来的直接或间接影响情况。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完成绩效目标设定的社会效益得8分，未完成的，按完成情况酌情扣分。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生态</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项目实施对生态环境所带来的直接或间接影响情况。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完成绩效目标设定的积极的环境效益得8分，未完成的，按完成情况酌情扣分。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可持续</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影响</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项目后续运行及成效发挥的可持续影响情况。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完成绩效设定目标的得8分，未完成的，按完成情况酌情扣分。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服务</w:t>
            </w:r>
          </w:p>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对象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满意度</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服务对象满意率=项目区被调查人数中表示满意的人数(户数)/ 被调查人数(户数)×100%</w:t>
            </w: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满意率达90%（含）以上的得8分，80%（含）-90%得6分，70%（含）-80%得4分，60%（含）-70%得2分，60%以下不得分。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8</w:t>
            </w:r>
          </w:p>
        </w:tc>
      </w:tr>
      <w:tr>
        <w:tblPrEx>
          <w:tblCellMar>
            <w:top w:w="0" w:type="dxa"/>
            <w:left w:w="108" w:type="dxa"/>
            <w:bottom w:w="0" w:type="dxa"/>
            <w:right w:w="108" w:type="dxa"/>
          </w:tblCellMar>
        </w:tblPrEx>
        <w:trPr>
          <w:trHeight w:val="860" w:hRule="atLeast"/>
          <w:jc w:val="center"/>
        </w:trPr>
        <w:tc>
          <w:tcPr>
            <w:tcW w:w="702"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总分</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7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b/>
                <w:bCs/>
                <w:kern w:val="0"/>
                <w:sz w:val="24"/>
                <w:lang w:val="en-US" w:eastAsia="zh-CN"/>
              </w:rPr>
            </w:pPr>
            <w:r>
              <w:rPr>
                <w:rFonts w:hint="eastAsia" w:ascii="仿宋_GB2312" w:hAnsi="宋体" w:eastAsia="仿宋_GB2312" w:cs="宋体"/>
                <w:b/>
                <w:bCs/>
                <w:kern w:val="0"/>
                <w:sz w:val="18"/>
                <w:szCs w:val="18"/>
                <w:lang w:val="en-US" w:eastAsia="zh-CN"/>
              </w:rPr>
              <w:t>99</w:t>
            </w:r>
          </w:p>
        </w:tc>
      </w:tr>
    </w:tbl>
    <w:p>
      <w:pPr>
        <w:adjustRightInd w:val="0"/>
        <w:snapToGrid w:val="0"/>
        <w:spacing w:before="156" w:beforeLines="50"/>
        <w:ind w:left="840" w:hanging="840" w:hangingChars="400"/>
        <w:contextualSpacing/>
        <w:rPr>
          <w:rFonts w:hint="eastAsia" w:ascii="仿宋_GB2312" w:eastAsia="仿宋_GB2312"/>
        </w:rPr>
      </w:pPr>
      <w:r>
        <w:rPr>
          <w:rFonts w:hint="eastAsia" w:ascii="仿宋_GB2312" w:eastAsia="仿宋_GB2312"/>
        </w:rPr>
        <w:t>备注：</w:t>
      </w:r>
      <w:r>
        <w:rPr>
          <w:rFonts w:hint="eastAsia" w:ascii="仿宋_GB2312" w:eastAsia="仿宋_GB2312"/>
          <w:lang w:val="en-US" w:eastAsia="zh-CN"/>
        </w:rPr>
        <w:t>1、</w:t>
      </w:r>
      <w:r>
        <w:rPr>
          <w:rFonts w:hint="eastAsia" w:ascii="仿宋_GB2312" w:eastAsia="仿宋_GB2312"/>
        </w:rPr>
        <w:t>部门（单位）根据项目实际，在《项目支出绩效评价指标</w:t>
      </w:r>
      <w:r>
        <w:rPr>
          <w:rFonts w:hint="eastAsia" w:ascii="仿宋_GB2312" w:eastAsia="仿宋_GB2312"/>
          <w:lang w:eastAsia="zh-CN"/>
        </w:rPr>
        <w:t>评分表</w:t>
      </w:r>
      <w:r>
        <w:rPr>
          <w:rFonts w:hint="eastAsia" w:ascii="仿宋_GB2312" w:eastAsia="仿宋_GB2312"/>
        </w:rPr>
        <w:t>（</w:t>
      </w:r>
      <w:r>
        <w:rPr>
          <w:rFonts w:hint="eastAsia" w:ascii="仿宋_GB2312" w:eastAsia="仿宋_GB2312"/>
          <w:lang w:eastAsia="zh-CN"/>
        </w:rPr>
        <w:t>共性</w:t>
      </w:r>
      <w:r>
        <w:rPr>
          <w:rFonts w:hint="eastAsia" w:ascii="仿宋_GB2312" w:eastAsia="仿宋_GB2312"/>
        </w:rPr>
        <w:t>）》上进一步完善、量化、细化个性指标，形成本项目的指标体系。</w:t>
      </w:r>
    </w:p>
    <w:p>
      <w:pPr>
        <w:adjustRightInd w:val="0"/>
        <w:snapToGrid w:val="0"/>
        <w:spacing w:before="156" w:beforeLines="50"/>
        <w:ind w:firstLine="630" w:firstLineChars="300"/>
        <w:contextualSpacing/>
        <w:rPr>
          <w:rFonts w:hint="eastAsia" w:eastAsia="仿宋_GB2312"/>
          <w:sz w:val="32"/>
          <w:lang w:eastAsia="zh-CN"/>
        </w:rPr>
      </w:pPr>
      <w:r>
        <w:rPr>
          <w:rFonts w:hint="eastAsia" w:ascii="仿宋_GB2312" w:eastAsia="仿宋_GB2312"/>
          <w:lang w:val="en-US" w:eastAsia="zh-CN"/>
        </w:rPr>
        <w:t>2、</w:t>
      </w:r>
      <w:r>
        <w:rPr>
          <w:rFonts w:hint="eastAsia" w:ascii="仿宋_GB2312" w:eastAsia="仿宋_GB2312"/>
          <w:lang w:eastAsia="zh-CN"/>
        </w:rPr>
        <w:t>一个一级项目一张表。</w:t>
      </w:r>
    </w:p>
    <w:p/>
    <w:p>
      <w:pPr>
        <w:pStyle w:val="6"/>
        <w:rPr>
          <w:rFonts w:hint="eastAsia"/>
          <w:lang w:val="en-US" w:eastAsia="zh-CN"/>
        </w:rPr>
        <w:sectPr>
          <w:headerReference r:id="rId3" w:type="default"/>
          <w:footerReference r:id="rId4" w:type="default"/>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widowControl/>
        <w:spacing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202</w:t>
      </w:r>
      <w:r>
        <w:rPr>
          <w:rFonts w:hint="eastAsia" w:ascii="方正小标宋简体" w:hAnsi="方正小标宋简体" w:eastAsia="方正小标宋简体" w:cs="方正小标宋简体"/>
          <w:color w:val="000000"/>
          <w:sz w:val="44"/>
          <w:szCs w:val="44"/>
          <w:lang w:val="en-US" w:eastAsia="zh-CN"/>
        </w:rPr>
        <w:t>2</w:t>
      </w:r>
      <w:r>
        <w:rPr>
          <w:rFonts w:hint="eastAsia" w:ascii="方正小标宋简体" w:hAnsi="方正小标宋简体" w:eastAsia="方正小标宋简体" w:cs="方正小标宋简体"/>
          <w:color w:val="000000"/>
          <w:sz w:val="44"/>
          <w:szCs w:val="44"/>
        </w:rPr>
        <w:t>年度项目支出绩效自评表</w:t>
      </w:r>
    </w:p>
    <w:tbl>
      <w:tblPr>
        <w:tblStyle w:val="8"/>
        <w:tblW w:w="9851" w:type="dxa"/>
        <w:jc w:val="center"/>
        <w:tblLayout w:type="autofit"/>
        <w:tblCellMar>
          <w:top w:w="0" w:type="dxa"/>
          <w:left w:w="108" w:type="dxa"/>
          <w:bottom w:w="0" w:type="dxa"/>
          <w:right w:w="108" w:type="dxa"/>
        </w:tblCellMar>
      </w:tblPr>
      <w:tblGrid>
        <w:gridCol w:w="1080"/>
        <w:gridCol w:w="1080"/>
        <w:gridCol w:w="1080"/>
        <w:gridCol w:w="1224"/>
        <w:gridCol w:w="1134"/>
        <w:gridCol w:w="1134"/>
        <w:gridCol w:w="828"/>
        <w:gridCol w:w="873"/>
        <w:gridCol w:w="1418"/>
      </w:tblGrid>
      <w:tr>
        <w:tblPrEx>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出名称</w:t>
            </w:r>
          </w:p>
        </w:tc>
        <w:tc>
          <w:tcPr>
            <w:tcW w:w="8771" w:type="dxa"/>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留置专项</w:t>
            </w:r>
          </w:p>
        </w:tc>
      </w:tr>
      <w:tr>
        <w:tblPrEx>
          <w:tblCellMar>
            <w:top w:w="0" w:type="dxa"/>
            <w:left w:w="108" w:type="dxa"/>
            <w:bottom w:w="0" w:type="dxa"/>
            <w:right w:w="108" w:type="dxa"/>
          </w:tblCellMar>
        </w:tblPrEx>
        <w:trPr>
          <w:trHeight w:val="485" w:hRule="atLeast"/>
          <w:jc w:val="center"/>
        </w:trPr>
        <w:tc>
          <w:tcPr>
            <w:tcW w:w="108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主管部门</w:t>
            </w:r>
          </w:p>
        </w:tc>
        <w:tc>
          <w:tcPr>
            <w:tcW w:w="4518"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华容县纪委监委</w:t>
            </w:r>
          </w:p>
        </w:tc>
        <w:tc>
          <w:tcPr>
            <w:tcW w:w="1134"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实施单位</w:t>
            </w:r>
          </w:p>
        </w:tc>
        <w:tc>
          <w:tcPr>
            <w:tcW w:w="3119"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华容县纪委监委</w:t>
            </w:r>
          </w:p>
        </w:tc>
      </w:tr>
      <w:tr>
        <w:tblPrEx>
          <w:tblCellMar>
            <w:top w:w="0" w:type="dxa"/>
            <w:left w:w="108" w:type="dxa"/>
            <w:bottom w:w="0" w:type="dxa"/>
            <w:right w:w="108" w:type="dxa"/>
          </w:tblCellMar>
        </w:tblPrEx>
        <w:trPr>
          <w:trHeight w:val="580" w:hRule="atLeast"/>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项目资金</w:t>
            </w:r>
            <w:r>
              <w:rPr>
                <w:rFonts w:hint="default" w:ascii="Times New Roman" w:hAnsi="Times New Roman" w:eastAsia="仿宋_GB2312" w:cs="Times New Roman"/>
                <w:color w:val="000000"/>
                <w:sz w:val="20"/>
                <w:szCs w:val="20"/>
              </w:rPr>
              <w:br w:type="textWrapping"/>
            </w:r>
            <w:r>
              <w:rPr>
                <w:rFonts w:hint="default" w:ascii="Times New Roman" w:hAnsi="Times New Roman" w:eastAsia="仿宋_GB2312" w:cs="Times New Roman"/>
                <w:color w:val="000000"/>
                <w:sz w:val="20"/>
                <w:szCs w:val="20"/>
              </w:rPr>
              <w:t>（万元）</w:t>
            </w: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年初</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全年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执行数</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执行率</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得分</w:t>
            </w:r>
          </w:p>
        </w:tc>
      </w:tr>
      <w:tr>
        <w:tblPrEx>
          <w:tblCellMar>
            <w:top w:w="0" w:type="dxa"/>
            <w:left w:w="108" w:type="dxa"/>
            <w:bottom w:w="0" w:type="dxa"/>
            <w:right w:w="108" w:type="dxa"/>
          </w:tblCellMar>
        </w:tblPrEx>
        <w:trPr>
          <w:trHeight w:val="470"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年度资金总额</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407.12</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407.12</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w:t>
            </w:r>
          </w:p>
        </w:tc>
      </w:tr>
      <w:tr>
        <w:tblPrEx>
          <w:tblCellMar>
            <w:top w:w="0" w:type="dxa"/>
            <w:left w:w="108" w:type="dxa"/>
            <w:bottom w:w="0" w:type="dxa"/>
            <w:right w:w="108" w:type="dxa"/>
          </w:tblCellMar>
        </w:tblPrEx>
        <w:trPr>
          <w:trHeight w:val="485"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其中：当年财政拨款</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407.12</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407.12</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100%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10</w:t>
            </w:r>
          </w:p>
        </w:tc>
      </w:tr>
      <w:tr>
        <w:tblPrEx>
          <w:tblCellMar>
            <w:top w:w="0" w:type="dxa"/>
            <w:left w:w="108" w:type="dxa"/>
            <w:bottom w:w="0" w:type="dxa"/>
            <w:right w:w="108" w:type="dxa"/>
          </w:tblCellMar>
        </w:tblPrEx>
        <w:trPr>
          <w:trHeight w:val="425"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上年结转资金</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trHeight w:val="395"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其他资金</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trHeight w:val="470" w:hRule="atLeast"/>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年度总体目标</w:t>
            </w:r>
          </w:p>
        </w:tc>
        <w:tc>
          <w:tcPr>
            <w:tcW w:w="451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预期目标</w:t>
            </w:r>
          </w:p>
        </w:tc>
        <w:tc>
          <w:tcPr>
            <w:tcW w:w="4253"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实际完成情况　</w:t>
            </w:r>
          </w:p>
        </w:tc>
      </w:tr>
      <w:tr>
        <w:tblPrEx>
          <w:tblCellMar>
            <w:top w:w="0" w:type="dxa"/>
            <w:left w:w="108" w:type="dxa"/>
            <w:bottom w:w="0" w:type="dxa"/>
            <w:right w:w="108" w:type="dxa"/>
          </w:tblCellMar>
        </w:tblPrEx>
        <w:trPr>
          <w:trHeight w:val="1020"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451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认真贯彻落实全面从严治党战略方针，坚决扛起管党治党政治责任，深入推进党风廉政建设和反腐败斗争</w:t>
            </w:r>
          </w:p>
        </w:tc>
        <w:tc>
          <w:tcPr>
            <w:tcW w:w="4253"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忠诚履职尽责、敢于担当作为，切实发挥监督保障执行、促进完善发展作用，为加快推进富美华容现代化强县建设提供了坚强保障。</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标</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一级指标</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二级指标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三级指标</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指标值</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完成值</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得分</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偏差原因分析及改进措施</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产出指标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(50分)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数量指标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eastAsia="zh-CN"/>
              </w:rPr>
              <w:t>留置对象人数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trHeight w:val="365" w:hRule="atLeast"/>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trHeight w:val="575" w:hRule="atLeast"/>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质量指标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eastAsia="zh-CN"/>
              </w:rPr>
              <w:t>目标完成率</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100%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15</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trHeight w:val="400" w:hRule="atLeast"/>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时效指标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eastAsia="zh-CN"/>
              </w:rPr>
              <w:t>按时间节点完成</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按期完成</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eastAsia="zh-CN"/>
              </w:rPr>
              <w:t>按期完成</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15</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trHeight w:val="390" w:hRule="atLeast"/>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成本指标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eastAsia="zh-CN"/>
              </w:rPr>
              <w:t>严格控制专项开支</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trHeight w:val="420" w:hRule="atLeast"/>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效益指标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（30分）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eastAsia="zh-CN"/>
              </w:rPr>
            </w:pPr>
            <w:r>
              <w:rPr>
                <w:rFonts w:hint="eastAsia" w:ascii="Times New Roman" w:hAnsi="Times New Roman" w:eastAsia="仿宋_GB2312" w:cs="Times New Roman"/>
                <w:color w:val="000000"/>
                <w:sz w:val="20"/>
                <w:szCs w:val="20"/>
                <w:lang w:eastAsia="zh-CN"/>
              </w:rPr>
              <w:t>贡献财政收入</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6</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6</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trHeight w:val="415" w:hRule="atLeast"/>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eastAsia="zh-CN"/>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eastAsia="zh-CN"/>
              </w:rPr>
            </w:pPr>
            <w:r>
              <w:rPr>
                <w:rFonts w:hint="eastAsia" w:ascii="Times New Roman" w:hAnsi="Times New Roman" w:eastAsia="仿宋_GB2312" w:cs="Times New Roman"/>
                <w:color w:val="000000"/>
                <w:sz w:val="20"/>
                <w:szCs w:val="20"/>
                <w:lang w:eastAsia="zh-CN"/>
              </w:rPr>
              <w:t>确保党中央政令畅通，党内政治生态明显好转</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效果显著</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eastAsia="zh-CN"/>
              </w:rPr>
              <w:t>效果显著</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8</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8</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trHeight w:val="365" w:hRule="atLeast"/>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eastAsia="zh-CN"/>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eastAsia="zh-CN"/>
              </w:rPr>
            </w:pPr>
            <w:r>
              <w:rPr>
                <w:rFonts w:hint="eastAsia" w:ascii="Times New Roman" w:hAnsi="Times New Roman" w:eastAsia="仿宋_GB2312" w:cs="Times New Roman"/>
                <w:color w:val="000000"/>
                <w:sz w:val="20"/>
                <w:szCs w:val="20"/>
                <w:lang w:eastAsia="zh-CN"/>
              </w:rPr>
              <w:t>严明党的政治纪律、政治规矩，净化政治生态</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eastAsia="zh-CN"/>
              </w:rPr>
              <w:t>效果显著</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eastAsia="zh-CN"/>
              </w:rPr>
              <w:t>效果显著</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8</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8</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trHeight w:val="345" w:hRule="atLeast"/>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eastAsia="zh-CN"/>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可持续</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影响指标</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eastAsia="zh-CN"/>
              </w:rPr>
            </w:pPr>
            <w:r>
              <w:rPr>
                <w:rFonts w:hint="eastAsia" w:ascii="Times New Roman" w:hAnsi="Times New Roman" w:eastAsia="仿宋_GB2312" w:cs="Times New Roman"/>
                <w:color w:val="000000"/>
                <w:sz w:val="20"/>
                <w:szCs w:val="20"/>
                <w:lang w:eastAsia="zh-CN"/>
              </w:rPr>
              <w:t>坚定不移惩贪治腐，紧贴中心、服务大局，充分发挥监督保障执行、促进完善发展作用</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eastAsia="zh-CN"/>
              </w:rPr>
              <w:t>效果显著</w:t>
            </w:r>
            <w:r>
              <w:rPr>
                <w:rFonts w:hint="default" w:ascii="Times New Roman" w:hAnsi="Times New Roman" w:eastAsia="仿宋_GB2312" w:cs="Times New Roman"/>
                <w:color w:val="000000"/>
                <w:sz w:val="20"/>
                <w:szCs w:val="20"/>
              </w:rPr>
              <w:t>　</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eastAsia="zh-CN"/>
              </w:rPr>
              <w:t>效果显著</w:t>
            </w:r>
            <w:r>
              <w:rPr>
                <w:rFonts w:hint="default" w:ascii="Times New Roman" w:hAnsi="Times New Roman" w:eastAsia="仿宋_GB2312" w:cs="Times New Roman"/>
                <w:color w:val="000000"/>
                <w:sz w:val="20"/>
                <w:szCs w:val="20"/>
              </w:rPr>
              <w:t>　</w:t>
            </w: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8</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8</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trHeight w:val="550" w:hRule="atLeast"/>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eastAsia="zh-CN"/>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服务对象满意度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eastAsia="zh-CN"/>
              </w:rPr>
            </w:pPr>
            <w:r>
              <w:rPr>
                <w:rFonts w:hint="eastAsia" w:ascii="Times New Roman" w:hAnsi="Times New Roman" w:eastAsia="仿宋_GB2312" w:cs="Times New Roman"/>
                <w:color w:val="000000"/>
                <w:sz w:val="20"/>
                <w:szCs w:val="20"/>
                <w:lang w:eastAsia="zh-CN"/>
              </w:rPr>
              <w:t>加大群众身边腐败问题的处理力度，增强人民群众获得感</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eastAsia="zh-CN"/>
              </w:rPr>
              <w:t>效果显著</w:t>
            </w: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eastAsia="zh-CN"/>
              </w:rPr>
              <w:t>效果显著</w:t>
            </w: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trHeight w:val="620" w:hRule="atLeast"/>
          <w:jc w:val="center"/>
        </w:trPr>
        <w:tc>
          <w:tcPr>
            <w:tcW w:w="108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600" w:hRule="atLeast"/>
          <w:jc w:val="center"/>
        </w:trPr>
        <w:tc>
          <w:tcPr>
            <w:tcW w:w="6732" w:type="dxa"/>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总分</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bl>
    <w:p>
      <w:pPr>
        <w:rPr>
          <w:rFonts w:hint="eastAsia" w:ascii="新宋体" w:hAnsi="新宋体" w:eastAsia="新宋体" w:cs="新宋体"/>
          <w:sz w:val="21"/>
          <w:szCs w:val="21"/>
          <w:lang w:eastAsia="zh-CN"/>
        </w:rPr>
      </w:pPr>
      <w:r>
        <w:rPr>
          <w:rFonts w:hint="eastAsia" w:ascii="新宋体" w:hAnsi="新宋体" w:eastAsia="新宋体" w:cs="新宋体"/>
          <w:sz w:val="21"/>
          <w:szCs w:val="21"/>
        </w:rPr>
        <w:t>备注：一个一级项目支出一张表。</w:t>
      </w:r>
      <w:r>
        <w:rPr>
          <w:rFonts w:hint="eastAsia" w:ascii="新宋体" w:hAnsi="新宋体" w:eastAsia="新宋体" w:cs="新宋体"/>
          <w:sz w:val="21"/>
          <w:szCs w:val="21"/>
          <w:lang w:eastAsia="zh-CN"/>
        </w:rPr>
        <w:t>如，</w:t>
      </w:r>
      <w:r>
        <w:rPr>
          <w:rFonts w:hint="eastAsia" w:ascii="新宋体" w:hAnsi="新宋体" w:eastAsia="新宋体" w:cs="新宋体"/>
          <w:sz w:val="21"/>
          <w:szCs w:val="21"/>
        </w:rPr>
        <w:t>业务工作经费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运行维护经费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lang w:val="en-US" w:eastAsia="zh-CN"/>
        </w:rPr>
        <w:t>XX项目</w:t>
      </w:r>
      <w:r>
        <w:rPr>
          <w:rFonts w:hint="eastAsia" w:ascii="新宋体" w:hAnsi="新宋体" w:eastAsia="新宋体" w:cs="新宋体"/>
          <w:sz w:val="21"/>
          <w:szCs w:val="21"/>
          <w:lang w:eastAsia="zh-CN"/>
        </w:rPr>
        <w:t>资金…各一张表。</w:t>
      </w:r>
    </w:p>
    <w:p>
      <w:pPr>
        <w:pStyle w:val="6"/>
        <w:rPr>
          <w:rFonts w:hint="eastAsia"/>
        </w:rPr>
      </w:pPr>
      <w:bookmarkStart w:id="0" w:name="_GoBack"/>
      <w:bookmarkEnd w:id="0"/>
    </w:p>
    <w:p>
      <w:pPr>
        <w:rPr>
          <w:rFonts w:hint="eastAsia"/>
        </w:rPr>
      </w:pPr>
    </w:p>
    <w:p>
      <w:pPr>
        <w:jc w:val="left"/>
        <w:rPr>
          <w:rFonts w:hint="eastAsia" w:ascii="新宋体" w:hAnsi="新宋体" w:eastAsia="新宋体" w:cs="新宋体"/>
          <w:sz w:val="21"/>
          <w:szCs w:val="21"/>
        </w:rPr>
      </w:pPr>
      <w:r>
        <w:rPr>
          <w:rFonts w:hint="eastAsia" w:ascii="新宋体" w:hAnsi="新宋体" w:eastAsia="新宋体" w:cs="新宋体"/>
          <w:sz w:val="21"/>
          <w:szCs w:val="21"/>
        </w:rPr>
        <w:t>填表人：</w:t>
      </w:r>
      <w:r>
        <w:rPr>
          <w:rFonts w:hint="eastAsia" w:ascii="新宋体" w:hAnsi="新宋体" w:eastAsia="新宋体" w:cs="新宋体"/>
          <w:sz w:val="21"/>
          <w:szCs w:val="21"/>
          <w:lang w:eastAsia="zh-CN"/>
        </w:rPr>
        <w:t>刘建芳</w:t>
      </w:r>
      <w:r>
        <w:rPr>
          <w:rFonts w:hint="eastAsia" w:ascii="新宋体" w:hAnsi="新宋体" w:eastAsia="新宋体" w:cs="新宋体"/>
          <w:sz w:val="21"/>
          <w:szCs w:val="21"/>
        </w:rPr>
        <w:t xml:space="preserve"> </w:t>
      </w:r>
      <w:r>
        <w:rPr>
          <w:rFonts w:hint="eastAsia" w:ascii="新宋体" w:hAnsi="新宋体" w:eastAsia="新宋体" w:cs="新宋体"/>
          <w:sz w:val="21"/>
          <w:szCs w:val="21"/>
          <w:lang w:val="en-US" w:eastAsia="zh-CN"/>
        </w:rPr>
        <w:t xml:space="preserve"> </w:t>
      </w:r>
      <w:r>
        <w:rPr>
          <w:rFonts w:hint="eastAsia" w:ascii="新宋体" w:hAnsi="新宋体" w:eastAsia="新宋体" w:cs="新宋体"/>
          <w:sz w:val="21"/>
          <w:szCs w:val="21"/>
        </w:rPr>
        <w:t>填报日期：</w:t>
      </w:r>
      <w:r>
        <w:rPr>
          <w:rFonts w:hint="eastAsia" w:ascii="新宋体" w:hAnsi="新宋体" w:eastAsia="新宋体" w:cs="新宋体"/>
          <w:sz w:val="21"/>
          <w:szCs w:val="21"/>
          <w:lang w:val="en-US" w:eastAsia="zh-CN"/>
        </w:rPr>
        <w:t xml:space="preserve">2013.07.17  </w:t>
      </w:r>
      <w:r>
        <w:rPr>
          <w:rFonts w:hint="eastAsia" w:ascii="新宋体" w:hAnsi="新宋体" w:eastAsia="新宋体" w:cs="新宋体"/>
          <w:sz w:val="21"/>
          <w:szCs w:val="21"/>
        </w:rPr>
        <w:t>联系电话：</w:t>
      </w:r>
      <w:r>
        <w:rPr>
          <w:rFonts w:hint="eastAsia" w:ascii="新宋体" w:hAnsi="新宋体" w:eastAsia="新宋体" w:cs="新宋体"/>
          <w:sz w:val="21"/>
          <w:szCs w:val="21"/>
          <w:lang w:val="en-US" w:eastAsia="zh-CN"/>
        </w:rPr>
        <w:t xml:space="preserve">15873095838 </w:t>
      </w:r>
      <w:r>
        <w:rPr>
          <w:rFonts w:hint="eastAsia" w:ascii="新宋体" w:hAnsi="新宋体" w:eastAsia="新宋体" w:cs="新宋体"/>
          <w:sz w:val="21"/>
          <w:szCs w:val="21"/>
        </w:rPr>
        <w:t xml:space="preserve"> 单位负责人签字：</w:t>
      </w:r>
    </w:p>
    <w:p>
      <w:pPr>
        <w:spacing w:line="240" w:lineRule="auto"/>
        <w:ind w:firstLine="0" w:firstLineChars="0"/>
        <w:jc w:val="left"/>
        <w:outlineLvl w:val="0"/>
        <w:rPr>
          <w:rFonts w:hint="eastAsia" w:ascii="新宋体" w:hAnsi="新宋体" w:eastAsia="新宋体" w:cs="新宋体"/>
          <w:sz w:val="21"/>
          <w:szCs w:val="21"/>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华容县纪委监委留置专项经费</w:t>
      </w:r>
      <w:r>
        <w:rPr>
          <w:rFonts w:hint="eastAsia" w:ascii="方正小标宋简体" w:hAnsi="方正小标宋简体" w:eastAsia="方正小标宋简体" w:cs="方正小标宋简体"/>
          <w:sz w:val="44"/>
          <w:szCs w:val="44"/>
        </w:rPr>
        <w:t>支出</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default"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部门（单位）名称：</w:t>
      </w:r>
      <w:r>
        <w:rPr>
          <w:rFonts w:hint="default" w:ascii="Times New Roman" w:hAnsi="Times New Roman" w:eastAsia="仿宋_GB2312" w:cs="Times New Roman"/>
          <w:sz w:val="32"/>
          <w:szCs w:val="32"/>
          <w:u w:val="single"/>
        </w:rPr>
        <w:t>（盖章）</w:t>
      </w:r>
    </w:p>
    <w:p>
      <w:pPr>
        <w:spacing w:line="600" w:lineRule="exact"/>
        <w:jc w:val="center"/>
        <w:rPr>
          <w:rFonts w:hint="default" w:ascii="Times New Roman" w:hAnsi="Times New Roman" w:eastAsia="楷体_GB2312" w:cs="Times New Roman"/>
          <w:sz w:val="32"/>
          <w:szCs w:val="32"/>
        </w:rPr>
      </w:pPr>
      <w:r>
        <w:rPr>
          <w:rFonts w:hint="eastAsia" w:eastAsia="楷体_GB2312" w:cs="Times New Roman"/>
          <w:sz w:val="32"/>
          <w:szCs w:val="32"/>
          <w:lang w:val="en-US" w:eastAsia="zh-CN"/>
        </w:rPr>
        <w:t>2023</w:t>
      </w:r>
      <w:r>
        <w:rPr>
          <w:rFonts w:hint="default" w:ascii="Times New Roman" w:hAnsi="Times New Roman" w:eastAsia="楷体_GB2312" w:cs="Times New Roman"/>
          <w:sz w:val="32"/>
          <w:szCs w:val="32"/>
        </w:rPr>
        <w:t xml:space="preserve">年 </w:t>
      </w:r>
      <w:r>
        <w:rPr>
          <w:rFonts w:hint="eastAsia" w:eastAsia="楷体_GB2312" w:cs="Times New Roman"/>
          <w:sz w:val="32"/>
          <w:szCs w:val="32"/>
          <w:lang w:val="en-US" w:eastAsia="zh-CN"/>
        </w:rPr>
        <w:t>7</w:t>
      </w:r>
      <w:r>
        <w:rPr>
          <w:rFonts w:hint="default" w:ascii="Times New Roman" w:hAnsi="Times New Roman" w:eastAsia="楷体_GB2312" w:cs="Times New Roman"/>
          <w:sz w:val="32"/>
          <w:szCs w:val="32"/>
        </w:rPr>
        <w:t xml:space="preserve"> 月 </w:t>
      </w:r>
      <w:r>
        <w:rPr>
          <w:rFonts w:hint="eastAsia" w:eastAsia="楷体_GB2312" w:cs="Times New Roman"/>
          <w:sz w:val="32"/>
          <w:szCs w:val="32"/>
          <w:lang w:val="en-US" w:eastAsia="zh-CN"/>
        </w:rPr>
        <w:t>17</w:t>
      </w:r>
      <w:r>
        <w:rPr>
          <w:rFonts w:hint="default" w:ascii="Times New Roman" w:hAnsi="Times New Roman" w:eastAsia="楷体_GB2312" w:cs="Times New Roman"/>
          <w:sz w:val="32"/>
          <w:szCs w:val="32"/>
        </w:rPr>
        <w:t xml:space="preserve"> 日</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default" w:ascii="Times New Roman" w:hAnsi="Times New Roman" w:eastAsia="仿宋_GB2312" w:cs="Times New Roman"/>
          <w:sz w:val="32"/>
          <w:szCs w:val="32"/>
        </w:rPr>
        <w:br w:type="page"/>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华容县纪委监委留置专项经费</w:t>
      </w:r>
      <w:r>
        <w:rPr>
          <w:rFonts w:hint="eastAsia" w:ascii="方正小标宋简体" w:hAnsi="方正小标宋简体" w:eastAsia="方正小标宋简体" w:cs="方正小标宋简体"/>
          <w:sz w:val="44"/>
          <w:szCs w:val="44"/>
        </w:rPr>
        <w:t>支出</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default" w:ascii="Times New Roman" w:hAnsi="Times New Roman" w:eastAsia="仿宋_GB2312" w:cs="Times New Roman"/>
          <w:sz w:val="32"/>
          <w:szCs w:val="32"/>
        </w:rPr>
      </w:pPr>
      <w:r>
        <w:rPr>
          <w:rFonts w:hint="eastAsia" w:ascii="方正小标宋简体" w:hAnsi="方正小标宋简体" w:eastAsia="方正小标宋简体" w:cs="方正小标宋简体"/>
          <w:sz w:val="44"/>
          <w:szCs w:val="44"/>
        </w:rPr>
        <w:t>绩效自评报告</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高级黑" w:hAnsi="高级黑" w:eastAsia="高级黑" w:cs="高级黑"/>
          <w:sz w:val="30"/>
          <w:szCs w:val="30"/>
        </w:rPr>
      </w:pPr>
      <w:r>
        <w:rPr>
          <w:rFonts w:hint="eastAsia" w:ascii="高级黑" w:hAnsi="高级黑" w:eastAsia="高级黑" w:cs="高级黑"/>
          <w:sz w:val="30"/>
          <w:szCs w:val="30"/>
        </w:rPr>
        <w:t>一、基本情况</w:t>
      </w:r>
    </w:p>
    <w:p>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_GB2312"/>
          <w:b w:val="0"/>
          <w:bCs/>
          <w:sz w:val="28"/>
          <w:szCs w:val="28"/>
          <w:lang w:val="en-US" w:eastAsia="zh-CN"/>
        </w:rPr>
      </w:pPr>
      <w:r>
        <w:rPr>
          <w:rFonts w:hint="eastAsia" w:ascii="仿宋" w:hAnsi="仿宋" w:eastAsia="仿宋" w:cs="仿宋_GB2312"/>
          <w:b/>
          <w:bCs w:val="0"/>
          <w:sz w:val="28"/>
          <w:szCs w:val="28"/>
          <w:lang w:val="en-US" w:eastAsia="zh-CN"/>
        </w:rPr>
        <w:t>(一)项目概况。</w:t>
      </w:r>
      <w:r>
        <w:rPr>
          <w:rFonts w:hint="eastAsia" w:ascii="仿宋" w:hAnsi="仿宋" w:eastAsia="仿宋" w:cs="仿宋_GB2312"/>
          <w:b w:val="0"/>
          <w:bCs/>
          <w:sz w:val="28"/>
          <w:szCs w:val="28"/>
          <w:lang w:val="en-US" w:eastAsia="zh-CN"/>
        </w:rPr>
        <w:t>深入贯彻落实习近平总书记重要讲话重要指示批示精神，加强监督检查和调研督导，推动党中央重大决策部署落实落地。2022年华容县纪委监委留置对象3人，同时选派优秀办案人员38人次，参与上级纪委监委专案办理，为全市反腐败斗争贡献华容力量。</w:t>
      </w:r>
    </w:p>
    <w:p>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_GB2312"/>
          <w:b w:val="0"/>
          <w:bCs/>
          <w:sz w:val="28"/>
          <w:szCs w:val="28"/>
          <w:lang w:val="en-US" w:eastAsia="zh-CN"/>
        </w:rPr>
      </w:pPr>
      <w:r>
        <w:rPr>
          <w:rFonts w:hint="eastAsia" w:ascii="仿宋" w:hAnsi="仿宋" w:eastAsia="仿宋" w:cs="仿宋_GB2312"/>
          <w:b/>
          <w:bCs w:val="0"/>
          <w:sz w:val="28"/>
          <w:szCs w:val="28"/>
          <w:lang w:val="en-US" w:eastAsia="zh-CN"/>
        </w:rPr>
        <w:t>(二)项目绩效目标。</w:t>
      </w:r>
      <w:r>
        <w:rPr>
          <w:rFonts w:hint="eastAsia" w:ascii="仿宋" w:hAnsi="仿宋" w:eastAsia="仿宋" w:cs="仿宋_GB2312"/>
          <w:b w:val="0"/>
          <w:bCs/>
          <w:sz w:val="28"/>
          <w:szCs w:val="28"/>
          <w:lang w:val="en-US" w:eastAsia="zh-CN"/>
        </w:rPr>
        <w:t>围绕监督执纪问责和监督调查处置职能职责深入开展调查研究，深入查处民生领域与群众边腐败和作风问题，为全县经济发展保驾护航。</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高级黑" w:hAnsi="高级黑" w:eastAsia="高级黑" w:cs="高级黑"/>
          <w:sz w:val="30"/>
          <w:szCs w:val="30"/>
        </w:rPr>
      </w:pPr>
      <w:r>
        <w:rPr>
          <w:rFonts w:hint="eastAsia" w:ascii="高级黑" w:hAnsi="高级黑" w:eastAsia="高级黑" w:cs="高级黑"/>
          <w:sz w:val="30"/>
          <w:szCs w:val="30"/>
        </w:rPr>
        <w:t>二、绩效评价工作开展情况</w:t>
      </w:r>
    </w:p>
    <w:p>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_GB2312"/>
          <w:b w:val="0"/>
          <w:bCs/>
          <w:sz w:val="28"/>
          <w:szCs w:val="28"/>
          <w:lang w:val="en-US" w:eastAsia="zh-CN"/>
        </w:rPr>
      </w:pPr>
      <w:r>
        <w:rPr>
          <w:rFonts w:hint="eastAsia" w:ascii="仿宋" w:hAnsi="仿宋" w:eastAsia="仿宋" w:cs="仿宋_GB2312"/>
          <w:b/>
          <w:bCs w:val="0"/>
          <w:sz w:val="28"/>
          <w:szCs w:val="28"/>
          <w:lang w:val="en-US" w:eastAsia="zh-CN"/>
        </w:rPr>
        <w:t>(一)绩效评价目的、对象和范围。</w:t>
      </w:r>
      <w:r>
        <w:rPr>
          <w:rFonts w:hint="eastAsia" w:ascii="仿宋" w:hAnsi="仿宋" w:eastAsia="仿宋" w:cs="仿宋_GB2312"/>
          <w:b w:val="0"/>
          <w:bCs/>
          <w:sz w:val="28"/>
          <w:szCs w:val="28"/>
          <w:lang w:val="en-US" w:eastAsia="zh-CN"/>
        </w:rPr>
        <w:t>为了客观、科学、公正的评价纪检监察留置专项资金使用情况，全面评价专项资金的效用效益，</w:t>
      </w:r>
      <w:r>
        <w:rPr>
          <w:rFonts w:hint="default" w:ascii="仿宋" w:hAnsi="仿宋" w:eastAsia="仿宋" w:cs="仿宋_GB2312"/>
          <w:b w:val="0"/>
          <w:bCs/>
          <w:sz w:val="28"/>
          <w:szCs w:val="28"/>
          <w:lang w:val="en-US" w:eastAsia="zh-CN"/>
        </w:rPr>
        <w:t>通过开展绩效评价工作能够清晰的从资金层面反映单位工作的内容及工作目标、工作成效、工作标准。借助投入与产出分析，资金使用效果及产生的经济效益、社会效益分析。促进资金管理科学化、规范化。通过适时的资金预算、预算执行、执行成果的绩效评价，为以后年度更加合理、精准、合理编制预算，选择项目和项目实施主体提供经验基础。</w:t>
      </w:r>
    </w:p>
    <w:p>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_GB2312"/>
          <w:b w:val="0"/>
          <w:bCs/>
          <w:sz w:val="28"/>
          <w:szCs w:val="28"/>
          <w:lang w:val="en-US" w:eastAsia="zh-CN"/>
        </w:rPr>
      </w:pPr>
      <w:r>
        <w:rPr>
          <w:rFonts w:hint="eastAsia" w:ascii="仿宋" w:hAnsi="仿宋" w:eastAsia="仿宋" w:cs="仿宋_GB2312"/>
          <w:b/>
          <w:bCs w:val="0"/>
          <w:sz w:val="28"/>
          <w:szCs w:val="28"/>
          <w:lang w:val="en-US" w:eastAsia="zh-CN"/>
        </w:rPr>
        <w:t>(二)绩效评价原则、评价指标体系(附表说明)、评价方法、 评价标准等。</w:t>
      </w:r>
      <w:r>
        <w:rPr>
          <w:rFonts w:hint="eastAsia" w:ascii="仿宋" w:hAnsi="仿宋" w:eastAsia="仿宋" w:cs="仿宋_GB2312"/>
          <w:b w:val="0"/>
          <w:bCs/>
          <w:sz w:val="28"/>
          <w:szCs w:val="28"/>
          <w:lang w:val="en-US" w:eastAsia="zh-CN"/>
        </w:rPr>
        <w:t>根据财政部门对财政支出绩效评价管理的相关规定和工作要求，本次绩效评价遵循科学规范和绩效相关原则；评价方法采用目标比较法和因素分析法；设置了定量与定性相结合的指标，评价标准详见“2022年度项目支出绩效自评表”。</w:t>
      </w:r>
    </w:p>
    <w:p>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_GB2312"/>
          <w:b w:val="0"/>
          <w:bCs/>
          <w:sz w:val="28"/>
          <w:szCs w:val="28"/>
          <w:lang w:val="en-US" w:eastAsia="zh-CN"/>
        </w:rPr>
      </w:pPr>
      <w:r>
        <w:rPr>
          <w:rFonts w:hint="eastAsia" w:ascii="仿宋" w:hAnsi="仿宋" w:eastAsia="仿宋" w:cs="仿宋_GB2312"/>
          <w:b/>
          <w:bCs w:val="0"/>
          <w:sz w:val="28"/>
          <w:szCs w:val="28"/>
          <w:lang w:val="en-US" w:eastAsia="zh-CN"/>
        </w:rPr>
        <w:t>(三)绩效评价工作过程。</w:t>
      </w:r>
      <w:r>
        <w:rPr>
          <w:rFonts w:hint="eastAsia" w:ascii="仿宋" w:hAnsi="仿宋" w:eastAsia="仿宋" w:cs="仿宋_GB2312"/>
          <w:b w:val="0"/>
          <w:bCs/>
          <w:sz w:val="28"/>
          <w:szCs w:val="28"/>
          <w:lang w:val="en-US" w:eastAsia="zh-CN"/>
        </w:rPr>
        <w:t>根据《华容县财政局关于开展2022年度财政预算支出绩效自评工作的通知》（华财函[2023]63号）有关规定，结合我委工作实际，成立了以县纪委副书记县监委副主任为组长的绩效自评工作组，认真开展预算支出绩效自评工作。绩效自评采取量化评分的形式，由各项指标加权汇总形成，总分100分，其中全部完成记该指标所赋全部分值，未完成指标按照完成值与指标的比例计分。最后根据打分情况，由办公室财务人员进行汇总填写绩效自评表撰写自评报告。在开展绩效自评工作时，各室、办、中心、组认真配合，全面整理评价所需基础信息资料，在日常财务管理严格遵循财务审批制度，做到了客观真实，绩效目标按计划完成。</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高级黑" w:hAnsi="高级黑" w:eastAsia="高级黑" w:cs="高级黑"/>
          <w:sz w:val="30"/>
          <w:szCs w:val="30"/>
        </w:rPr>
      </w:pPr>
      <w:r>
        <w:rPr>
          <w:rFonts w:hint="eastAsia" w:ascii="高级黑" w:hAnsi="高级黑" w:eastAsia="高级黑" w:cs="高级黑"/>
          <w:sz w:val="30"/>
          <w:szCs w:val="30"/>
        </w:rPr>
        <w:t xml:space="preserve">三、综合评价情况及评价结论 </w:t>
      </w:r>
    </w:p>
    <w:p>
      <w:pPr>
        <w:pStyle w:val="2"/>
        <w:numPr>
          <w:ilvl w:val="0"/>
          <w:numId w:val="0"/>
        </w:numPr>
        <w:ind w:leftChars="0"/>
        <w:rPr>
          <w:rFonts w:hint="eastAsia" w:ascii="仿宋" w:hAnsi="仿宋" w:eastAsia="仿宋" w:cs="仿宋_GB2312"/>
          <w:b w:val="0"/>
          <w:bCs/>
          <w:kern w:val="2"/>
          <w:sz w:val="28"/>
          <w:szCs w:val="28"/>
          <w:lang w:val="en-US" w:eastAsia="zh-CN" w:bidi="ar-SA"/>
        </w:rPr>
      </w:pPr>
      <w:r>
        <w:rPr>
          <w:rFonts w:hint="eastAsia" w:ascii="仿宋" w:hAnsi="仿宋" w:eastAsia="仿宋" w:cs="仿宋_GB2312"/>
          <w:b w:val="0"/>
          <w:bCs/>
          <w:kern w:val="2"/>
          <w:sz w:val="28"/>
          <w:szCs w:val="28"/>
          <w:lang w:val="en-US" w:eastAsia="zh-CN" w:bidi="ar-SA"/>
        </w:rPr>
        <w:t>圆满完成大案要案的各项工作任务，实现政治效果、纪法效果、社会效果的有机统一。</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高级黑" w:hAnsi="高级黑" w:eastAsia="高级黑" w:cs="高级黑"/>
          <w:sz w:val="30"/>
          <w:szCs w:val="30"/>
        </w:rPr>
      </w:pPr>
      <w:r>
        <w:rPr>
          <w:rFonts w:hint="eastAsia" w:ascii="高级黑" w:hAnsi="高级黑" w:eastAsia="高级黑" w:cs="高级黑"/>
          <w:sz w:val="30"/>
          <w:szCs w:val="30"/>
        </w:rPr>
        <w:t>四、绩效评价指标分析</w:t>
      </w:r>
    </w:p>
    <w:p>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_GB2312"/>
          <w:b w:val="0"/>
          <w:bCs/>
          <w:sz w:val="28"/>
          <w:szCs w:val="28"/>
          <w:lang w:val="en-US" w:eastAsia="zh-CN"/>
        </w:rPr>
      </w:pPr>
      <w:r>
        <w:rPr>
          <w:rFonts w:hint="eastAsia" w:ascii="仿宋" w:hAnsi="仿宋" w:eastAsia="仿宋" w:cs="仿宋_GB2312"/>
          <w:b/>
          <w:bCs w:val="0"/>
          <w:sz w:val="28"/>
          <w:szCs w:val="28"/>
          <w:lang w:val="en-US" w:eastAsia="zh-CN"/>
        </w:rPr>
        <w:t>(一)项目决策情况。</w:t>
      </w:r>
      <w:r>
        <w:rPr>
          <w:rFonts w:hint="eastAsia" w:ascii="仿宋" w:hAnsi="仿宋" w:eastAsia="仿宋" w:cs="仿宋_GB2312"/>
          <w:b w:val="0"/>
          <w:bCs/>
          <w:sz w:val="28"/>
          <w:szCs w:val="28"/>
          <w:lang w:val="en-US" w:eastAsia="zh-CN"/>
        </w:rPr>
        <w:t>坚持把纪律规矩挺在前面，深入查找违纪违法方面问题。</w:t>
      </w:r>
    </w:p>
    <w:p>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_GB2312"/>
          <w:b w:val="0"/>
          <w:bCs/>
          <w:sz w:val="28"/>
          <w:szCs w:val="28"/>
          <w:lang w:val="en-US" w:eastAsia="zh-CN"/>
        </w:rPr>
      </w:pPr>
      <w:r>
        <w:rPr>
          <w:rFonts w:hint="eastAsia" w:ascii="仿宋" w:hAnsi="仿宋" w:eastAsia="仿宋" w:cs="仿宋_GB2312"/>
          <w:b/>
          <w:bCs w:val="0"/>
          <w:sz w:val="28"/>
          <w:szCs w:val="28"/>
          <w:lang w:val="en-US" w:eastAsia="zh-CN"/>
        </w:rPr>
        <w:t>(二)项目过程情况。</w:t>
      </w:r>
      <w:r>
        <w:rPr>
          <w:rFonts w:hint="eastAsia" w:ascii="仿宋" w:hAnsi="仿宋" w:eastAsia="仿宋" w:cs="仿宋_GB2312"/>
          <w:b w:val="0"/>
          <w:bCs/>
          <w:sz w:val="28"/>
          <w:szCs w:val="28"/>
          <w:lang w:val="en-US" w:eastAsia="zh-CN"/>
        </w:rPr>
        <w:t>在项目实施过程中，本着厉行节约的原则，严格按照“三重一大”程序和一事一议、一案一报的要求管理和使用专项资金。</w:t>
      </w:r>
    </w:p>
    <w:p>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_GB2312"/>
          <w:b w:val="0"/>
          <w:bCs/>
          <w:sz w:val="28"/>
          <w:szCs w:val="28"/>
          <w:lang w:val="en-US" w:eastAsia="zh-CN"/>
        </w:rPr>
      </w:pPr>
      <w:r>
        <w:rPr>
          <w:rFonts w:hint="eastAsia" w:ascii="仿宋" w:hAnsi="仿宋" w:eastAsia="仿宋" w:cs="仿宋_GB2312"/>
          <w:b/>
          <w:bCs w:val="0"/>
          <w:sz w:val="28"/>
          <w:szCs w:val="28"/>
          <w:lang w:val="en-US" w:eastAsia="zh-CN"/>
        </w:rPr>
        <w:t>(三)项目产出情况。</w:t>
      </w:r>
      <w:r>
        <w:rPr>
          <w:rFonts w:hint="eastAsia" w:ascii="仿宋" w:hAnsi="仿宋" w:eastAsia="仿宋" w:cs="仿宋_GB2312"/>
          <w:b w:val="0"/>
          <w:bCs/>
          <w:sz w:val="28"/>
          <w:szCs w:val="28"/>
          <w:lang w:val="en-US" w:eastAsia="zh-CN"/>
        </w:rPr>
        <w:t>严肃查处丰穗粮食购销有限公司原总经理张军、原副总经理贺常义严重违纪违法并涉嫌职务犯罪案件，移送检察机关3人，粮食购销领域腐败问题专项整治工作成效显著。针对典型案件暴露出的问题，督促县商务粮食局及时召开以案促改警示教育大会，修订完善相关规章制度，堵塞工作漏洞，强化风险防控。组织38人次办理市纪委监委“3·29”“4·28”“6·14”“9·01”“11·12”等5个系列专案，为全市反腐败斗争贡献了华容力量。</w:t>
      </w:r>
    </w:p>
    <w:p>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_GB2312"/>
          <w:b w:val="0"/>
          <w:bCs/>
          <w:sz w:val="28"/>
          <w:szCs w:val="28"/>
          <w:lang w:val="en-US" w:eastAsia="zh-CN"/>
        </w:rPr>
      </w:pPr>
      <w:r>
        <w:rPr>
          <w:rFonts w:hint="eastAsia" w:ascii="仿宋" w:hAnsi="仿宋" w:eastAsia="仿宋" w:cs="仿宋_GB2312"/>
          <w:b/>
          <w:bCs w:val="0"/>
          <w:sz w:val="28"/>
          <w:szCs w:val="28"/>
          <w:lang w:val="en-US" w:eastAsia="zh-CN"/>
        </w:rPr>
        <w:t>(四)项目效益情况。</w:t>
      </w:r>
      <w:r>
        <w:rPr>
          <w:rFonts w:hint="eastAsia" w:ascii="仿宋" w:hAnsi="仿宋" w:eastAsia="仿宋" w:cs="仿宋_GB2312"/>
          <w:b w:val="0"/>
          <w:bCs/>
          <w:sz w:val="28"/>
          <w:szCs w:val="28"/>
          <w:lang w:val="en-US" w:eastAsia="zh-CN"/>
        </w:rPr>
        <w:t>坚持推进“三不”一体拓展深化，治腐效能显著提升，“不敢腐”的震慑更强烈，“不能腐”的笼子更严密，“不想腐”的堤坝更牢固。</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高级黑" w:hAnsi="高级黑" w:eastAsia="高级黑" w:cs="高级黑"/>
          <w:sz w:val="30"/>
          <w:szCs w:val="30"/>
        </w:rPr>
      </w:pPr>
      <w:r>
        <w:rPr>
          <w:rFonts w:hint="eastAsia" w:ascii="高级黑" w:hAnsi="高级黑" w:eastAsia="高级黑" w:cs="高级黑"/>
          <w:sz w:val="30"/>
          <w:szCs w:val="30"/>
        </w:rPr>
        <w:t>五、主要经验及做法、存在的问题及原因分析</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_GB2312"/>
          <w:b w:val="0"/>
          <w:bCs/>
          <w:kern w:val="2"/>
          <w:sz w:val="28"/>
          <w:szCs w:val="28"/>
          <w:lang w:val="en-US" w:eastAsia="zh-CN" w:bidi="ar-SA"/>
        </w:rPr>
      </w:pPr>
      <w:r>
        <w:rPr>
          <w:rFonts w:hint="eastAsia" w:ascii="仿宋" w:hAnsi="仿宋" w:eastAsia="仿宋" w:cs="仿宋_GB2312"/>
          <w:b w:val="0"/>
          <w:bCs/>
          <w:sz w:val="28"/>
          <w:szCs w:val="28"/>
          <w:lang w:val="en-US" w:eastAsia="zh-CN"/>
        </w:rPr>
        <w:t>华容县纪委监委留置专项经费预算</w:t>
      </w:r>
      <w:r>
        <w:rPr>
          <w:rFonts w:hint="default" w:ascii="仿宋" w:hAnsi="仿宋" w:eastAsia="仿宋" w:cs="仿宋_GB2312"/>
          <w:b w:val="0"/>
          <w:bCs/>
          <w:sz w:val="28"/>
          <w:szCs w:val="28"/>
          <w:lang w:val="en-US" w:eastAsia="zh-CN"/>
        </w:rPr>
        <w:t>科学、合理、实事求是</w:t>
      </w:r>
      <w:r>
        <w:rPr>
          <w:rFonts w:hint="eastAsia" w:ascii="仿宋" w:hAnsi="仿宋" w:eastAsia="仿宋" w:cs="仿宋_GB2312"/>
          <w:b w:val="0"/>
          <w:bCs/>
          <w:sz w:val="28"/>
          <w:szCs w:val="28"/>
          <w:lang w:val="en-US" w:eastAsia="zh-CN"/>
        </w:rPr>
        <w:t>，项目资金专款专用，每笔资金的拨付都严格遵守审批程序，不存在</w:t>
      </w:r>
      <w:r>
        <w:rPr>
          <w:rFonts w:hint="default" w:ascii="仿宋" w:hAnsi="仿宋" w:eastAsia="仿宋" w:cs="仿宋_GB2312"/>
          <w:b w:val="0"/>
          <w:bCs/>
          <w:sz w:val="28"/>
          <w:szCs w:val="28"/>
          <w:lang w:val="en-US" w:eastAsia="zh-CN"/>
        </w:rPr>
        <w:t>挤占、挪用，浪费等情况，在整个项目执行过程中没有发现违规、违纪现象。</w:t>
      </w:r>
      <w:r>
        <w:rPr>
          <w:rFonts w:hint="eastAsia" w:ascii="仿宋" w:hAnsi="仿宋" w:eastAsia="仿宋" w:cs="仿宋_GB2312"/>
          <w:b w:val="0"/>
          <w:bCs/>
          <w:sz w:val="28"/>
          <w:szCs w:val="28"/>
          <w:lang w:val="en-US" w:eastAsia="zh-CN"/>
        </w:rPr>
        <w:t>但项目绩效评价工作部署、执行等总体工作离上级要求还有差距，原因主要是</w:t>
      </w:r>
      <w:r>
        <w:rPr>
          <w:rFonts w:hint="default" w:ascii="仿宋" w:hAnsi="仿宋" w:eastAsia="仿宋" w:cs="仿宋_GB2312"/>
          <w:b w:val="0"/>
          <w:bCs/>
          <w:sz w:val="28"/>
          <w:szCs w:val="28"/>
          <w:lang w:val="en-US" w:eastAsia="zh-CN"/>
        </w:rPr>
        <w:t>单位前期项目</w:t>
      </w:r>
      <w:r>
        <w:rPr>
          <w:rFonts w:hint="eastAsia" w:ascii="仿宋" w:hAnsi="仿宋" w:eastAsia="仿宋" w:cs="仿宋_GB2312"/>
          <w:b w:val="0"/>
          <w:bCs/>
          <w:sz w:val="28"/>
          <w:szCs w:val="28"/>
          <w:lang w:val="en-US" w:eastAsia="zh-CN"/>
        </w:rPr>
        <w:t>预算</w:t>
      </w:r>
      <w:r>
        <w:rPr>
          <w:rFonts w:hint="default" w:ascii="仿宋" w:hAnsi="仿宋" w:eastAsia="仿宋" w:cs="仿宋_GB2312"/>
          <w:b w:val="0"/>
          <w:bCs/>
          <w:sz w:val="28"/>
          <w:szCs w:val="28"/>
          <w:lang w:val="en-US" w:eastAsia="zh-CN"/>
        </w:rPr>
        <w:t>编制</w:t>
      </w:r>
      <w:r>
        <w:rPr>
          <w:rFonts w:hint="eastAsia" w:ascii="仿宋" w:hAnsi="仿宋" w:eastAsia="仿宋" w:cs="仿宋_GB2312"/>
          <w:b w:val="0"/>
          <w:bCs/>
          <w:sz w:val="28"/>
          <w:szCs w:val="28"/>
          <w:lang w:val="en-US" w:eastAsia="zh-CN"/>
        </w:rPr>
        <w:t>绩效目标</w:t>
      </w:r>
      <w:r>
        <w:rPr>
          <w:rFonts w:hint="default" w:ascii="仿宋" w:hAnsi="仿宋" w:eastAsia="仿宋" w:cs="仿宋_GB2312"/>
          <w:b w:val="0"/>
          <w:bCs/>
          <w:sz w:val="28"/>
          <w:szCs w:val="28"/>
          <w:lang w:val="en-US" w:eastAsia="zh-CN"/>
        </w:rPr>
        <w:t>工作精细化有待提高，指标设定合理性不够。</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高级黑" w:hAnsi="高级黑" w:eastAsia="高级黑" w:cs="高级黑"/>
          <w:sz w:val="30"/>
          <w:szCs w:val="30"/>
          <w:lang w:val="en-US" w:eastAsia="zh-CN"/>
        </w:rPr>
      </w:pPr>
      <w:r>
        <w:rPr>
          <w:rFonts w:hint="eastAsia" w:ascii="高级黑" w:hAnsi="高级黑" w:eastAsia="高级黑" w:cs="高级黑"/>
          <w:sz w:val="30"/>
          <w:szCs w:val="30"/>
          <w:lang w:eastAsia="zh-CN"/>
        </w:rPr>
        <w:t>六</w:t>
      </w:r>
      <w:r>
        <w:rPr>
          <w:rFonts w:hint="eastAsia" w:ascii="高级黑" w:hAnsi="高级黑" w:eastAsia="高级黑" w:cs="高级黑"/>
          <w:sz w:val="30"/>
          <w:szCs w:val="30"/>
        </w:rPr>
        <w:t>、其他需要说明的问题</w:t>
      </w:r>
    </w:p>
    <w:p>
      <w:pPr>
        <w:pStyle w:val="2"/>
        <w:keepNext w:val="0"/>
        <w:keepLines w:val="0"/>
        <w:pageBreakBefore w:val="0"/>
        <w:numPr>
          <w:ilvl w:val="0"/>
          <w:numId w:val="0"/>
        </w:numPr>
        <w:kinsoku/>
        <w:wordWrap/>
        <w:overflowPunct/>
        <w:topLinePunct w:val="0"/>
        <w:autoSpaceDE/>
        <w:autoSpaceDN/>
        <w:bidi w:val="0"/>
        <w:adjustRightInd/>
        <w:snapToGrid/>
        <w:ind w:leftChars="0" w:firstLine="560" w:firstLineChars="200"/>
        <w:textAlignment w:val="auto"/>
        <w:rPr>
          <w:rFonts w:hint="eastAsia" w:ascii="仿宋" w:hAnsi="仿宋" w:eastAsia="仿宋" w:cs="仿宋_GB2312"/>
          <w:b w:val="0"/>
          <w:bCs/>
          <w:kern w:val="2"/>
          <w:sz w:val="28"/>
          <w:szCs w:val="28"/>
          <w:lang w:val="en-US" w:eastAsia="zh-CN" w:bidi="ar-SA"/>
        </w:rPr>
      </w:pPr>
      <w:r>
        <w:rPr>
          <w:rFonts w:hint="eastAsia" w:ascii="仿宋" w:hAnsi="仿宋" w:eastAsia="仿宋" w:cs="仿宋_GB2312"/>
          <w:b w:val="0"/>
          <w:bCs/>
          <w:kern w:val="2"/>
          <w:sz w:val="28"/>
          <w:szCs w:val="28"/>
          <w:lang w:val="en-US" w:eastAsia="zh-CN" w:bidi="ar-SA"/>
        </w:rPr>
        <w:t>无。</w:t>
      </w:r>
    </w:p>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54FA4E2-024A-4323-9144-EAC5A35D528A}"/>
  </w:font>
  <w:font w:name="Arial">
    <w:panose1 w:val="020B0604020202020204"/>
    <w:charset w:val="01"/>
    <w:family w:val="swiss"/>
    <w:pitch w:val="default"/>
    <w:sig w:usb0="E0002AFF" w:usb1="C0007843" w:usb2="00000009" w:usb3="00000000" w:csb0="400001FF" w:csb1="FFFF0000"/>
    <w:embedRegular r:id="rId2" w:fontKey="{C1385F7B-4627-47D7-ADCE-B10490243EC7}"/>
  </w:font>
  <w:font w:name="黑体">
    <w:altName w:val="hakuyoxingshu7000"/>
    <w:panose1 w:val="02010609060101010101"/>
    <w:charset w:val="86"/>
    <w:family w:val="auto"/>
    <w:pitch w:val="default"/>
    <w:sig w:usb0="800002BF" w:usb1="38CF7CFA" w:usb2="00000016" w:usb3="00000000" w:csb0="00040001" w:csb1="00000000"/>
    <w:embedRegular r:id="rId3" w:fontKey="{B4E73169-D83E-4403-A7EF-FF69BDC31D05}"/>
  </w:font>
  <w:font w:name="Courier New">
    <w:panose1 w:val="02070309020205020404"/>
    <w:charset w:val="01"/>
    <w:family w:val="modern"/>
    <w:pitch w:val="default"/>
    <w:sig w:usb0="E0002AFF" w:usb1="C0007843" w:usb2="00000009" w:usb3="00000000" w:csb0="400001FF" w:csb1="FFFF0000"/>
    <w:embedRegular r:id="rId4" w:fontKey="{2CC8C6FF-F7DF-4157-ACE8-9BAEA911D8A7}"/>
  </w:font>
  <w:font w:name="Symbol">
    <w:panose1 w:val="05050102010706020507"/>
    <w:charset w:val="02"/>
    <w:family w:val="roman"/>
    <w:pitch w:val="default"/>
    <w:sig w:usb0="00000000" w:usb1="00000000" w:usb2="00000000" w:usb3="00000000" w:csb0="80000000" w:csb1="00000000"/>
    <w:embedRegular r:id="rId5" w:fontKey="{DC7E1E7F-1A45-4F8E-B23C-576277C2A72D}"/>
  </w:font>
  <w:font w:name="Calibri">
    <w:panose1 w:val="020F0502020204030204"/>
    <w:charset w:val="00"/>
    <w:family w:val="swiss"/>
    <w:pitch w:val="default"/>
    <w:sig w:usb0="E00002FF" w:usb1="4000ACFF" w:usb2="00000001" w:usb3="00000000" w:csb0="2000019F" w:csb1="00000000"/>
    <w:embedRegular r:id="rId6" w:fontKey="{E2A21305-D737-4D39-B7E8-58D96197AFFA}"/>
  </w:font>
  <w:font w:name="方正小标宋简体">
    <w:panose1 w:val="02000000000000000000"/>
    <w:charset w:val="86"/>
    <w:family w:val="auto"/>
    <w:pitch w:val="default"/>
    <w:sig w:usb0="00000001" w:usb1="08000000" w:usb2="00000000" w:usb3="00000000" w:csb0="00040000" w:csb1="00000000"/>
    <w:embedRegular r:id="rId7" w:fontKey="{60893060-23A5-463B-BEBC-9BB0A003F270}"/>
  </w:font>
  <w:font w:name="新宋体">
    <w:panose1 w:val="02010609030101010101"/>
    <w:charset w:val="86"/>
    <w:family w:val="auto"/>
    <w:pitch w:val="default"/>
    <w:sig w:usb0="00000003" w:usb1="288F0000" w:usb2="00000006" w:usb3="00000000" w:csb0="00040001" w:csb1="00000000"/>
    <w:embedRegular r:id="rId8" w:fontKey="{B990EAAF-177D-480B-932B-2049D7E4DE45}"/>
  </w:font>
  <w:font w:name="仿宋_GB2312">
    <w:panose1 w:val="02010609030101010101"/>
    <w:charset w:val="86"/>
    <w:family w:val="auto"/>
    <w:pitch w:val="default"/>
    <w:sig w:usb0="00000001" w:usb1="080E0000" w:usb2="00000000" w:usb3="00000000" w:csb0="00040000" w:csb1="00000000"/>
    <w:embedRegular r:id="rId9" w:fontKey="{87DA2BF2-20EB-4019-89E7-B337990B08F7}"/>
  </w:font>
  <w:font w:name="仿宋">
    <w:panose1 w:val="02010609060101010101"/>
    <w:charset w:val="86"/>
    <w:family w:val="auto"/>
    <w:pitch w:val="default"/>
    <w:sig w:usb0="800002BF" w:usb1="38CF7CFA" w:usb2="00000016" w:usb3="00000000" w:csb0="00040001" w:csb1="00000000"/>
    <w:embedRegular r:id="rId10" w:fontKey="{F3DF8691-6E03-4AE8-9B12-BEF30D63D3B6}"/>
  </w:font>
  <w:font w:name="方正小标宋_GBK">
    <w:panose1 w:val="02000000000000000000"/>
    <w:charset w:val="86"/>
    <w:family w:val="script"/>
    <w:pitch w:val="default"/>
    <w:sig w:usb0="A00002BF" w:usb1="38CF7CFA" w:usb2="00082016" w:usb3="00000000" w:csb0="00040001" w:csb1="00000000"/>
    <w:embedRegular r:id="rId11" w:fontKey="{35CCE5F5-CFDB-4F6A-BD69-074EA213149F}"/>
  </w:font>
  <w:font w:name="楷体_GB2312">
    <w:panose1 w:val="02010609030101010101"/>
    <w:charset w:val="86"/>
    <w:family w:val="auto"/>
    <w:pitch w:val="default"/>
    <w:sig w:usb0="00000001" w:usb1="080E0000" w:usb2="00000000" w:usb3="00000000" w:csb0="00040000" w:csb1="00000000"/>
    <w:embedRegular r:id="rId12" w:fontKey="{49D2FCBC-A247-4CB5-BFD7-248BA0852E3C}"/>
  </w:font>
  <w:font w:name="高级黑">
    <w:panose1 w:val="02010600010101010101"/>
    <w:charset w:val="86"/>
    <w:family w:val="auto"/>
    <w:pitch w:val="default"/>
    <w:sig w:usb0="800002BF" w:usb1="78CF6CFB" w:usb2="00000012" w:usb3="00000000" w:csb0="00040001" w:csb1="00000000"/>
    <w:embedRegular r:id="rId13" w:fontKey="{4A7E8351-E385-46B7-943C-CA59FB461F87}"/>
  </w:font>
  <w:font w:name="hakuyoxingshu7000">
    <w:panose1 w:val="02000600000000000000"/>
    <w:charset w:val="86"/>
    <w:family w:val="auto"/>
    <w:pitch w:val="default"/>
    <w:sig w:usb0="FFFFFFFF" w:usb1="E9FFFFFF" w:usb2="0000003F" w:usb3="00000000" w:csb0="603F00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仿宋_GB2312" w:eastAsia="仿宋_GB2312"/>
        <w:sz w:val="28"/>
        <w:szCs w:val="2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B0E180"/>
    <w:multiLevelType w:val="singleLevel"/>
    <w:tmpl w:val="B5B0E180"/>
    <w:lvl w:ilvl="0" w:tentative="0">
      <w:start w:val="6"/>
      <w:numFmt w:val="chineseCounting"/>
      <w:suff w:val="nothing"/>
      <w:lvlText w:val="%1、"/>
      <w:lvlJc w:val="left"/>
      <w:rPr>
        <w:rFonts w:hint="eastAsia"/>
      </w:rPr>
    </w:lvl>
  </w:abstractNum>
  <w:abstractNum w:abstractNumId="1">
    <w:nsid w:val="14E436AB"/>
    <w:multiLevelType w:val="singleLevel"/>
    <w:tmpl w:val="14E436AB"/>
    <w:lvl w:ilvl="0" w:tentative="0">
      <w:start w:val="1"/>
      <w:numFmt w:val="decimal"/>
      <w:pStyle w:val="2"/>
      <w:lvlText w:val="%1."/>
      <w:lvlJc w:val="left"/>
      <w:pPr>
        <w:tabs>
          <w:tab w:val="left" w:pos="360"/>
        </w:tabs>
        <w:ind w:left="360" w:hanging="360"/>
      </w:pPr>
    </w:lvl>
  </w:abstractNum>
  <w:abstractNum w:abstractNumId="2">
    <w:nsid w:val="698E6F78"/>
    <w:multiLevelType w:val="singleLevel"/>
    <w:tmpl w:val="698E6F78"/>
    <w:lvl w:ilvl="0" w:tentative="0">
      <w:start w:val="1"/>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UzZDU5OWIzMDExZDRiOWYxZGQ2ZTRkZjcwOGFlMTQifQ=="/>
  </w:docVars>
  <w:rsids>
    <w:rsidRoot w:val="0CCB7736"/>
    <w:rsid w:val="00047FEF"/>
    <w:rsid w:val="000A3906"/>
    <w:rsid w:val="001776F1"/>
    <w:rsid w:val="002B49EE"/>
    <w:rsid w:val="006F0A16"/>
    <w:rsid w:val="00773328"/>
    <w:rsid w:val="00821883"/>
    <w:rsid w:val="00917857"/>
    <w:rsid w:val="00A755C2"/>
    <w:rsid w:val="016A347B"/>
    <w:rsid w:val="01B446F6"/>
    <w:rsid w:val="02B50488"/>
    <w:rsid w:val="0338470A"/>
    <w:rsid w:val="034822A9"/>
    <w:rsid w:val="03D86621"/>
    <w:rsid w:val="04EE6171"/>
    <w:rsid w:val="05395EA9"/>
    <w:rsid w:val="06BC49F8"/>
    <w:rsid w:val="07EC2E3C"/>
    <w:rsid w:val="09513E3D"/>
    <w:rsid w:val="09EF09C1"/>
    <w:rsid w:val="09EF6941"/>
    <w:rsid w:val="0ABD557B"/>
    <w:rsid w:val="0BBB5A8D"/>
    <w:rsid w:val="0C104906"/>
    <w:rsid w:val="0CCB7736"/>
    <w:rsid w:val="0CE71E24"/>
    <w:rsid w:val="0D9E0E8D"/>
    <w:rsid w:val="0DD71E98"/>
    <w:rsid w:val="0E5F5F62"/>
    <w:rsid w:val="0EAB7397"/>
    <w:rsid w:val="0EF755B3"/>
    <w:rsid w:val="0F0274E4"/>
    <w:rsid w:val="0F17035E"/>
    <w:rsid w:val="0F461BB7"/>
    <w:rsid w:val="0F4E168D"/>
    <w:rsid w:val="10E613F3"/>
    <w:rsid w:val="11404466"/>
    <w:rsid w:val="11963ADD"/>
    <w:rsid w:val="11EB0F5C"/>
    <w:rsid w:val="11F20483"/>
    <w:rsid w:val="12E17C5D"/>
    <w:rsid w:val="131D1B36"/>
    <w:rsid w:val="136F31F8"/>
    <w:rsid w:val="138750E0"/>
    <w:rsid w:val="15032603"/>
    <w:rsid w:val="155913E5"/>
    <w:rsid w:val="15A620D3"/>
    <w:rsid w:val="161F15F0"/>
    <w:rsid w:val="16A3369E"/>
    <w:rsid w:val="17092996"/>
    <w:rsid w:val="178536BD"/>
    <w:rsid w:val="17B202CC"/>
    <w:rsid w:val="1890044B"/>
    <w:rsid w:val="19516372"/>
    <w:rsid w:val="19575CC2"/>
    <w:rsid w:val="19A80228"/>
    <w:rsid w:val="1A101464"/>
    <w:rsid w:val="1AB74849"/>
    <w:rsid w:val="1AC52FF2"/>
    <w:rsid w:val="1AE6175D"/>
    <w:rsid w:val="1B4346C9"/>
    <w:rsid w:val="1B742AA7"/>
    <w:rsid w:val="1BC3580A"/>
    <w:rsid w:val="1C40720A"/>
    <w:rsid w:val="1CA34935"/>
    <w:rsid w:val="1D4604A0"/>
    <w:rsid w:val="1D5A640E"/>
    <w:rsid w:val="1DC55869"/>
    <w:rsid w:val="1F282554"/>
    <w:rsid w:val="1F7640EC"/>
    <w:rsid w:val="1F7A2507"/>
    <w:rsid w:val="1F841754"/>
    <w:rsid w:val="209D487B"/>
    <w:rsid w:val="20D76C5F"/>
    <w:rsid w:val="21057490"/>
    <w:rsid w:val="214A230E"/>
    <w:rsid w:val="21B052C4"/>
    <w:rsid w:val="22FF5445"/>
    <w:rsid w:val="238D0E57"/>
    <w:rsid w:val="23DE7685"/>
    <w:rsid w:val="24256710"/>
    <w:rsid w:val="249B079E"/>
    <w:rsid w:val="249E6619"/>
    <w:rsid w:val="251E7983"/>
    <w:rsid w:val="25D54AB7"/>
    <w:rsid w:val="260D5D83"/>
    <w:rsid w:val="284A2254"/>
    <w:rsid w:val="292F1467"/>
    <w:rsid w:val="29786927"/>
    <w:rsid w:val="297B51B4"/>
    <w:rsid w:val="29A9603F"/>
    <w:rsid w:val="29E40467"/>
    <w:rsid w:val="29F527E2"/>
    <w:rsid w:val="2BD01342"/>
    <w:rsid w:val="2BF35971"/>
    <w:rsid w:val="2C487650"/>
    <w:rsid w:val="2C7212B2"/>
    <w:rsid w:val="2D3E1A59"/>
    <w:rsid w:val="2E4F43C0"/>
    <w:rsid w:val="2EC7368E"/>
    <w:rsid w:val="305D5DD5"/>
    <w:rsid w:val="30FB4B41"/>
    <w:rsid w:val="31621165"/>
    <w:rsid w:val="323C5548"/>
    <w:rsid w:val="32E02BCB"/>
    <w:rsid w:val="336A2CE3"/>
    <w:rsid w:val="33837901"/>
    <w:rsid w:val="3589141A"/>
    <w:rsid w:val="35EF5721"/>
    <w:rsid w:val="369F0246"/>
    <w:rsid w:val="37450F88"/>
    <w:rsid w:val="37764372"/>
    <w:rsid w:val="37D6106F"/>
    <w:rsid w:val="37F605EC"/>
    <w:rsid w:val="38055D99"/>
    <w:rsid w:val="38545D10"/>
    <w:rsid w:val="38A87E0A"/>
    <w:rsid w:val="38AA5938"/>
    <w:rsid w:val="38D806EF"/>
    <w:rsid w:val="38F862EB"/>
    <w:rsid w:val="39343807"/>
    <w:rsid w:val="39887BBC"/>
    <w:rsid w:val="3A53023B"/>
    <w:rsid w:val="3A6164C2"/>
    <w:rsid w:val="3AF42D2D"/>
    <w:rsid w:val="3B3A041F"/>
    <w:rsid w:val="3B497617"/>
    <w:rsid w:val="3BAE6BF9"/>
    <w:rsid w:val="3CCA47F2"/>
    <w:rsid w:val="3CDE0708"/>
    <w:rsid w:val="3D1B73AB"/>
    <w:rsid w:val="3D5877DF"/>
    <w:rsid w:val="3D912D0A"/>
    <w:rsid w:val="3DC55CAA"/>
    <w:rsid w:val="3DD556CA"/>
    <w:rsid w:val="3F450429"/>
    <w:rsid w:val="40226C80"/>
    <w:rsid w:val="40C451A5"/>
    <w:rsid w:val="4156470B"/>
    <w:rsid w:val="41742F7F"/>
    <w:rsid w:val="41943ACE"/>
    <w:rsid w:val="425D4066"/>
    <w:rsid w:val="42C56017"/>
    <w:rsid w:val="43173FD4"/>
    <w:rsid w:val="43DD0745"/>
    <w:rsid w:val="44143822"/>
    <w:rsid w:val="44654A12"/>
    <w:rsid w:val="457C5F26"/>
    <w:rsid w:val="45D4223E"/>
    <w:rsid w:val="471C758C"/>
    <w:rsid w:val="483B47F6"/>
    <w:rsid w:val="49416D3B"/>
    <w:rsid w:val="49CF255F"/>
    <w:rsid w:val="4A3C55BC"/>
    <w:rsid w:val="4B1732F9"/>
    <w:rsid w:val="4B2C5DCD"/>
    <w:rsid w:val="4B666F41"/>
    <w:rsid w:val="4B7D1173"/>
    <w:rsid w:val="4BEB7E9C"/>
    <w:rsid w:val="4C150E22"/>
    <w:rsid w:val="4C6A38FC"/>
    <w:rsid w:val="4CE74BC3"/>
    <w:rsid w:val="4CF5000E"/>
    <w:rsid w:val="4DB17672"/>
    <w:rsid w:val="4DEE6977"/>
    <w:rsid w:val="4E323FA5"/>
    <w:rsid w:val="4E9E788D"/>
    <w:rsid w:val="4EB62E28"/>
    <w:rsid w:val="4F786330"/>
    <w:rsid w:val="4FDB014C"/>
    <w:rsid w:val="50010670"/>
    <w:rsid w:val="5023629C"/>
    <w:rsid w:val="50AC44C4"/>
    <w:rsid w:val="50EA6DB9"/>
    <w:rsid w:val="515D3A2F"/>
    <w:rsid w:val="51CA7471"/>
    <w:rsid w:val="521C2FA3"/>
    <w:rsid w:val="522529B2"/>
    <w:rsid w:val="52A336C4"/>
    <w:rsid w:val="530776F6"/>
    <w:rsid w:val="533802B0"/>
    <w:rsid w:val="53910AF4"/>
    <w:rsid w:val="547A0454"/>
    <w:rsid w:val="555952B3"/>
    <w:rsid w:val="556B5A36"/>
    <w:rsid w:val="558B3766"/>
    <w:rsid w:val="55AF40BB"/>
    <w:rsid w:val="568B176A"/>
    <w:rsid w:val="56BC4D45"/>
    <w:rsid w:val="56CB31E9"/>
    <w:rsid w:val="56F72F7C"/>
    <w:rsid w:val="5822724B"/>
    <w:rsid w:val="5829466B"/>
    <w:rsid w:val="586243BF"/>
    <w:rsid w:val="58FD3402"/>
    <w:rsid w:val="5AAF7799"/>
    <w:rsid w:val="5B5C1753"/>
    <w:rsid w:val="5C3A6E47"/>
    <w:rsid w:val="5CCD7CBB"/>
    <w:rsid w:val="5E134100"/>
    <w:rsid w:val="5F7A1C50"/>
    <w:rsid w:val="5FBC4443"/>
    <w:rsid w:val="601C4AB5"/>
    <w:rsid w:val="607466A0"/>
    <w:rsid w:val="60BE691E"/>
    <w:rsid w:val="6105554A"/>
    <w:rsid w:val="61444403"/>
    <w:rsid w:val="617050B9"/>
    <w:rsid w:val="61993CED"/>
    <w:rsid w:val="62265BDF"/>
    <w:rsid w:val="62E1699A"/>
    <w:rsid w:val="6410048D"/>
    <w:rsid w:val="64147F0D"/>
    <w:rsid w:val="64D66362"/>
    <w:rsid w:val="65860217"/>
    <w:rsid w:val="658729D1"/>
    <w:rsid w:val="667E0AA1"/>
    <w:rsid w:val="677D0530"/>
    <w:rsid w:val="68FB17C3"/>
    <w:rsid w:val="695F12F9"/>
    <w:rsid w:val="69636C3A"/>
    <w:rsid w:val="69CF7B2C"/>
    <w:rsid w:val="69D63F27"/>
    <w:rsid w:val="6A0B0004"/>
    <w:rsid w:val="6B0A032C"/>
    <w:rsid w:val="6B6F4633"/>
    <w:rsid w:val="6BA1010E"/>
    <w:rsid w:val="6C70478B"/>
    <w:rsid w:val="6CE47E41"/>
    <w:rsid w:val="6CED5810"/>
    <w:rsid w:val="6CF92413"/>
    <w:rsid w:val="6D5C2995"/>
    <w:rsid w:val="6DFE5E04"/>
    <w:rsid w:val="6E010A7F"/>
    <w:rsid w:val="6E87203D"/>
    <w:rsid w:val="6EF47119"/>
    <w:rsid w:val="6F802AE9"/>
    <w:rsid w:val="6F9278BB"/>
    <w:rsid w:val="70141305"/>
    <w:rsid w:val="708E73B5"/>
    <w:rsid w:val="71572F19"/>
    <w:rsid w:val="719B7427"/>
    <w:rsid w:val="724A6793"/>
    <w:rsid w:val="741F26FA"/>
    <w:rsid w:val="74470DF8"/>
    <w:rsid w:val="75FD1676"/>
    <w:rsid w:val="763E532E"/>
    <w:rsid w:val="770B16B4"/>
    <w:rsid w:val="78177BE5"/>
    <w:rsid w:val="789E0306"/>
    <w:rsid w:val="78B25122"/>
    <w:rsid w:val="799536BA"/>
    <w:rsid w:val="7B170752"/>
    <w:rsid w:val="7B8F681B"/>
    <w:rsid w:val="7C335B9A"/>
    <w:rsid w:val="7CB96B6B"/>
    <w:rsid w:val="7CCA3477"/>
    <w:rsid w:val="7DD96C0E"/>
    <w:rsid w:val="7E474F7B"/>
    <w:rsid w:val="7E8F7AC1"/>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0"/>
    <w:pPr>
      <w:keepNext/>
      <w:keepLines/>
      <w:outlineLvl w:val="0"/>
    </w:pPr>
    <w:rPr>
      <w:rFonts w:eastAsia="黑体"/>
      <w:bCs/>
      <w:kern w:val="44"/>
      <w:szCs w:val="44"/>
    </w:rPr>
  </w:style>
  <w:style w:type="character" w:default="1" w:styleId="10">
    <w:name w:val="Default Paragraph Font"/>
    <w:semiHidden/>
    <w:qFormat/>
    <w:uiPriority w:val="99"/>
  </w:style>
  <w:style w:type="table" w:default="1" w:styleId="8">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2">
    <w:name w:val="List Number"/>
    <w:basedOn w:val="1"/>
    <w:semiHidden/>
    <w:unhideWhenUsed/>
    <w:qFormat/>
    <w:uiPriority w:val="99"/>
    <w:pPr>
      <w:numPr>
        <w:ilvl w:val="0"/>
        <w:numId w:val="1"/>
      </w:numPr>
    </w:pPr>
  </w:style>
  <w:style w:type="paragraph" w:styleId="4">
    <w:name w:val="footer"/>
    <w:basedOn w:val="1"/>
    <w:link w:val="12"/>
    <w:qFormat/>
    <w:uiPriority w:val="99"/>
    <w:pPr>
      <w:tabs>
        <w:tab w:val="center" w:pos="4153"/>
        <w:tab w:val="right" w:pos="8306"/>
      </w:tabs>
      <w:snapToGrid w:val="0"/>
      <w:jc w:val="left"/>
    </w:pPr>
    <w:rPr>
      <w:sz w:val="18"/>
      <w:szCs w:val="18"/>
    </w:rPr>
  </w:style>
  <w:style w:type="paragraph" w:styleId="5">
    <w:name w:val="header"/>
    <w:basedOn w:val="1"/>
    <w:link w:val="13"/>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footnote text"/>
    <w:basedOn w:val="1"/>
    <w:next w:val="1"/>
    <w:qFormat/>
    <w:uiPriority w:val="0"/>
    <w:pPr>
      <w:snapToGrid w:val="0"/>
      <w:jc w:val="left"/>
    </w:pPr>
    <w:rPr>
      <w:sz w:val="18"/>
      <w:szCs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
    </w:rPr>
  </w:style>
  <w:style w:type="table" w:styleId="9">
    <w:name w:val="Table Grid"/>
    <w:basedOn w:val="8"/>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page number"/>
    <w:basedOn w:val="10"/>
    <w:qFormat/>
    <w:uiPriority w:val="99"/>
    <w:rPr>
      <w:rFonts w:cs="Times New Roman"/>
    </w:rPr>
  </w:style>
  <w:style w:type="character" w:customStyle="1" w:styleId="12">
    <w:name w:val="Footer Char"/>
    <w:basedOn w:val="10"/>
    <w:link w:val="4"/>
    <w:semiHidden/>
    <w:qFormat/>
    <w:uiPriority w:val="99"/>
    <w:rPr>
      <w:sz w:val="18"/>
      <w:szCs w:val="18"/>
    </w:rPr>
  </w:style>
  <w:style w:type="character" w:customStyle="1" w:styleId="13">
    <w:name w:val="Header Char"/>
    <w:basedOn w:val="10"/>
    <w:link w:val="5"/>
    <w:semiHidden/>
    <w:qFormat/>
    <w:uiPriority w:val="99"/>
    <w:rPr>
      <w:sz w:val="18"/>
      <w:szCs w:val="18"/>
    </w:rPr>
  </w:style>
  <w:style w:type="paragraph" w:styleId="14">
    <w:name w:val="List Paragraph"/>
    <w:basedOn w:val="1"/>
    <w:qFormat/>
    <w:uiPriority w:val="99"/>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Normal_Wordconv</Template>
  <Pages>19</Pages>
  <Words>9048</Words>
  <Characters>9829</Characters>
  <Lines>0</Lines>
  <Paragraphs>0</Paragraphs>
  <TotalTime>23</TotalTime>
  <ScaleCrop>false</ScaleCrop>
  <LinksUpToDate>false</LinksUpToDate>
  <CharactersWithSpaces>9984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2020-06-04T01:07:00Z</dcterms:created>
  <dc:creator>Administrator</dc:creator>
  <cp:lastModifiedBy>陈璨</cp:lastModifiedBy>
  <cp:lastPrinted>2023-07-17T09:40:25Z</cp:lastPrinted>
  <dcterms:modified xsi:type="dcterms:W3CDTF">2023-07-17T09:41:40Z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386772509_embed</vt:lpwstr>
  </property>
  <property fmtid="{D5CDD505-2E9C-101B-9397-08002B2CF9AE}" pid="4" name="ICV">
    <vt:lpwstr>BCEA63DAF624456AADE85B6B06C14A45_13</vt:lpwstr>
  </property>
</Properties>
</file>