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4"/>
        <w:tblW w:w="4998" w:type="pct"/>
        <w:jc w:val="center"/>
        <w:tblLayout w:type="autofit"/>
        <w:tblCellMar>
          <w:top w:w="0" w:type="dxa"/>
          <w:left w:w="108" w:type="dxa"/>
          <w:bottom w:w="0" w:type="dxa"/>
          <w:right w:w="108" w:type="dxa"/>
        </w:tblCellMar>
      </w:tblPr>
      <w:tblGrid>
        <w:gridCol w:w="3218"/>
        <w:gridCol w:w="1956"/>
        <w:gridCol w:w="2437"/>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c>
          <w:tcPr>
            <w:tcW w:w="90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214.43</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214.43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0.27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0.27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lang w:eastAsia="zh-CN"/>
              </w:rPr>
              <w:t>县级</w:t>
            </w:r>
            <w:r>
              <w:rPr>
                <w:rFonts w:hint="eastAsia" w:ascii="新宋体" w:hAnsi="新宋体" w:eastAsia="新宋体" w:cs="新宋体"/>
                <w:sz w:val="21"/>
                <w:szCs w:val="21"/>
              </w:rPr>
              <w:t>专项资金</w:t>
            </w:r>
          </w:p>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（一个专项一行）</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.XX项目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3.XX项目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w:t>
      </w:r>
      <w:r>
        <w:rPr>
          <w:rFonts w:hint="eastAsia" w:eastAsia="仿宋_GB2312" w:cs="Times New Roman"/>
          <w:sz w:val="22"/>
          <w:lang w:eastAsia="zh-CN"/>
        </w:rPr>
        <w:t>呙铭</w:t>
      </w:r>
      <w:r>
        <w:rPr>
          <w:rFonts w:hint="default" w:ascii="Times New Roman" w:hAnsi="Times New Roman" w:eastAsia="仿宋_GB2312" w:cs="Times New Roman"/>
          <w:sz w:val="22"/>
        </w:rPr>
        <w:t xml:space="preserve">   填报日期：</w:t>
      </w:r>
      <w:r>
        <w:rPr>
          <w:rFonts w:hint="eastAsia" w:eastAsia="仿宋_GB2312" w:cs="Times New Roman"/>
          <w:sz w:val="22"/>
          <w:lang w:val="en-US" w:eastAsia="zh-CN"/>
        </w:rPr>
        <w:t>2023年7月</w:t>
      </w:r>
      <w:r>
        <w:rPr>
          <w:rFonts w:hint="default" w:ascii="Times New Roman" w:hAnsi="Times New Roman" w:eastAsia="仿宋_GB2312" w:cs="Times New Roman"/>
          <w:sz w:val="22"/>
        </w:rPr>
        <w:t xml:space="preserve">  联系电话</w:t>
      </w:r>
      <w:r>
        <w:rPr>
          <w:rFonts w:hint="eastAsia" w:eastAsia="仿宋_GB2312" w:cs="Times New Roman"/>
          <w:sz w:val="22"/>
          <w:lang w:eastAsia="zh-CN"/>
        </w:rPr>
        <w:t>：</w:t>
      </w:r>
      <w:r>
        <w:rPr>
          <w:rFonts w:hint="eastAsia" w:eastAsia="仿宋_GB2312" w:cs="Times New Roman"/>
          <w:sz w:val="22"/>
          <w:lang w:val="en-US" w:eastAsia="zh-CN"/>
        </w:rPr>
        <w:t>15274093188</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4"/>
        <w:tblW w:w="4996" w:type="pct"/>
        <w:jc w:val="center"/>
        <w:tblLayout w:type="fixed"/>
        <w:tblCellMar>
          <w:top w:w="0" w:type="dxa"/>
          <w:left w:w="108" w:type="dxa"/>
          <w:bottom w:w="0" w:type="dxa"/>
          <w:right w:w="108" w:type="dxa"/>
        </w:tblCellMar>
      </w:tblPr>
      <w:tblGrid>
        <w:gridCol w:w="1093"/>
        <w:gridCol w:w="876"/>
        <w:gridCol w:w="867"/>
        <w:gridCol w:w="1054"/>
        <w:gridCol w:w="973"/>
        <w:gridCol w:w="2532"/>
        <w:gridCol w:w="588"/>
        <w:gridCol w:w="552"/>
        <w:gridCol w:w="746"/>
      </w:tblGrid>
      <w:tr>
        <w:tblPrEx>
          <w:tblCellMar>
            <w:top w:w="0" w:type="dxa"/>
            <w:left w:w="108" w:type="dxa"/>
            <w:bottom w:w="0" w:type="dxa"/>
            <w:right w:w="108" w:type="dxa"/>
          </w:tblCellMar>
        </w:tblPrEx>
        <w:trPr>
          <w:trHeight w:val="1003" w:hRule="atLeast"/>
          <w:jc w:val="center"/>
        </w:trPr>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11"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华容县财政国库集中支付中心</w:t>
            </w:r>
          </w:p>
        </w:tc>
      </w:tr>
      <w:tr>
        <w:tblPrEx>
          <w:tblCellMar>
            <w:top w:w="0" w:type="dxa"/>
            <w:left w:w="108" w:type="dxa"/>
            <w:bottom w:w="0" w:type="dxa"/>
            <w:right w:w="108" w:type="dxa"/>
          </w:tblCellMar>
        </w:tblPrEx>
        <w:trPr>
          <w:trHeight w:val="863" w:hRule="atLeast"/>
          <w:jc w:val="center"/>
        </w:trPr>
        <w:tc>
          <w:tcPr>
            <w:tcW w:w="588"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88"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163.68</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214.43</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214.43</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lang w:val="en-US" w:eastAsia="zh-CN"/>
              </w:rPr>
            </w:pPr>
            <w:r>
              <w:rPr>
                <w:rFonts w:hint="eastAsia" w:ascii="新宋体" w:hAnsi="新宋体" w:eastAsia="新宋体" w:cs="新宋体"/>
                <w:sz w:val="21"/>
                <w:szCs w:val="21"/>
                <w:lang w:val="en-US" w:eastAsia="zh-CN"/>
              </w:rPr>
              <w:t>100%</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03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38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03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214.43</w:t>
            </w:r>
          </w:p>
        </w:tc>
        <w:tc>
          <w:tcPr>
            <w:tcW w:w="238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214.43</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03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政府性基金拨款：</w:t>
            </w:r>
          </w:p>
        </w:tc>
        <w:tc>
          <w:tcPr>
            <w:tcW w:w="238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0</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03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38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03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38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8"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031"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380"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750" w:hRule="atLeast"/>
          <w:jc w:val="center"/>
        </w:trPr>
        <w:tc>
          <w:tcPr>
            <w:tcW w:w="58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031" w:type="pct"/>
            <w:gridSpan w:val="4"/>
            <w:tcBorders>
              <w:top w:val="single" w:color="auto" w:sz="4" w:space="0"/>
              <w:left w:val="nil"/>
              <w:bottom w:val="single" w:color="auto" w:sz="4" w:space="0"/>
              <w:right w:val="single" w:color="000000" w:sz="4" w:space="0"/>
            </w:tcBorders>
            <w:noWrap w:val="0"/>
            <w:vAlign w:val="center"/>
          </w:tcPr>
          <w:p>
            <w:pPr>
              <w:rPr>
                <w:rFonts w:hint="eastAsia" w:ascii="仿宋" w:hAnsi="仿宋" w:eastAsia="仿宋" w:cs="仿宋"/>
                <w:lang w:eastAsia="zh-CN"/>
              </w:rPr>
            </w:pPr>
            <w:r>
              <w:rPr>
                <w:rFonts w:hint="eastAsia" w:ascii="仿宋_GB2312" w:hAnsi="仿宋_GB2312" w:eastAsia="仿宋_GB2312" w:cs="仿宋_GB2312"/>
                <w:color w:val="000000"/>
                <w:sz w:val="24"/>
                <w:lang w:val="en-US" w:eastAsia="zh-CN"/>
              </w:rPr>
              <w:t>1：</w:t>
            </w:r>
            <w:r>
              <w:rPr>
                <w:rFonts w:hint="eastAsia" w:ascii="仿宋" w:hAnsi="仿宋" w:eastAsia="仿宋" w:cs="仿宋"/>
                <w:color w:val="000000"/>
                <w:sz w:val="21"/>
                <w:szCs w:val="21"/>
                <w:lang w:eastAsia="zh-CN"/>
              </w:rPr>
              <w:t>安全支付、</w:t>
            </w:r>
            <w:r>
              <w:rPr>
                <w:rFonts w:hint="eastAsia" w:ascii="仿宋" w:hAnsi="仿宋" w:eastAsia="仿宋" w:cs="仿宋"/>
              </w:rPr>
              <w:t>配合实施预算管理一体化改革积极服务预算单位</w:t>
            </w:r>
            <w:r>
              <w:rPr>
                <w:rFonts w:hint="eastAsia" w:ascii="仿宋" w:hAnsi="仿宋" w:eastAsia="仿宋" w:cs="仿宋"/>
                <w:lang w:eastAsia="zh-CN"/>
              </w:rPr>
              <w:t>。</w:t>
            </w: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color w:val="000000"/>
                <w:sz w:val="24"/>
              </w:rPr>
              <w:t>：</w:t>
            </w:r>
            <w:r>
              <w:rPr>
                <w:rFonts w:hint="eastAsia" w:ascii="仿宋" w:hAnsi="仿宋" w:eastAsia="仿宋" w:cs="仿宋"/>
              </w:rPr>
              <w:t>积极服务预算单位、服务预算执行</w:t>
            </w:r>
          </w:p>
          <w:p>
            <w:pPr>
              <w:rPr>
                <w:rFonts w:hint="eastAsia" w:ascii="仿宋" w:hAnsi="仿宋" w:eastAsia="仿宋" w:cs="仿宋"/>
                <w:lang w:eastAsia="zh-CN"/>
              </w:rPr>
            </w:pPr>
            <w:r>
              <w:rPr>
                <w:rFonts w:hint="eastAsia" w:ascii="仿宋" w:hAnsi="仿宋" w:eastAsia="仿宋" w:cs="仿宋"/>
                <w:lang w:val="en-US" w:eastAsia="zh-CN"/>
              </w:rPr>
              <w:t>3：</w:t>
            </w:r>
            <w:r>
              <w:rPr>
                <w:rFonts w:hint="eastAsia" w:ascii="仿宋" w:hAnsi="仿宋" w:eastAsia="仿宋" w:cs="仿宋"/>
              </w:rPr>
              <w:t>保障全县的工资</w:t>
            </w:r>
            <w:r>
              <w:rPr>
                <w:rFonts w:hint="eastAsia" w:ascii="仿宋" w:hAnsi="仿宋" w:eastAsia="仿宋" w:cs="仿宋"/>
                <w:lang w:eastAsia="zh-CN"/>
              </w:rPr>
              <w:t>真实</w:t>
            </w:r>
            <w:r>
              <w:rPr>
                <w:rFonts w:hint="eastAsia" w:ascii="仿宋" w:hAnsi="仿宋" w:eastAsia="仿宋" w:cs="仿宋"/>
              </w:rPr>
              <w:t>发放</w:t>
            </w:r>
            <w:r>
              <w:rPr>
                <w:rFonts w:hint="eastAsia" w:ascii="仿宋" w:hAnsi="仿宋" w:eastAsia="仿宋" w:cs="仿宋"/>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FFFFFF" w:themeColor="background1"/>
                <w:sz w:val="21"/>
                <w:szCs w:val="21"/>
                <w14:textFill>
                  <w14:solidFill>
                    <w14:schemeClr w14:val="bg1"/>
                  </w14:solidFill>
                </w14:textFill>
              </w:rPr>
            </w:pPr>
          </w:p>
        </w:tc>
        <w:tc>
          <w:tcPr>
            <w:tcW w:w="2380" w:type="pct"/>
            <w:gridSpan w:val="4"/>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1"/>
                <w:szCs w:val="21"/>
                <w:lang w:eastAsia="zh-CN"/>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4"/>
                <w:lang w:val="en-US" w:eastAsia="zh-CN"/>
              </w:rPr>
              <w:t>：</w:t>
            </w:r>
            <w:r>
              <w:rPr>
                <w:rFonts w:hint="eastAsia" w:ascii="仿宋" w:hAnsi="仿宋" w:eastAsia="仿宋" w:cs="仿宋"/>
                <w:color w:val="000000"/>
                <w:sz w:val="21"/>
                <w:szCs w:val="21"/>
                <w:lang w:val="en-US" w:eastAsia="zh-CN"/>
              </w:rPr>
              <w:t>实施动态监控和大额资金支付审核，大幅度提升</w:t>
            </w:r>
            <w:r>
              <w:rPr>
                <w:rFonts w:hint="eastAsia" w:ascii="仿宋" w:hAnsi="仿宋" w:eastAsia="仿宋" w:cs="仿宋"/>
                <w:color w:val="000000"/>
                <w:sz w:val="21"/>
                <w:szCs w:val="21"/>
                <w:lang w:eastAsia="zh-CN"/>
              </w:rPr>
              <w:t>安全支付、</w:t>
            </w:r>
            <w:r>
              <w:rPr>
                <w:rFonts w:hint="eastAsia" w:ascii="仿宋" w:hAnsi="仿宋" w:eastAsia="仿宋" w:cs="仿宋"/>
                <w:sz w:val="21"/>
                <w:szCs w:val="21"/>
              </w:rPr>
              <w:t>配合实施预算管理一体化改革积极服务预算单位</w:t>
            </w:r>
            <w:r>
              <w:rPr>
                <w:rFonts w:hint="eastAsia" w:ascii="仿宋" w:hAnsi="仿宋" w:eastAsia="仿宋" w:cs="仿宋"/>
                <w:sz w:val="21"/>
                <w:szCs w:val="21"/>
                <w:lang w:eastAsia="zh-CN"/>
              </w:rPr>
              <w:t>。</w:t>
            </w: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color w:val="000000"/>
                <w:sz w:val="24"/>
              </w:rPr>
              <w:t>：</w:t>
            </w:r>
            <w:r>
              <w:rPr>
                <w:rFonts w:hint="eastAsia" w:ascii="仿宋" w:hAnsi="仿宋" w:eastAsia="仿宋" w:cs="仿宋"/>
              </w:rPr>
              <w:t>积极服务预算单位、服务预算执行</w:t>
            </w:r>
          </w:p>
          <w:p>
            <w:pPr>
              <w:rPr>
                <w:rFonts w:hint="eastAsia" w:ascii="仿宋" w:hAnsi="仿宋" w:eastAsia="仿宋" w:cs="仿宋"/>
                <w:lang w:eastAsia="zh-CN"/>
              </w:rPr>
            </w:pPr>
            <w:r>
              <w:rPr>
                <w:rFonts w:hint="eastAsia" w:ascii="仿宋" w:hAnsi="仿宋" w:eastAsia="仿宋" w:cs="仿宋"/>
                <w:lang w:val="en-US" w:eastAsia="zh-CN"/>
              </w:rPr>
              <w:t>3：</w:t>
            </w:r>
            <w:r>
              <w:rPr>
                <w:rFonts w:hint="eastAsia" w:ascii="仿宋" w:hAnsi="仿宋" w:eastAsia="仿宋" w:cs="仿宋"/>
              </w:rPr>
              <w:t>保障</w:t>
            </w:r>
            <w:r>
              <w:rPr>
                <w:rFonts w:hint="eastAsia" w:ascii="仿宋" w:hAnsi="仿宋" w:eastAsia="仿宋" w:cs="仿宋"/>
                <w:lang w:eastAsia="zh-CN"/>
              </w:rPr>
              <w:t>了</w:t>
            </w:r>
            <w:r>
              <w:rPr>
                <w:rFonts w:hint="eastAsia" w:ascii="仿宋" w:hAnsi="仿宋" w:eastAsia="仿宋" w:cs="仿宋"/>
              </w:rPr>
              <w:t>全县的工资</w:t>
            </w:r>
            <w:r>
              <w:rPr>
                <w:rFonts w:hint="eastAsia" w:ascii="仿宋" w:hAnsi="仿宋" w:eastAsia="仿宋" w:cs="仿宋"/>
                <w:lang w:eastAsia="zh-CN"/>
              </w:rPr>
              <w:t>真实</w:t>
            </w:r>
            <w:r>
              <w:rPr>
                <w:rFonts w:hint="eastAsia" w:ascii="仿宋" w:hAnsi="仿宋" w:eastAsia="仿宋" w:cs="仿宋"/>
              </w:rPr>
              <w:t>发放</w:t>
            </w:r>
            <w:r>
              <w:rPr>
                <w:rFonts w:hint="eastAsia" w:ascii="仿宋" w:hAnsi="仿宋" w:eastAsia="仿宋" w:cs="仿宋"/>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p>
        </w:tc>
      </w:tr>
      <w:tr>
        <w:tblPrEx>
          <w:tblCellMar>
            <w:top w:w="0" w:type="dxa"/>
            <w:left w:w="108" w:type="dxa"/>
            <w:bottom w:w="0" w:type="dxa"/>
            <w:right w:w="108" w:type="dxa"/>
          </w:tblCellMar>
        </w:tblPrEx>
        <w:trPr>
          <w:trHeight w:val="850" w:hRule="atLeast"/>
          <w:jc w:val="center"/>
        </w:trPr>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rPr>
              <w:t>积极服务预算单位、服务预算执行</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eastAsia="zh-CN"/>
              </w:rPr>
              <w:t>执行预算</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执行预算</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25</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25</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shd w:val="clear" w:color="auto" w:fill="000000"/>
            <w:noWrap w:val="0"/>
            <w:vAlign w:val="center"/>
          </w:tcPr>
          <w:p>
            <w:pPr>
              <w:rPr>
                <w:rFonts w:hint="eastAsia"/>
                <w:shd w:val="clear" w:color="FFFFFF" w:fill="D9D9D9"/>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FFFFFF" w:themeColor="background1"/>
                <w:sz w:val="21"/>
                <w:szCs w:val="21"/>
                <w14:textFill>
                  <w14:solidFill>
                    <w14:schemeClr w14:val="bg1"/>
                  </w14:solidFill>
                </w14:textFill>
              </w:rPr>
            </w:pPr>
            <w:r>
              <w:rPr>
                <w:rFonts w:hint="eastAsia" w:ascii="新宋体" w:hAnsi="新宋体" w:eastAsia="新宋体" w:cs="新宋体"/>
                <w:color w:val="FFFFFF" w:themeColor="background1"/>
                <w:sz w:val="21"/>
                <w:szCs w:val="21"/>
                <w14:textFill>
                  <w14:solidFill>
                    <w14:schemeClr w14:val="bg1"/>
                  </w14:solidFill>
                </w14:textFill>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FFFFFF" w:themeColor="background1"/>
                <w:sz w:val="21"/>
                <w:szCs w:val="21"/>
                <w14:textFill>
                  <w14:solidFill>
                    <w14:schemeClr w14:val="bg1"/>
                  </w14:solidFill>
                </w14:textFill>
              </w:rPr>
            </w:pPr>
            <w:r>
              <w:rPr>
                <w:rFonts w:hint="eastAsia" w:ascii="新宋体" w:hAnsi="新宋体" w:eastAsia="新宋体" w:cs="新宋体"/>
                <w:color w:val="FFFFFF" w:themeColor="background1"/>
                <w:sz w:val="21"/>
                <w:szCs w:val="21"/>
                <w14:textFill>
                  <w14:solidFill>
                    <w14:schemeClr w14:val="bg1"/>
                  </w14:solidFill>
                </w14:textFill>
              </w:rPr>
              <w:t>　</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lang w:eastAsia="zh-CN"/>
              </w:rPr>
              <w:t>安全支付、</w:t>
            </w:r>
            <w:r>
              <w:rPr>
                <w:rFonts w:hint="eastAsia"/>
              </w:rPr>
              <w:t>配合实施预算管理一体化改革</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lang w:eastAsia="zh-CN"/>
              </w:rPr>
              <w:t>安全支付</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安全支付</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25</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rPr>
            </w:pPr>
            <w:r>
              <w:rPr>
                <w:rFonts w:hint="eastAsia" w:ascii="新宋体" w:hAnsi="新宋体" w:eastAsia="新宋体" w:cs="新宋体"/>
                <w:color w:val="000000"/>
                <w:sz w:val="21"/>
                <w:szCs w:val="21"/>
                <w:lang w:val="en-US" w:eastAsia="zh-CN"/>
              </w:rPr>
              <w:t>25</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8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rPr>
              <w:t>有序推进大额支出的审核</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rPr>
              <w:t>实施国库集中支付动态监控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有序推动大额支付实施动态监控</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lang w:val="en-US" w:eastAsia="zh-CN"/>
              </w:rPr>
              <w:t>有序推动大额支付，实施动态监控</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14</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14</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7" w:type="pct"/>
            <w:tcBorders>
              <w:top w:val="nil"/>
              <w:left w:val="nil"/>
              <w:bottom w:val="single" w:color="auto" w:sz="4" w:space="0"/>
              <w:right w:val="single" w:color="auto" w:sz="4" w:space="0"/>
            </w:tcBorders>
            <w:noWrap w:val="0"/>
            <w:vAlign w:val="center"/>
          </w:tcPr>
          <w:p>
            <w:pPr>
              <w:rPr>
                <w:rFonts w:hint="eastAsia"/>
              </w:rPr>
            </w:pPr>
            <w:r>
              <w:rPr>
                <w:rFonts w:hint="eastAsia" w:ascii="仿宋_GB2312" w:hAnsi="仿宋_GB2312" w:eastAsia="仿宋_GB2312" w:cs="仿宋_GB2312"/>
                <w:color w:val="000000"/>
                <w:sz w:val="24"/>
              </w:rPr>
              <w:t>指标1：</w:t>
            </w:r>
            <w:r>
              <w:rPr>
                <w:rFonts w:hint="eastAsia"/>
              </w:rPr>
              <w:t>保障了全县的工资发放，又保证了工资支出的真实性。</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rPr>
              <w:t>增强了财政支出的透明度</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524" w:type="pct"/>
            <w:tcBorders>
              <w:top w:val="nil"/>
              <w:left w:val="nil"/>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kern w:val="2"/>
                <w:sz w:val="24"/>
                <w:szCs w:val="24"/>
                <w:lang w:val="en-US" w:eastAsia="zh-CN" w:bidi="ar-SA"/>
              </w:rPr>
              <w:t>维稳</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稳定</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15</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15</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持续正常运行</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正常运行</w:t>
            </w:r>
          </w:p>
        </w:tc>
        <w:tc>
          <w:tcPr>
            <w:tcW w:w="1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正常运行</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8"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00" w:hRule="atLeast"/>
          <w:jc w:val="center"/>
        </w:trPr>
        <w:tc>
          <w:tcPr>
            <w:tcW w:w="588"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1"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136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983"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29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99</w:t>
            </w:r>
            <w:r>
              <w:rPr>
                <w:rFonts w:hint="eastAsia" w:ascii="新宋体" w:hAnsi="新宋体" w:eastAsia="新宋体" w:cs="新宋体"/>
                <w:color w:val="000000"/>
                <w:sz w:val="21"/>
                <w:szCs w:val="21"/>
              </w:rPr>
              <w:t>　</w:t>
            </w:r>
          </w:p>
        </w:tc>
        <w:tc>
          <w:tcPr>
            <w:tcW w:w="40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3"/>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填表人：</w:t>
      </w:r>
      <w:r>
        <w:rPr>
          <w:rFonts w:hint="eastAsia" w:eastAsia="仿宋_GB2312" w:cs="Times New Roman"/>
          <w:sz w:val="22"/>
          <w:szCs w:val="22"/>
          <w:lang w:eastAsia="zh-CN"/>
        </w:rPr>
        <w:t>呙铭</w:t>
      </w:r>
      <w:r>
        <w:rPr>
          <w:rFonts w:hint="default" w:ascii="Times New Roman" w:hAnsi="Times New Roman" w:eastAsia="仿宋_GB2312" w:cs="Times New Roman"/>
          <w:sz w:val="22"/>
          <w:szCs w:val="22"/>
        </w:rPr>
        <w:t xml:space="preserve">    填报日期： </w:t>
      </w:r>
      <w:r>
        <w:rPr>
          <w:rFonts w:hint="eastAsia" w:eastAsia="仿宋_GB2312" w:cs="Times New Roman"/>
          <w:sz w:val="22"/>
          <w:szCs w:val="22"/>
          <w:lang w:val="en-US" w:eastAsia="zh-CN"/>
        </w:rPr>
        <w:t>2023.7.12</w:t>
      </w:r>
      <w:r>
        <w:rPr>
          <w:rFonts w:hint="default" w:ascii="Times New Roman" w:hAnsi="Times New Roman" w:eastAsia="仿宋_GB2312" w:cs="Times New Roman"/>
          <w:sz w:val="22"/>
          <w:szCs w:val="22"/>
        </w:rPr>
        <w:t xml:space="preserve">  联系电话：</w:t>
      </w:r>
      <w:r>
        <w:rPr>
          <w:rFonts w:hint="eastAsia" w:eastAsia="仿宋_GB2312" w:cs="Times New Roman"/>
          <w:sz w:val="22"/>
          <w:szCs w:val="22"/>
          <w:lang w:val="en-US" w:eastAsia="zh-CN"/>
        </w:rPr>
        <w:t>15274093188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华容县财政国库集中支付中心</w:t>
      </w:r>
      <w:r>
        <w:rPr>
          <w:rFonts w:hint="eastAsia" w:ascii="方正小标宋简体" w:hAnsi="方正小标宋简体" w:eastAsia="方正小标宋简体" w:cs="方正小标宋简体"/>
          <w:sz w:val="36"/>
          <w:szCs w:val="36"/>
        </w:rPr>
        <w:t>整体支出</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 xml:space="preserve"> 月 </w:t>
      </w:r>
      <w:r>
        <w:rPr>
          <w:rFonts w:hint="eastAsia" w:eastAsia="楷体_GB2312" w:cs="Times New Roman"/>
          <w:sz w:val="32"/>
          <w:szCs w:val="32"/>
          <w:lang w:val="en-US" w:eastAsia="zh-CN"/>
        </w:rPr>
        <w:t>12</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年度</w:t>
      </w:r>
      <w:r>
        <w:rPr>
          <w:rFonts w:hint="eastAsia" w:ascii="仿宋" w:hAnsi="仿宋" w:eastAsia="仿宋" w:cs="仿宋"/>
          <w:b/>
          <w:bCs/>
          <w:sz w:val="36"/>
          <w:szCs w:val="36"/>
          <w:lang w:eastAsia="zh-CN"/>
        </w:rPr>
        <w:t>华容县财政国库集中支付中心</w:t>
      </w:r>
      <w:r>
        <w:rPr>
          <w:rFonts w:hint="eastAsia" w:ascii="仿宋" w:hAnsi="仿宋" w:eastAsia="仿宋" w:cs="仿宋"/>
          <w:b/>
          <w:bCs/>
          <w:sz w:val="36"/>
          <w:szCs w:val="36"/>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绩效自评报告</w:t>
      </w:r>
    </w:p>
    <w:p>
      <w:pPr>
        <w:keepNext w:val="0"/>
        <w:keepLines w:val="0"/>
        <w:pageBreakBefore w:val="0"/>
        <w:kinsoku/>
        <w:wordWrap/>
        <w:overflowPunct/>
        <w:topLinePunct w:val="0"/>
        <w:autoSpaceDE/>
        <w:autoSpaceDN/>
        <w:bidi w:val="0"/>
        <w:adjustRightInd/>
        <w:snapToGrid/>
        <w:spacing w:line="610" w:lineRule="exact"/>
        <w:ind w:firstLine="643" w:firstLineChars="200"/>
        <w:jc w:val="both"/>
        <w:textAlignment w:val="auto"/>
        <w:rPr>
          <w:rFonts w:hint="eastAsia" w:ascii="仿宋" w:hAnsi="仿宋" w:eastAsia="仿宋" w:cs="仿宋"/>
          <w:b/>
          <w:bCs/>
          <w:sz w:val="32"/>
          <w:szCs w:val="32"/>
        </w:rPr>
      </w:pPr>
    </w:p>
    <w:p>
      <w:pPr>
        <w:keepNext w:val="0"/>
        <w:keepLines w:val="0"/>
        <w:pageBreakBefore w:val="0"/>
        <w:numPr>
          <w:ilvl w:val="0"/>
          <w:numId w:val="1"/>
        </w:numPr>
        <w:kinsoku/>
        <w:wordWrap/>
        <w:overflowPunct/>
        <w:topLinePunct w:val="0"/>
        <w:autoSpaceDE/>
        <w:autoSpaceDN/>
        <w:bidi w:val="0"/>
        <w:adjustRightInd/>
        <w:snapToGrid/>
        <w:spacing w:line="61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部门（单位）基本情况</w:t>
      </w:r>
    </w:p>
    <w:p>
      <w:pPr>
        <w:numPr>
          <w:ilvl w:val="0"/>
          <w:numId w:val="0"/>
        </w:numPr>
        <w:autoSpaceDN w:val="0"/>
        <w:spacing w:line="32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华容县财政国库集中支付中心主要职能为单位提供支持保障的职能，承担代理银行执行代理业务的管理，承担县本级国库集中支付动态监控工作。</w:t>
      </w:r>
    </w:p>
    <w:p>
      <w:pPr>
        <w:numPr>
          <w:ilvl w:val="0"/>
          <w:numId w:val="0"/>
        </w:numPr>
        <w:autoSpaceDN w:val="0"/>
        <w:spacing w:line="32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面向社会提供公益服务的职能，承担全县国库集中支付单位的财政直接支付业务，承担全县预算单位工资发放工作。</w:t>
      </w:r>
    </w:p>
    <w:p>
      <w:pPr>
        <w:numPr>
          <w:ilvl w:val="0"/>
          <w:numId w:val="0"/>
        </w:numPr>
        <w:autoSpaceDN w:val="0"/>
        <w:spacing w:line="32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完成县财政局交办的其他任务。</w:t>
      </w:r>
    </w:p>
    <w:p>
      <w:pPr>
        <w:pStyle w:val="3"/>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单位为财政局二级机构，人员编制21人，实有在职</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2"/>
          <w:szCs w:val="32"/>
          <w:lang w:val="en-US" w:eastAsia="zh-CN"/>
        </w:rPr>
        <w:t>人</w:t>
      </w:r>
    </w:p>
    <w:p>
      <w:pPr>
        <w:pStyle w:val="6"/>
        <w:keepNext w:val="0"/>
        <w:keepLines w:val="0"/>
        <w:pageBreakBefore w:val="0"/>
        <w:widowControl/>
        <w:numPr>
          <w:ilvl w:val="0"/>
          <w:numId w:val="1"/>
        </w:numPr>
        <w:kinsoku/>
        <w:wordWrap/>
        <w:overflowPunct/>
        <w:topLinePunct w:val="0"/>
        <w:autoSpaceDE/>
        <w:autoSpaceDN/>
        <w:bidi w:val="0"/>
        <w:adjustRightInd/>
        <w:snapToGrid/>
        <w:spacing w:line="610" w:lineRule="exact"/>
        <w:ind w:left="0" w:lef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基本支出情况</w:t>
      </w:r>
      <w:bookmarkStart w:id="0" w:name="_GoBack"/>
      <w:bookmarkEnd w:id="0"/>
    </w:p>
    <w:p>
      <w:pPr>
        <w:numPr>
          <w:ilvl w:val="0"/>
          <w:numId w:val="0"/>
        </w:numPr>
        <w:spacing w:line="56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2022年财政拨款收入214.43万元，基本支出214.43万元，其中：工资福利支出138万元，商品和服务费用38万元，其他等费用:38.43万元。</w:t>
      </w:r>
    </w:p>
    <w:p>
      <w:pPr>
        <w:pStyle w:val="6"/>
        <w:keepNext w:val="0"/>
        <w:keepLines w:val="0"/>
        <w:pageBreakBefore w:val="0"/>
        <w:widowControl/>
        <w:kinsoku/>
        <w:wordWrap/>
        <w:overflowPunct/>
        <w:topLinePunct w:val="0"/>
        <w:autoSpaceDE/>
        <w:autoSpaceDN/>
        <w:bidi w:val="0"/>
        <w:adjustRightInd/>
        <w:snapToGrid/>
        <w:spacing w:line="610" w:lineRule="exact"/>
        <w:ind w:left="0" w:leftChars="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三、项目支出情况</w:t>
      </w:r>
    </w:p>
    <w:p>
      <w:pPr>
        <w:keepNext w:val="0"/>
        <w:keepLines w:val="0"/>
        <w:pageBreakBefore w:val="0"/>
        <w:widowControl/>
        <w:kinsoku/>
        <w:wordWrap/>
        <w:overflowPunct/>
        <w:topLinePunct w:val="0"/>
        <w:autoSpaceDE/>
        <w:autoSpaceDN/>
        <w:bidi w:val="0"/>
        <w:adjustRightInd/>
        <w:snapToGrid/>
        <w:spacing w:line="61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财政国库集中</w:t>
      </w:r>
      <w:r>
        <w:rPr>
          <w:rFonts w:hint="eastAsia" w:ascii="仿宋" w:hAnsi="仿宋" w:eastAsia="仿宋" w:cs="仿宋"/>
          <w:sz w:val="30"/>
          <w:szCs w:val="30"/>
        </w:rPr>
        <w:t>支付中心按照局党委的统一部署，积极服务预算单位、服务预算执行，</w:t>
      </w:r>
      <w:r>
        <w:rPr>
          <w:rFonts w:hint="eastAsia" w:ascii="仿宋" w:hAnsi="仿宋" w:eastAsia="仿宋" w:cs="仿宋"/>
          <w:sz w:val="30"/>
          <w:szCs w:val="30"/>
          <w:lang w:eastAsia="zh-CN"/>
        </w:rPr>
        <w:t>圆</w:t>
      </w:r>
      <w:r>
        <w:rPr>
          <w:rFonts w:hint="eastAsia" w:ascii="仿宋" w:hAnsi="仿宋" w:eastAsia="仿宋" w:cs="仿宋"/>
          <w:sz w:val="30"/>
          <w:szCs w:val="30"/>
        </w:rPr>
        <w:t>满完成了各项工作任务。现将一年来的主要工作汇报如下：</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配合实施预算管理一体化改革，优化了国库集中支付的业务流程和业务规则。实行预算指标控制资金支付，系统自动校验各支付要素，自动记录、生成各类报表和财务报告，精准控制单位每月资金额度，国库集中支付的效率大大提升。</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有序推进大额支出的审核。实施预算管理一体化后，系统要求对40万元以上的支付进行审核。我们通过上传附件、核对资料、电话沟通解决问题，基本没有增加单位的工作量。在审核中，重点帮助单位严格遵守县政府的关于进一步规范财政财务管理严肃财经纪律的十条规定，紧扣财源建设、政府采购管理、财政投资评审等工作大局，为改善单位财务管理提供了有益的支撑。</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科学实施国库集中支付动态监控。一是检验摘要内容与指标的经济分类是否相符，促进单位按设定的经济分类使用资金。二是监控住房公积金、残保金、社保缴费资金及个人代扣代缴相关资金的使用范围和对象</w:t>
      </w:r>
      <w:r>
        <w:rPr>
          <w:rFonts w:hint="eastAsia" w:ascii="仿宋" w:hAnsi="仿宋" w:eastAsia="仿宋" w:cs="仿宋"/>
          <w:sz w:val="30"/>
          <w:szCs w:val="30"/>
          <w:lang w:eastAsia="zh-CN"/>
        </w:rPr>
        <w:t>，</w:t>
      </w:r>
      <w:r>
        <w:rPr>
          <w:rFonts w:hint="eastAsia" w:ascii="仿宋" w:hAnsi="仿宋" w:eastAsia="仿宋" w:cs="仿宋"/>
          <w:sz w:val="30"/>
          <w:szCs w:val="30"/>
        </w:rPr>
        <w:t>节约了财政资金。三是严控向预算单位账户和国库集中支付代管账户支付资金。四是对超额提取现金进行监控，五是对非公务卡支付到个人进行监控，为单位提高财务管理水平提供了有益的帮助。</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4、继续推进公务消费刷卡支付。在预算管理一体化改革后，对应当实行刷卡支付的公务消费项目，</w:t>
      </w:r>
      <w:r>
        <w:rPr>
          <w:rFonts w:hint="eastAsia" w:ascii="仿宋" w:hAnsi="仿宋" w:eastAsia="仿宋" w:cs="仿宋"/>
          <w:sz w:val="30"/>
          <w:szCs w:val="30"/>
          <w:lang w:eastAsia="zh-CN"/>
        </w:rPr>
        <w:t>要求单位继续推进</w:t>
      </w:r>
      <w:r>
        <w:rPr>
          <w:rFonts w:hint="eastAsia" w:ascii="仿宋" w:hAnsi="仿宋" w:eastAsia="仿宋" w:cs="仿宋"/>
          <w:sz w:val="30"/>
          <w:szCs w:val="30"/>
        </w:rPr>
        <w:t>实行刷卡支付</w:t>
      </w:r>
      <w:r>
        <w:rPr>
          <w:rFonts w:hint="eastAsia" w:ascii="仿宋" w:hAnsi="仿宋" w:eastAsia="仿宋" w:cs="仿宋"/>
          <w:sz w:val="30"/>
          <w:szCs w:val="30"/>
          <w:lang w:eastAsia="zh-CN"/>
        </w:rPr>
        <w:t>，以</w:t>
      </w:r>
      <w:r>
        <w:rPr>
          <w:rFonts w:hint="eastAsia" w:ascii="仿宋" w:hAnsi="仿宋" w:eastAsia="仿宋" w:cs="仿宋"/>
          <w:sz w:val="30"/>
          <w:szCs w:val="30"/>
        </w:rPr>
        <w:t>增强财政支出的透明度。</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5、无缝对接做好工资统发。快速有序的完成职能转和工作交接，坚持工资变化必审核，有调进必有调出，加工资先有依据，既保障了全县的工资发放，又保证了工资支出的真实性。</w:t>
      </w:r>
    </w:p>
    <w:p>
      <w:pPr>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color w:val="000000"/>
          <w:sz w:val="30"/>
          <w:szCs w:val="30"/>
        </w:rPr>
      </w:pPr>
      <w:r>
        <w:rPr>
          <w:rFonts w:hint="eastAsia" w:ascii="仿宋" w:hAnsi="仿宋" w:eastAsia="仿宋" w:cs="仿宋"/>
          <w:sz w:val="30"/>
          <w:szCs w:val="30"/>
        </w:rPr>
        <w:t>6、针对需求做好业务辅导与服务。简化办事程序，利用网络、微信和电话即时处理和回复各类问题和意见。主动到问题较多的预算单位当面的交流、沟通、演示，解决工作中的困惑。对有需求的单位财务人员，组织预算管理一体化的业务培训，提高财务人员对新系统的操作水平。</w:t>
      </w:r>
    </w:p>
    <w:p>
      <w:pPr>
        <w:pStyle w:val="6"/>
        <w:keepNext w:val="0"/>
        <w:keepLines w:val="0"/>
        <w:pageBreakBefore w:val="0"/>
        <w:widowControl/>
        <w:kinsoku/>
        <w:wordWrap/>
        <w:overflowPunct/>
        <w:topLinePunct w:val="0"/>
        <w:autoSpaceDE/>
        <w:autoSpaceDN/>
        <w:bidi w:val="0"/>
        <w:adjustRightInd/>
        <w:snapToGrid/>
        <w:spacing w:line="61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监督管理机制有待加强，绩效目标管理有待提升。</w:t>
      </w:r>
    </w:p>
    <w:p>
      <w:pPr>
        <w:keepNext w:val="0"/>
        <w:keepLines w:val="0"/>
        <w:pageBreakBefore w:val="0"/>
        <w:widowControl/>
        <w:numPr>
          <w:ilvl w:val="0"/>
          <w:numId w:val="2"/>
        </w:numPr>
        <w:kinsoku/>
        <w:wordWrap/>
        <w:overflowPunct/>
        <w:topLinePunct w:val="0"/>
        <w:autoSpaceDE/>
        <w:autoSpaceDN/>
        <w:bidi w:val="0"/>
        <w:adjustRightInd/>
        <w:snapToGrid/>
        <w:spacing w:line="61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1、加强预算绩效管理，进一步加强各单位的预算资金管理，对预算的事前、事中、事后进行全过程控制，在对预算编制与执行的监督管理力度，提高预算资金使用效率。</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七</w:t>
      </w:r>
      <w:r>
        <w:rPr>
          <w:rFonts w:hint="eastAsia" w:ascii="仿宋" w:hAnsi="仿宋" w:eastAsia="仿宋" w:cs="仿宋"/>
          <w:sz w:val="30"/>
          <w:szCs w:val="30"/>
        </w:rPr>
        <w:t>、其他需要说明的情况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outlineLvl w:val="0"/>
        <w:rPr>
          <w:rFonts w:hint="eastAsia" w:ascii="仿宋" w:hAnsi="仿宋" w:eastAsia="仿宋" w:cs="仿宋"/>
          <w:sz w:val="30"/>
          <w:szCs w:val="30"/>
          <w:lang w:val="en-US" w:eastAsia="zh-CN"/>
        </w:rPr>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
                <w:bCs/>
                <w:kern w:val="0"/>
                <w:sz w:val="24"/>
              </w:rPr>
            </w:pP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3"/>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3"/>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年度××部门（单位）××</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年度××部门（单位）××</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(一)项目概况。包括项目背景、主要内容及实施情况、资金投入和使用情况等。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(二)项目绩效目标。包括总体目标和阶段性目标。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(三)绩效评价工作过程。</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(二)项目过程情况。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(三)项目产出情况。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C0EFC"/>
    <w:multiLevelType w:val="singleLevel"/>
    <w:tmpl w:val="8C6C0EFC"/>
    <w:lvl w:ilvl="0" w:tentative="0">
      <w:start w:val="1"/>
      <w:numFmt w:val="chineseCounting"/>
      <w:suff w:val="nothing"/>
      <w:lvlText w:val="%1、"/>
      <w:lvlJc w:val="left"/>
      <w:rPr>
        <w:rFonts w:hint="eastAsia"/>
      </w:rPr>
    </w:lvl>
  </w:abstractNum>
  <w:abstractNum w:abstractNumId="1">
    <w:nsid w:val="16FDA8CC"/>
    <w:multiLevelType w:val="singleLevel"/>
    <w:tmpl w:val="16FDA8C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YTY0MzZiZTEwNzNmMDE0YzhkMzY5MjI2MjQ0N2YifQ=="/>
  </w:docVars>
  <w:rsids>
    <w:rsidRoot w:val="00000000"/>
    <w:rsid w:val="021A3610"/>
    <w:rsid w:val="03104F21"/>
    <w:rsid w:val="04D255BF"/>
    <w:rsid w:val="08E55ACF"/>
    <w:rsid w:val="0C5A116A"/>
    <w:rsid w:val="0E281748"/>
    <w:rsid w:val="140809BA"/>
    <w:rsid w:val="149C0264"/>
    <w:rsid w:val="24FB4266"/>
    <w:rsid w:val="2BC06A91"/>
    <w:rsid w:val="328D12A4"/>
    <w:rsid w:val="475E6263"/>
    <w:rsid w:val="4B2573E0"/>
    <w:rsid w:val="672D1F57"/>
    <w:rsid w:val="6B2D1F53"/>
    <w:rsid w:val="77C01297"/>
    <w:rsid w:val="78105AA2"/>
    <w:rsid w:val="7C02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footnote text"/>
    <w:basedOn w:val="1"/>
    <w:next w:val="1"/>
    <w:qFormat/>
    <w:uiPriority w:val="0"/>
    <w:pPr>
      <w:snapToGrid w:val="0"/>
      <w:jc w:val="left"/>
    </w:pPr>
    <w:rPr>
      <w:sz w:val="18"/>
      <w:szCs w:val="18"/>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4177</Words>
  <Characters>4419</Characters>
  <Lines>0</Lines>
  <Paragraphs>0</Paragraphs>
  <TotalTime>14</TotalTime>
  <ScaleCrop>false</ScaleCrop>
  <LinksUpToDate>false</LinksUpToDate>
  <CharactersWithSpaces>4780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2023-07-13T08:18:00Z</dcterms:created>
  <dc:creator>Administrator</dc:creator>
  <cp:lastModifiedBy>Administrator</cp:lastModifiedBy>
  <cp:lastPrinted>2023-07-17T08:49:00Z</cp:lastPrinted>
  <dcterms:modified xsi:type="dcterms:W3CDTF">2023-07-18T05:16:31Z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812C885767494515851EF871B1D5C7AF_12</vt:lpwstr>
  </property>
</Properties>
</file>