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Lines="50" w:line="600" w:lineRule="exact"/>
        <w:rPr>
          <w:rFonts w:ascii="黑体" w:hAnsi="黑体" w:eastAsia="黑体" w:cs="黑体"/>
          <w:sz w:val="32"/>
          <w:szCs w:val="32"/>
        </w:rPr>
      </w:pPr>
      <w:r>
        <w:rPr>
          <w:rFonts w:hint="eastAsia" w:ascii="黑体" w:hAnsi="黑体" w:eastAsia="黑体" w:cs="黑体"/>
          <w:sz w:val="32"/>
          <w:szCs w:val="32"/>
        </w:rPr>
        <w:t>附件1</w:t>
      </w:r>
    </w:p>
    <w:p>
      <w:pPr>
        <w:spacing w:beforeLines="50" w:afterLines="100" w:line="600" w:lineRule="exact"/>
        <w:jc w:val="center"/>
        <w:rPr>
          <w:rFonts w:ascii="微软雅黑" w:hAnsi="微软雅黑" w:eastAsia="微软雅黑" w:cs="微软雅黑"/>
          <w:sz w:val="44"/>
          <w:szCs w:val="44"/>
        </w:rPr>
      </w:pPr>
      <w:r>
        <w:rPr>
          <w:rFonts w:hint="eastAsia" w:ascii="微软雅黑" w:hAnsi="微软雅黑" w:eastAsia="微软雅黑" w:cs="微软雅黑"/>
          <w:sz w:val="44"/>
          <w:szCs w:val="44"/>
        </w:rPr>
        <w:t>2022年度部门整体支出绩效评价基础数据表</w:t>
      </w:r>
    </w:p>
    <w:tbl>
      <w:tblPr>
        <w:tblStyle w:val="7"/>
        <w:tblW w:w="5000" w:type="pct"/>
        <w:jc w:val="center"/>
        <w:tblLayout w:type="fixed"/>
        <w:tblCellMar>
          <w:top w:w="0" w:type="dxa"/>
          <w:left w:w="108" w:type="dxa"/>
          <w:bottom w:w="0" w:type="dxa"/>
          <w:right w:w="108" w:type="dxa"/>
        </w:tblCellMar>
      </w:tblPr>
      <w:tblGrid>
        <w:gridCol w:w="2934"/>
        <w:gridCol w:w="2040"/>
        <w:gridCol w:w="2310"/>
        <w:gridCol w:w="2004"/>
      </w:tblGrid>
      <w:tr>
        <w:tblPrEx>
          <w:tblCellMar>
            <w:top w:w="0" w:type="dxa"/>
            <w:left w:w="108" w:type="dxa"/>
            <w:bottom w:w="0" w:type="dxa"/>
            <w:right w:w="108" w:type="dxa"/>
          </w:tblCellMar>
        </w:tblPrEx>
        <w:trPr>
          <w:trHeight w:val="444" w:hRule="atLeast"/>
          <w:jc w:val="center"/>
        </w:trPr>
        <w:tc>
          <w:tcPr>
            <w:tcW w:w="1579" w:type="pct"/>
            <w:vMerge w:val="restart"/>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新宋体" w:hAnsi="新宋体" w:eastAsia="新宋体" w:cs="新宋体"/>
                <w:szCs w:val="21"/>
              </w:rPr>
            </w:pPr>
            <w:r>
              <w:rPr>
                <w:rFonts w:hint="eastAsia" w:ascii="新宋体" w:hAnsi="新宋体" w:eastAsia="新宋体" w:cs="新宋体"/>
                <w:szCs w:val="21"/>
              </w:rPr>
              <w:t>财政供养人员情况（人）</w:t>
            </w:r>
          </w:p>
        </w:tc>
        <w:tc>
          <w:tcPr>
            <w:tcW w:w="1098" w:type="pct"/>
            <w:tcBorders>
              <w:top w:val="single" w:color="auto" w:sz="4" w:space="0"/>
              <w:left w:val="nil"/>
              <w:bottom w:val="single" w:color="auto" w:sz="4" w:space="0"/>
              <w:right w:val="single" w:color="auto" w:sz="4" w:space="0"/>
            </w:tcBorders>
            <w:noWrap/>
            <w:vAlign w:val="center"/>
          </w:tcPr>
          <w:p>
            <w:pPr>
              <w:widowControl/>
              <w:spacing w:line="360" w:lineRule="exact"/>
              <w:jc w:val="center"/>
              <w:rPr>
                <w:rFonts w:ascii="新宋体" w:hAnsi="新宋体" w:eastAsia="新宋体" w:cs="新宋体"/>
                <w:b/>
                <w:bCs/>
                <w:szCs w:val="21"/>
              </w:rPr>
            </w:pPr>
            <w:r>
              <w:rPr>
                <w:rFonts w:hint="eastAsia" w:ascii="新宋体" w:hAnsi="新宋体" w:eastAsia="新宋体" w:cs="新宋体"/>
                <w:b/>
                <w:bCs/>
                <w:szCs w:val="21"/>
              </w:rPr>
              <w:t>编制数</w:t>
            </w:r>
          </w:p>
        </w:tc>
        <w:tc>
          <w:tcPr>
            <w:tcW w:w="1243" w:type="pct"/>
            <w:tcBorders>
              <w:top w:val="single" w:color="auto" w:sz="4" w:space="0"/>
              <w:left w:val="nil"/>
              <w:bottom w:val="single" w:color="auto" w:sz="4" w:space="0"/>
              <w:right w:val="single" w:color="auto" w:sz="4" w:space="0"/>
            </w:tcBorders>
            <w:noWrap/>
            <w:vAlign w:val="center"/>
          </w:tcPr>
          <w:p>
            <w:pPr>
              <w:widowControl/>
              <w:spacing w:line="360" w:lineRule="exact"/>
              <w:jc w:val="center"/>
              <w:rPr>
                <w:rFonts w:ascii="新宋体" w:hAnsi="新宋体" w:eastAsia="新宋体" w:cs="新宋体"/>
                <w:b/>
                <w:bCs/>
                <w:szCs w:val="21"/>
              </w:rPr>
            </w:pPr>
            <w:r>
              <w:rPr>
                <w:rFonts w:hint="eastAsia" w:ascii="新宋体" w:hAnsi="新宋体" w:eastAsia="新宋体" w:cs="新宋体"/>
                <w:b/>
                <w:bCs/>
                <w:szCs w:val="21"/>
              </w:rPr>
              <w:t>2022年实际在职人数</w:t>
            </w:r>
          </w:p>
        </w:tc>
        <w:tc>
          <w:tcPr>
            <w:tcW w:w="1078" w:type="pct"/>
            <w:tcBorders>
              <w:top w:val="single" w:color="auto" w:sz="4" w:space="0"/>
              <w:left w:val="nil"/>
              <w:bottom w:val="single" w:color="auto" w:sz="4" w:space="0"/>
              <w:right w:val="single" w:color="auto" w:sz="4" w:space="0"/>
            </w:tcBorders>
            <w:noWrap/>
            <w:vAlign w:val="center"/>
          </w:tcPr>
          <w:p>
            <w:pPr>
              <w:widowControl/>
              <w:spacing w:line="360" w:lineRule="exact"/>
              <w:jc w:val="center"/>
              <w:rPr>
                <w:rFonts w:ascii="新宋体" w:hAnsi="新宋体" w:eastAsia="新宋体" w:cs="新宋体"/>
                <w:b/>
                <w:bCs/>
                <w:szCs w:val="21"/>
              </w:rPr>
            </w:pPr>
            <w:r>
              <w:rPr>
                <w:rFonts w:hint="eastAsia" w:ascii="新宋体" w:hAnsi="新宋体" w:eastAsia="新宋体" w:cs="新宋体"/>
                <w:b/>
                <w:bCs/>
                <w:szCs w:val="21"/>
              </w:rPr>
              <w:t>控制率</w:t>
            </w:r>
          </w:p>
        </w:tc>
      </w:tr>
      <w:tr>
        <w:tblPrEx>
          <w:tblCellMar>
            <w:top w:w="0" w:type="dxa"/>
            <w:left w:w="108" w:type="dxa"/>
            <w:bottom w:w="0" w:type="dxa"/>
            <w:right w:w="108" w:type="dxa"/>
          </w:tblCellMar>
        </w:tblPrEx>
        <w:trPr>
          <w:trHeight w:val="279" w:hRule="atLeast"/>
          <w:jc w:val="center"/>
        </w:trPr>
        <w:tc>
          <w:tcPr>
            <w:tcW w:w="1579" w:type="pct"/>
            <w:vMerge w:val="continue"/>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新宋体" w:hAnsi="新宋体" w:eastAsia="新宋体" w:cs="新宋体"/>
                <w:szCs w:val="21"/>
              </w:rPr>
            </w:pPr>
          </w:p>
        </w:tc>
        <w:tc>
          <w:tcPr>
            <w:tcW w:w="1098" w:type="pct"/>
            <w:tcBorders>
              <w:top w:val="single" w:color="auto" w:sz="4" w:space="0"/>
              <w:left w:val="nil"/>
              <w:bottom w:val="single" w:color="auto" w:sz="4" w:space="0"/>
              <w:right w:val="single" w:color="auto" w:sz="4" w:space="0"/>
            </w:tcBorders>
            <w:noWrap/>
            <w:vAlign w:val="center"/>
          </w:tcPr>
          <w:p>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81</w:t>
            </w:r>
          </w:p>
        </w:tc>
        <w:tc>
          <w:tcPr>
            <w:tcW w:w="1243" w:type="pct"/>
            <w:tcBorders>
              <w:top w:val="single" w:color="auto" w:sz="4" w:space="0"/>
              <w:left w:val="nil"/>
              <w:bottom w:val="single" w:color="auto" w:sz="4" w:space="0"/>
              <w:right w:val="single" w:color="auto" w:sz="4" w:space="0"/>
            </w:tcBorders>
            <w:noWrap/>
            <w:vAlign w:val="center"/>
          </w:tcPr>
          <w:p>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81</w:t>
            </w:r>
          </w:p>
        </w:tc>
        <w:tc>
          <w:tcPr>
            <w:tcW w:w="1078" w:type="pct"/>
            <w:tcBorders>
              <w:top w:val="single" w:color="auto" w:sz="4" w:space="0"/>
              <w:left w:val="nil"/>
              <w:bottom w:val="single" w:color="auto" w:sz="4" w:space="0"/>
              <w:right w:val="single" w:color="auto" w:sz="4" w:space="0"/>
            </w:tcBorders>
            <w:noWrap/>
            <w:vAlign w:val="center"/>
          </w:tcPr>
          <w:p>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100%</w:t>
            </w:r>
          </w:p>
        </w:tc>
      </w:tr>
      <w:tr>
        <w:tblPrEx>
          <w:tblCellMar>
            <w:top w:w="0" w:type="dxa"/>
            <w:left w:w="108" w:type="dxa"/>
            <w:bottom w:w="0" w:type="dxa"/>
            <w:right w:w="108" w:type="dxa"/>
          </w:tblCellMar>
        </w:tblPrEx>
        <w:trPr>
          <w:trHeight w:val="539" w:hRule="atLeast"/>
          <w:jc w:val="center"/>
        </w:trPr>
        <w:tc>
          <w:tcPr>
            <w:tcW w:w="1579" w:type="pc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新宋体" w:hAnsi="新宋体" w:eastAsia="新宋体" w:cs="新宋体"/>
                <w:szCs w:val="21"/>
              </w:rPr>
            </w:pPr>
            <w:r>
              <w:rPr>
                <w:rFonts w:hint="eastAsia" w:ascii="新宋体" w:hAnsi="新宋体" w:eastAsia="新宋体" w:cs="新宋体"/>
                <w:szCs w:val="21"/>
              </w:rPr>
              <w:t>经费控制情况（万元）</w:t>
            </w:r>
          </w:p>
        </w:tc>
        <w:tc>
          <w:tcPr>
            <w:tcW w:w="1098"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b/>
                <w:bCs/>
                <w:szCs w:val="21"/>
              </w:rPr>
            </w:pPr>
            <w:r>
              <w:rPr>
                <w:rFonts w:hint="eastAsia" w:ascii="新宋体" w:hAnsi="新宋体" w:eastAsia="新宋体" w:cs="新宋体"/>
                <w:b/>
                <w:bCs/>
                <w:szCs w:val="21"/>
              </w:rPr>
              <w:t>2021年决算数</w:t>
            </w:r>
          </w:p>
        </w:tc>
        <w:tc>
          <w:tcPr>
            <w:tcW w:w="1243"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b/>
                <w:bCs/>
                <w:szCs w:val="21"/>
              </w:rPr>
            </w:pPr>
            <w:r>
              <w:rPr>
                <w:rFonts w:hint="eastAsia" w:ascii="新宋体" w:hAnsi="新宋体" w:eastAsia="新宋体" w:cs="新宋体"/>
                <w:b/>
                <w:bCs/>
                <w:szCs w:val="21"/>
              </w:rPr>
              <w:t>2022年预算数</w:t>
            </w:r>
          </w:p>
        </w:tc>
        <w:tc>
          <w:tcPr>
            <w:tcW w:w="1078"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b/>
                <w:bCs/>
                <w:szCs w:val="21"/>
              </w:rPr>
            </w:pPr>
            <w:r>
              <w:rPr>
                <w:rFonts w:hint="eastAsia" w:ascii="新宋体" w:hAnsi="新宋体" w:eastAsia="新宋体" w:cs="新宋体"/>
                <w:b/>
                <w:bCs/>
                <w:szCs w:val="21"/>
              </w:rPr>
              <w:t>2022年决算数</w:t>
            </w:r>
          </w:p>
        </w:tc>
      </w:tr>
      <w:tr>
        <w:tblPrEx>
          <w:tblCellMar>
            <w:top w:w="0" w:type="dxa"/>
            <w:left w:w="108" w:type="dxa"/>
            <w:bottom w:w="0" w:type="dxa"/>
            <w:right w:w="108" w:type="dxa"/>
          </w:tblCellMar>
        </w:tblPrEx>
        <w:trPr>
          <w:trHeight w:val="451" w:hRule="atLeast"/>
          <w:jc w:val="center"/>
        </w:trPr>
        <w:tc>
          <w:tcPr>
            <w:tcW w:w="1579" w:type="pct"/>
            <w:tcBorders>
              <w:top w:val="nil"/>
              <w:left w:val="single" w:color="auto" w:sz="4" w:space="0"/>
              <w:bottom w:val="single" w:color="auto" w:sz="4" w:space="0"/>
              <w:right w:val="single" w:color="auto" w:sz="4" w:space="0"/>
            </w:tcBorders>
            <w:noWrap/>
            <w:vAlign w:val="center"/>
          </w:tcPr>
          <w:p>
            <w:pPr>
              <w:widowControl/>
              <w:spacing w:line="240" w:lineRule="exact"/>
              <w:rPr>
                <w:rFonts w:ascii="新宋体" w:hAnsi="新宋体" w:eastAsia="新宋体" w:cs="新宋体"/>
                <w:szCs w:val="21"/>
              </w:rPr>
            </w:pPr>
            <w:r>
              <w:rPr>
                <w:rFonts w:hint="eastAsia" w:ascii="新宋体" w:hAnsi="新宋体" w:eastAsia="新宋体" w:cs="新宋体"/>
                <w:szCs w:val="21"/>
              </w:rPr>
              <w:t>一、基本支出：</w:t>
            </w:r>
          </w:p>
        </w:tc>
        <w:tc>
          <w:tcPr>
            <w:tcW w:w="1098"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szCs w:val="21"/>
              </w:rPr>
            </w:pPr>
            <w:r>
              <w:rPr>
                <w:rFonts w:ascii="新宋体" w:hAnsi="新宋体" w:eastAsia="新宋体" w:cs="新宋体"/>
                <w:szCs w:val="21"/>
              </w:rPr>
              <w:t>1,069.03</w:t>
            </w:r>
          </w:p>
        </w:tc>
        <w:tc>
          <w:tcPr>
            <w:tcW w:w="1243"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szCs w:val="21"/>
              </w:rPr>
            </w:pPr>
            <w:r>
              <w:rPr>
                <w:rFonts w:ascii="新宋体" w:hAnsi="新宋体" w:eastAsia="新宋体" w:cs="新宋体"/>
                <w:szCs w:val="21"/>
              </w:rPr>
              <w:t>1,513.79</w:t>
            </w:r>
          </w:p>
        </w:tc>
        <w:tc>
          <w:tcPr>
            <w:tcW w:w="1078"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szCs w:val="21"/>
              </w:rPr>
            </w:pPr>
            <w:r>
              <w:rPr>
                <w:rFonts w:ascii="新宋体" w:hAnsi="新宋体" w:eastAsia="新宋体" w:cs="新宋体"/>
                <w:szCs w:val="21"/>
              </w:rPr>
              <w:t>1,513.79</w:t>
            </w:r>
          </w:p>
        </w:tc>
      </w:tr>
      <w:tr>
        <w:tblPrEx>
          <w:tblCellMar>
            <w:top w:w="0" w:type="dxa"/>
            <w:left w:w="108" w:type="dxa"/>
            <w:bottom w:w="0" w:type="dxa"/>
            <w:right w:w="108" w:type="dxa"/>
          </w:tblCellMar>
        </w:tblPrEx>
        <w:trPr>
          <w:trHeight w:val="473" w:hRule="atLeast"/>
          <w:jc w:val="center"/>
        </w:trPr>
        <w:tc>
          <w:tcPr>
            <w:tcW w:w="1579" w:type="pct"/>
            <w:tcBorders>
              <w:top w:val="nil"/>
              <w:left w:val="single" w:color="auto" w:sz="4" w:space="0"/>
              <w:bottom w:val="single" w:color="auto" w:sz="4" w:space="0"/>
              <w:right w:val="single" w:color="auto" w:sz="4" w:space="0"/>
            </w:tcBorders>
            <w:noWrap/>
            <w:vAlign w:val="center"/>
          </w:tcPr>
          <w:p>
            <w:pPr>
              <w:widowControl/>
              <w:spacing w:line="240" w:lineRule="exact"/>
              <w:rPr>
                <w:rFonts w:ascii="新宋体" w:hAnsi="新宋体" w:eastAsia="新宋体" w:cs="新宋体"/>
                <w:szCs w:val="21"/>
              </w:rPr>
            </w:pPr>
            <w:r>
              <w:rPr>
                <w:rFonts w:hint="eastAsia" w:ascii="新宋体" w:hAnsi="新宋体" w:eastAsia="新宋体" w:cs="新宋体"/>
                <w:szCs w:val="21"/>
              </w:rPr>
              <w:t>其中：三公经费</w:t>
            </w:r>
          </w:p>
        </w:tc>
        <w:tc>
          <w:tcPr>
            <w:tcW w:w="1098"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szCs w:val="21"/>
              </w:rPr>
            </w:pPr>
            <w:r>
              <w:rPr>
                <w:rFonts w:ascii="新宋体" w:hAnsi="新宋体" w:eastAsia="新宋体" w:cs="新宋体"/>
                <w:szCs w:val="21"/>
              </w:rPr>
              <w:t>32.90</w:t>
            </w:r>
          </w:p>
        </w:tc>
        <w:tc>
          <w:tcPr>
            <w:tcW w:w="1243"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10.51</w:t>
            </w:r>
          </w:p>
        </w:tc>
        <w:tc>
          <w:tcPr>
            <w:tcW w:w="1078"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szCs w:val="21"/>
              </w:rPr>
            </w:pPr>
            <w:r>
              <w:rPr>
                <w:rFonts w:ascii="新宋体" w:hAnsi="新宋体" w:eastAsia="新宋体" w:cs="新宋体"/>
                <w:szCs w:val="21"/>
              </w:rPr>
              <w:t>10.51</w:t>
            </w:r>
          </w:p>
        </w:tc>
      </w:tr>
      <w:tr>
        <w:tblPrEx>
          <w:tblCellMar>
            <w:top w:w="0" w:type="dxa"/>
            <w:left w:w="108" w:type="dxa"/>
            <w:bottom w:w="0" w:type="dxa"/>
            <w:right w:w="108" w:type="dxa"/>
          </w:tblCellMar>
        </w:tblPrEx>
        <w:trPr>
          <w:trHeight w:val="539" w:hRule="atLeast"/>
          <w:jc w:val="center"/>
        </w:trPr>
        <w:tc>
          <w:tcPr>
            <w:tcW w:w="1579" w:type="pct"/>
            <w:tcBorders>
              <w:top w:val="nil"/>
              <w:left w:val="single" w:color="auto" w:sz="4" w:space="0"/>
              <w:bottom w:val="single" w:color="auto" w:sz="4" w:space="0"/>
              <w:right w:val="single" w:color="auto" w:sz="4" w:space="0"/>
            </w:tcBorders>
            <w:noWrap/>
            <w:vAlign w:val="center"/>
          </w:tcPr>
          <w:p>
            <w:pPr>
              <w:widowControl/>
              <w:spacing w:line="240" w:lineRule="exact"/>
              <w:rPr>
                <w:rFonts w:ascii="新宋体" w:hAnsi="新宋体" w:eastAsia="新宋体" w:cs="新宋体"/>
                <w:szCs w:val="21"/>
              </w:rPr>
            </w:pPr>
            <w:r>
              <w:rPr>
                <w:rFonts w:hint="eastAsia" w:ascii="新宋体" w:hAnsi="新宋体" w:eastAsia="新宋体" w:cs="新宋体"/>
                <w:szCs w:val="21"/>
              </w:rPr>
              <w:t>1.公务用车购置和维护经费</w:t>
            </w:r>
          </w:p>
        </w:tc>
        <w:tc>
          <w:tcPr>
            <w:tcW w:w="1098"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szCs w:val="21"/>
              </w:rPr>
            </w:pPr>
          </w:p>
        </w:tc>
        <w:tc>
          <w:tcPr>
            <w:tcW w:w="1243"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szCs w:val="21"/>
              </w:rPr>
            </w:pPr>
          </w:p>
        </w:tc>
        <w:tc>
          <w:tcPr>
            <w:tcW w:w="1078"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szCs w:val="21"/>
              </w:rPr>
            </w:pPr>
          </w:p>
        </w:tc>
      </w:tr>
      <w:tr>
        <w:tblPrEx>
          <w:tblCellMar>
            <w:top w:w="0" w:type="dxa"/>
            <w:left w:w="108" w:type="dxa"/>
            <w:bottom w:w="0" w:type="dxa"/>
            <w:right w:w="108" w:type="dxa"/>
          </w:tblCellMar>
        </w:tblPrEx>
        <w:trPr>
          <w:trHeight w:val="447" w:hRule="atLeast"/>
          <w:jc w:val="center"/>
        </w:trPr>
        <w:tc>
          <w:tcPr>
            <w:tcW w:w="1579" w:type="pct"/>
            <w:tcBorders>
              <w:top w:val="nil"/>
              <w:left w:val="single" w:color="auto" w:sz="4" w:space="0"/>
              <w:bottom w:val="single" w:color="auto" w:sz="4" w:space="0"/>
              <w:right w:val="single" w:color="auto" w:sz="4" w:space="0"/>
            </w:tcBorders>
            <w:noWrap/>
            <w:vAlign w:val="center"/>
          </w:tcPr>
          <w:p>
            <w:pPr>
              <w:widowControl/>
              <w:spacing w:line="240" w:lineRule="exact"/>
              <w:rPr>
                <w:rFonts w:ascii="新宋体" w:hAnsi="新宋体" w:eastAsia="新宋体" w:cs="新宋体"/>
                <w:szCs w:val="21"/>
              </w:rPr>
            </w:pPr>
            <w:r>
              <w:rPr>
                <w:rFonts w:hint="eastAsia" w:ascii="新宋体" w:hAnsi="新宋体" w:eastAsia="新宋体" w:cs="新宋体"/>
                <w:szCs w:val="21"/>
              </w:rPr>
              <w:t>其中：公车购置</w:t>
            </w:r>
          </w:p>
        </w:tc>
        <w:tc>
          <w:tcPr>
            <w:tcW w:w="1098"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szCs w:val="21"/>
              </w:rPr>
            </w:pPr>
          </w:p>
        </w:tc>
        <w:tc>
          <w:tcPr>
            <w:tcW w:w="1243"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szCs w:val="21"/>
              </w:rPr>
            </w:pPr>
          </w:p>
        </w:tc>
        <w:tc>
          <w:tcPr>
            <w:tcW w:w="1078"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szCs w:val="21"/>
              </w:rPr>
            </w:pPr>
          </w:p>
        </w:tc>
      </w:tr>
      <w:tr>
        <w:tblPrEx>
          <w:tblCellMar>
            <w:top w:w="0" w:type="dxa"/>
            <w:left w:w="108" w:type="dxa"/>
            <w:bottom w:w="0" w:type="dxa"/>
            <w:right w:w="108" w:type="dxa"/>
          </w:tblCellMar>
        </w:tblPrEx>
        <w:trPr>
          <w:trHeight w:val="455" w:hRule="atLeast"/>
          <w:jc w:val="center"/>
        </w:trPr>
        <w:tc>
          <w:tcPr>
            <w:tcW w:w="1579" w:type="pct"/>
            <w:tcBorders>
              <w:top w:val="nil"/>
              <w:left w:val="single" w:color="auto" w:sz="4" w:space="0"/>
              <w:bottom w:val="single" w:color="auto" w:sz="4" w:space="0"/>
              <w:right w:val="single" w:color="auto" w:sz="4" w:space="0"/>
            </w:tcBorders>
            <w:noWrap/>
            <w:vAlign w:val="center"/>
          </w:tcPr>
          <w:p>
            <w:pPr>
              <w:widowControl/>
              <w:spacing w:line="240" w:lineRule="exact"/>
              <w:rPr>
                <w:rFonts w:ascii="新宋体" w:hAnsi="新宋体" w:eastAsia="新宋体" w:cs="新宋体"/>
                <w:szCs w:val="21"/>
              </w:rPr>
            </w:pPr>
            <w:r>
              <w:rPr>
                <w:rFonts w:hint="eastAsia" w:ascii="新宋体" w:hAnsi="新宋体" w:eastAsia="新宋体" w:cs="新宋体"/>
                <w:szCs w:val="21"/>
              </w:rPr>
              <w:t>公车运行维护</w:t>
            </w:r>
          </w:p>
        </w:tc>
        <w:tc>
          <w:tcPr>
            <w:tcW w:w="1098"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szCs w:val="21"/>
              </w:rPr>
            </w:pPr>
          </w:p>
        </w:tc>
        <w:tc>
          <w:tcPr>
            <w:tcW w:w="1243"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szCs w:val="21"/>
              </w:rPr>
            </w:pPr>
          </w:p>
        </w:tc>
        <w:tc>
          <w:tcPr>
            <w:tcW w:w="1078"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szCs w:val="21"/>
              </w:rPr>
            </w:pPr>
          </w:p>
        </w:tc>
      </w:tr>
      <w:tr>
        <w:tblPrEx>
          <w:tblCellMar>
            <w:top w:w="0" w:type="dxa"/>
            <w:left w:w="108" w:type="dxa"/>
            <w:bottom w:w="0" w:type="dxa"/>
            <w:right w:w="108" w:type="dxa"/>
          </w:tblCellMar>
        </w:tblPrEx>
        <w:trPr>
          <w:trHeight w:val="405" w:hRule="atLeast"/>
          <w:jc w:val="center"/>
        </w:trPr>
        <w:tc>
          <w:tcPr>
            <w:tcW w:w="1579" w:type="pct"/>
            <w:tcBorders>
              <w:top w:val="nil"/>
              <w:left w:val="single" w:color="auto" w:sz="4" w:space="0"/>
              <w:bottom w:val="single" w:color="auto" w:sz="4" w:space="0"/>
              <w:right w:val="single" w:color="auto" w:sz="4" w:space="0"/>
            </w:tcBorders>
            <w:noWrap/>
            <w:vAlign w:val="center"/>
          </w:tcPr>
          <w:p>
            <w:pPr>
              <w:widowControl/>
              <w:spacing w:line="240" w:lineRule="exact"/>
              <w:rPr>
                <w:rFonts w:ascii="新宋体" w:hAnsi="新宋体" w:eastAsia="新宋体" w:cs="新宋体"/>
                <w:szCs w:val="21"/>
              </w:rPr>
            </w:pPr>
            <w:r>
              <w:rPr>
                <w:rFonts w:hint="eastAsia" w:ascii="新宋体" w:hAnsi="新宋体" w:eastAsia="新宋体" w:cs="新宋体"/>
                <w:szCs w:val="21"/>
              </w:rPr>
              <w:t>2.出国经费</w:t>
            </w:r>
          </w:p>
        </w:tc>
        <w:tc>
          <w:tcPr>
            <w:tcW w:w="1098"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szCs w:val="21"/>
              </w:rPr>
            </w:pPr>
          </w:p>
        </w:tc>
        <w:tc>
          <w:tcPr>
            <w:tcW w:w="1243"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szCs w:val="21"/>
              </w:rPr>
            </w:pPr>
          </w:p>
        </w:tc>
        <w:tc>
          <w:tcPr>
            <w:tcW w:w="1078"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szCs w:val="21"/>
              </w:rPr>
            </w:pPr>
          </w:p>
        </w:tc>
      </w:tr>
      <w:tr>
        <w:tblPrEx>
          <w:tblCellMar>
            <w:top w:w="0" w:type="dxa"/>
            <w:left w:w="108" w:type="dxa"/>
            <w:bottom w:w="0" w:type="dxa"/>
            <w:right w:w="108" w:type="dxa"/>
          </w:tblCellMar>
        </w:tblPrEx>
        <w:trPr>
          <w:trHeight w:val="383" w:hRule="atLeast"/>
          <w:jc w:val="center"/>
        </w:trPr>
        <w:tc>
          <w:tcPr>
            <w:tcW w:w="1579" w:type="pct"/>
            <w:tcBorders>
              <w:top w:val="nil"/>
              <w:left w:val="single" w:color="auto" w:sz="4" w:space="0"/>
              <w:bottom w:val="single" w:color="auto" w:sz="4" w:space="0"/>
              <w:right w:val="single" w:color="auto" w:sz="4" w:space="0"/>
            </w:tcBorders>
            <w:noWrap/>
            <w:vAlign w:val="center"/>
          </w:tcPr>
          <w:p>
            <w:pPr>
              <w:widowControl/>
              <w:spacing w:line="240" w:lineRule="exact"/>
              <w:rPr>
                <w:rFonts w:ascii="新宋体" w:hAnsi="新宋体" w:eastAsia="新宋体" w:cs="新宋体"/>
                <w:szCs w:val="21"/>
              </w:rPr>
            </w:pPr>
            <w:r>
              <w:rPr>
                <w:rFonts w:hint="eastAsia" w:ascii="新宋体" w:hAnsi="新宋体" w:eastAsia="新宋体" w:cs="新宋体"/>
                <w:szCs w:val="21"/>
              </w:rPr>
              <w:t>3.公务接待</w:t>
            </w:r>
          </w:p>
        </w:tc>
        <w:tc>
          <w:tcPr>
            <w:tcW w:w="1098"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szCs w:val="21"/>
              </w:rPr>
            </w:pPr>
            <w:r>
              <w:rPr>
                <w:rFonts w:ascii="新宋体" w:hAnsi="新宋体" w:eastAsia="新宋体" w:cs="新宋体"/>
                <w:szCs w:val="21"/>
              </w:rPr>
              <w:t>32.90</w:t>
            </w:r>
          </w:p>
        </w:tc>
        <w:tc>
          <w:tcPr>
            <w:tcW w:w="1243"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szCs w:val="21"/>
              </w:rPr>
            </w:pPr>
            <w:r>
              <w:rPr>
                <w:rFonts w:ascii="新宋体" w:hAnsi="新宋体" w:eastAsia="新宋体" w:cs="新宋体"/>
                <w:szCs w:val="21"/>
              </w:rPr>
              <w:t>10.</w:t>
            </w:r>
            <w:r>
              <w:rPr>
                <w:rFonts w:hint="eastAsia" w:ascii="新宋体" w:hAnsi="新宋体" w:eastAsia="新宋体" w:cs="新宋体"/>
                <w:szCs w:val="21"/>
              </w:rPr>
              <w:t>51</w:t>
            </w:r>
          </w:p>
        </w:tc>
        <w:tc>
          <w:tcPr>
            <w:tcW w:w="1078"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szCs w:val="21"/>
              </w:rPr>
            </w:pPr>
            <w:r>
              <w:rPr>
                <w:rFonts w:ascii="新宋体" w:hAnsi="新宋体" w:eastAsia="新宋体" w:cs="新宋体"/>
                <w:szCs w:val="21"/>
              </w:rPr>
              <w:t>10.51</w:t>
            </w:r>
          </w:p>
        </w:tc>
      </w:tr>
      <w:tr>
        <w:tblPrEx>
          <w:tblCellMar>
            <w:top w:w="0" w:type="dxa"/>
            <w:left w:w="108" w:type="dxa"/>
            <w:bottom w:w="0" w:type="dxa"/>
            <w:right w:w="108" w:type="dxa"/>
          </w:tblCellMar>
        </w:tblPrEx>
        <w:trPr>
          <w:trHeight w:val="476" w:hRule="atLeast"/>
          <w:jc w:val="center"/>
        </w:trPr>
        <w:tc>
          <w:tcPr>
            <w:tcW w:w="1579" w:type="pct"/>
            <w:tcBorders>
              <w:top w:val="nil"/>
              <w:left w:val="single" w:color="auto" w:sz="4" w:space="0"/>
              <w:bottom w:val="single" w:color="auto" w:sz="4" w:space="0"/>
              <w:right w:val="single" w:color="auto" w:sz="4" w:space="0"/>
            </w:tcBorders>
            <w:noWrap/>
            <w:vAlign w:val="center"/>
          </w:tcPr>
          <w:p>
            <w:pPr>
              <w:widowControl/>
              <w:spacing w:line="240" w:lineRule="exact"/>
              <w:rPr>
                <w:rFonts w:ascii="新宋体" w:hAnsi="新宋体" w:eastAsia="新宋体" w:cs="新宋体"/>
                <w:szCs w:val="21"/>
              </w:rPr>
            </w:pPr>
            <w:r>
              <w:rPr>
                <w:rFonts w:hint="eastAsia" w:ascii="新宋体" w:hAnsi="新宋体" w:eastAsia="新宋体" w:cs="新宋体"/>
                <w:szCs w:val="21"/>
              </w:rPr>
              <w:t>二、项目支出：</w:t>
            </w:r>
          </w:p>
        </w:tc>
        <w:tc>
          <w:tcPr>
            <w:tcW w:w="1098"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szCs w:val="21"/>
              </w:rPr>
            </w:pPr>
            <w:r>
              <w:rPr>
                <w:rFonts w:ascii="新宋体" w:hAnsi="新宋体" w:eastAsia="新宋体" w:cs="新宋体"/>
                <w:szCs w:val="21"/>
              </w:rPr>
              <w:t>420.40</w:t>
            </w:r>
          </w:p>
        </w:tc>
        <w:tc>
          <w:tcPr>
            <w:tcW w:w="1243"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448.74</w:t>
            </w:r>
          </w:p>
        </w:tc>
        <w:tc>
          <w:tcPr>
            <w:tcW w:w="1078"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szCs w:val="21"/>
              </w:rPr>
            </w:pPr>
            <w:r>
              <w:rPr>
                <w:rFonts w:ascii="新宋体" w:hAnsi="新宋体" w:eastAsia="新宋体" w:cs="新宋体"/>
                <w:szCs w:val="21"/>
              </w:rPr>
              <w:t>448.74</w:t>
            </w:r>
          </w:p>
        </w:tc>
      </w:tr>
      <w:tr>
        <w:tblPrEx>
          <w:tblCellMar>
            <w:top w:w="0" w:type="dxa"/>
            <w:left w:w="108" w:type="dxa"/>
            <w:bottom w:w="0" w:type="dxa"/>
            <w:right w:w="108" w:type="dxa"/>
          </w:tblCellMar>
        </w:tblPrEx>
        <w:trPr>
          <w:trHeight w:val="412" w:hRule="atLeast"/>
          <w:jc w:val="center"/>
        </w:trPr>
        <w:tc>
          <w:tcPr>
            <w:tcW w:w="1579" w:type="pct"/>
            <w:tcBorders>
              <w:top w:val="nil"/>
              <w:left w:val="single" w:color="auto" w:sz="4" w:space="0"/>
              <w:bottom w:val="single" w:color="auto" w:sz="4" w:space="0"/>
              <w:right w:val="single" w:color="auto" w:sz="4" w:space="0"/>
            </w:tcBorders>
            <w:noWrap/>
            <w:vAlign w:val="center"/>
          </w:tcPr>
          <w:p>
            <w:pPr>
              <w:widowControl/>
              <w:spacing w:line="240" w:lineRule="exact"/>
              <w:rPr>
                <w:rFonts w:ascii="新宋体" w:hAnsi="新宋体" w:eastAsia="新宋体" w:cs="新宋体"/>
                <w:szCs w:val="21"/>
              </w:rPr>
            </w:pPr>
            <w:r>
              <w:rPr>
                <w:rFonts w:hint="eastAsia" w:ascii="新宋体" w:hAnsi="新宋体" w:eastAsia="新宋体" w:cs="新宋体"/>
                <w:szCs w:val="21"/>
              </w:rPr>
              <w:t>1.</w:t>
            </w:r>
            <w:r>
              <w:rPr>
                <w:rFonts w:hint="eastAsia"/>
              </w:rPr>
              <w:t xml:space="preserve"> </w:t>
            </w:r>
            <w:r>
              <w:rPr>
                <w:rFonts w:hint="eastAsia" w:ascii="新宋体" w:hAnsi="新宋体" w:eastAsia="新宋体" w:cs="新宋体"/>
                <w:szCs w:val="21"/>
              </w:rPr>
              <w:t>禁毒项目</w:t>
            </w:r>
          </w:p>
        </w:tc>
        <w:tc>
          <w:tcPr>
            <w:tcW w:w="1098"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65.00</w:t>
            </w:r>
          </w:p>
        </w:tc>
        <w:tc>
          <w:tcPr>
            <w:tcW w:w="1243"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55.00</w:t>
            </w:r>
          </w:p>
        </w:tc>
        <w:tc>
          <w:tcPr>
            <w:tcW w:w="1078"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szCs w:val="21"/>
              </w:rPr>
            </w:pPr>
            <w:r>
              <w:rPr>
                <w:rFonts w:ascii="新宋体" w:hAnsi="新宋体" w:eastAsia="新宋体" w:cs="新宋体"/>
                <w:szCs w:val="21"/>
              </w:rPr>
              <w:t>55.00</w:t>
            </w:r>
          </w:p>
        </w:tc>
      </w:tr>
      <w:tr>
        <w:tblPrEx>
          <w:tblCellMar>
            <w:top w:w="0" w:type="dxa"/>
            <w:left w:w="108" w:type="dxa"/>
            <w:bottom w:w="0" w:type="dxa"/>
            <w:right w:w="108" w:type="dxa"/>
          </w:tblCellMar>
        </w:tblPrEx>
        <w:trPr>
          <w:trHeight w:val="475" w:hRule="atLeast"/>
          <w:jc w:val="center"/>
        </w:trPr>
        <w:tc>
          <w:tcPr>
            <w:tcW w:w="1579" w:type="pct"/>
            <w:tcBorders>
              <w:top w:val="nil"/>
              <w:left w:val="single" w:color="auto" w:sz="4" w:space="0"/>
              <w:bottom w:val="single" w:color="auto" w:sz="4" w:space="0"/>
              <w:right w:val="single" w:color="auto" w:sz="4" w:space="0"/>
            </w:tcBorders>
            <w:noWrap/>
            <w:vAlign w:val="center"/>
          </w:tcPr>
          <w:p>
            <w:pPr>
              <w:widowControl/>
              <w:spacing w:line="240" w:lineRule="exact"/>
              <w:rPr>
                <w:rFonts w:ascii="新宋体" w:hAnsi="新宋体" w:eastAsia="新宋体" w:cs="新宋体"/>
                <w:szCs w:val="21"/>
              </w:rPr>
            </w:pPr>
            <w:r>
              <w:rPr>
                <w:rFonts w:hint="eastAsia" w:ascii="新宋体" w:hAnsi="新宋体" w:eastAsia="新宋体" w:cs="新宋体"/>
                <w:szCs w:val="21"/>
              </w:rPr>
              <w:t>2.</w:t>
            </w:r>
            <w:r>
              <w:rPr>
                <w:rFonts w:hint="eastAsia"/>
              </w:rPr>
              <w:t xml:space="preserve"> </w:t>
            </w:r>
            <w:r>
              <w:rPr>
                <w:rFonts w:hint="eastAsia" w:ascii="新宋体" w:hAnsi="新宋体" w:eastAsia="新宋体" w:cs="新宋体"/>
                <w:szCs w:val="21"/>
              </w:rPr>
              <w:t>金融工作支出</w:t>
            </w:r>
          </w:p>
        </w:tc>
        <w:tc>
          <w:tcPr>
            <w:tcW w:w="1098"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0</w:t>
            </w:r>
          </w:p>
        </w:tc>
        <w:tc>
          <w:tcPr>
            <w:tcW w:w="1243"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64.00</w:t>
            </w:r>
          </w:p>
        </w:tc>
        <w:tc>
          <w:tcPr>
            <w:tcW w:w="1078"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szCs w:val="21"/>
              </w:rPr>
            </w:pPr>
            <w:r>
              <w:rPr>
                <w:rFonts w:ascii="新宋体" w:hAnsi="新宋体" w:eastAsia="新宋体" w:cs="新宋体"/>
                <w:szCs w:val="21"/>
              </w:rPr>
              <w:t>64.00</w:t>
            </w:r>
          </w:p>
        </w:tc>
      </w:tr>
      <w:tr>
        <w:tblPrEx>
          <w:tblCellMar>
            <w:top w:w="0" w:type="dxa"/>
            <w:left w:w="108" w:type="dxa"/>
            <w:bottom w:w="0" w:type="dxa"/>
            <w:right w:w="108" w:type="dxa"/>
          </w:tblCellMar>
        </w:tblPrEx>
        <w:trPr>
          <w:trHeight w:val="411" w:hRule="atLeast"/>
          <w:jc w:val="center"/>
        </w:trPr>
        <w:tc>
          <w:tcPr>
            <w:tcW w:w="1579" w:type="pct"/>
            <w:tcBorders>
              <w:top w:val="nil"/>
              <w:left w:val="single" w:color="auto" w:sz="4" w:space="0"/>
              <w:bottom w:val="single" w:color="auto" w:sz="4" w:space="0"/>
              <w:right w:val="single" w:color="auto" w:sz="4" w:space="0"/>
            </w:tcBorders>
            <w:noWrap/>
            <w:vAlign w:val="center"/>
          </w:tcPr>
          <w:p>
            <w:pPr>
              <w:widowControl/>
              <w:spacing w:line="240" w:lineRule="exact"/>
              <w:rPr>
                <w:rFonts w:ascii="新宋体" w:hAnsi="新宋体" w:eastAsia="新宋体" w:cs="新宋体"/>
                <w:szCs w:val="21"/>
              </w:rPr>
            </w:pPr>
            <w:r>
              <w:rPr>
                <w:rFonts w:hint="eastAsia" w:ascii="新宋体" w:hAnsi="新宋体" w:eastAsia="新宋体" w:cs="新宋体"/>
                <w:szCs w:val="21"/>
              </w:rPr>
              <w:t>3.</w:t>
            </w:r>
            <w:r>
              <w:rPr>
                <w:rFonts w:hint="eastAsia"/>
              </w:rPr>
              <w:t xml:space="preserve"> </w:t>
            </w:r>
            <w:r>
              <w:rPr>
                <w:rFonts w:hint="eastAsia" w:ascii="新宋体" w:hAnsi="新宋体" w:eastAsia="新宋体" w:cs="新宋体"/>
                <w:szCs w:val="21"/>
              </w:rPr>
              <w:t>机关行政事务</w:t>
            </w:r>
          </w:p>
        </w:tc>
        <w:tc>
          <w:tcPr>
            <w:tcW w:w="1098"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323.00</w:t>
            </w:r>
          </w:p>
        </w:tc>
        <w:tc>
          <w:tcPr>
            <w:tcW w:w="1243"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szCs w:val="21"/>
              </w:rPr>
            </w:pPr>
            <w:r>
              <w:rPr>
                <w:rFonts w:ascii="新宋体" w:hAnsi="新宋体" w:eastAsia="新宋体" w:cs="新宋体"/>
                <w:szCs w:val="21"/>
              </w:rPr>
              <w:t>264.50</w:t>
            </w:r>
          </w:p>
        </w:tc>
        <w:tc>
          <w:tcPr>
            <w:tcW w:w="1078"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szCs w:val="21"/>
              </w:rPr>
            </w:pPr>
            <w:r>
              <w:rPr>
                <w:rFonts w:ascii="新宋体" w:hAnsi="新宋体" w:eastAsia="新宋体" w:cs="新宋体"/>
                <w:szCs w:val="21"/>
              </w:rPr>
              <w:t>264.50</w:t>
            </w:r>
          </w:p>
        </w:tc>
      </w:tr>
      <w:tr>
        <w:tblPrEx>
          <w:tblCellMar>
            <w:top w:w="0" w:type="dxa"/>
            <w:left w:w="108" w:type="dxa"/>
            <w:bottom w:w="0" w:type="dxa"/>
            <w:right w:w="108" w:type="dxa"/>
          </w:tblCellMar>
        </w:tblPrEx>
        <w:trPr>
          <w:trHeight w:val="503" w:hRule="atLeast"/>
          <w:jc w:val="center"/>
        </w:trPr>
        <w:tc>
          <w:tcPr>
            <w:tcW w:w="1579" w:type="pct"/>
            <w:tcBorders>
              <w:top w:val="nil"/>
              <w:left w:val="single" w:color="auto" w:sz="4" w:space="0"/>
              <w:bottom w:val="single" w:color="auto" w:sz="4" w:space="0"/>
              <w:right w:val="single" w:color="auto" w:sz="4" w:space="0"/>
            </w:tcBorders>
            <w:noWrap/>
            <w:vAlign w:val="center"/>
          </w:tcPr>
          <w:p>
            <w:pPr>
              <w:widowControl/>
              <w:spacing w:line="240" w:lineRule="exact"/>
              <w:rPr>
                <w:rFonts w:ascii="新宋体" w:hAnsi="新宋体" w:eastAsia="新宋体" w:cs="新宋体"/>
                <w:szCs w:val="21"/>
              </w:rPr>
            </w:pPr>
            <w:r>
              <w:rPr>
                <w:rFonts w:hint="eastAsia" w:ascii="新宋体" w:hAnsi="新宋体" w:eastAsia="新宋体" w:cs="新宋体"/>
                <w:szCs w:val="21"/>
              </w:rPr>
              <w:t>4.</w:t>
            </w:r>
            <w:r>
              <w:rPr>
                <w:rFonts w:hint="eastAsia"/>
              </w:rPr>
              <w:t xml:space="preserve"> </w:t>
            </w:r>
            <w:r>
              <w:rPr>
                <w:rFonts w:hint="eastAsia" w:ascii="新宋体" w:hAnsi="新宋体" w:eastAsia="新宋体" w:cs="新宋体"/>
                <w:szCs w:val="21"/>
              </w:rPr>
              <w:t>优化办工作支出</w:t>
            </w:r>
          </w:p>
        </w:tc>
        <w:tc>
          <w:tcPr>
            <w:tcW w:w="1098"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0</w:t>
            </w:r>
          </w:p>
        </w:tc>
        <w:tc>
          <w:tcPr>
            <w:tcW w:w="1243"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szCs w:val="21"/>
              </w:rPr>
            </w:pPr>
            <w:r>
              <w:rPr>
                <w:rFonts w:ascii="新宋体" w:hAnsi="新宋体" w:eastAsia="新宋体" w:cs="新宋体"/>
                <w:szCs w:val="21"/>
              </w:rPr>
              <w:t>42.24</w:t>
            </w:r>
          </w:p>
        </w:tc>
        <w:tc>
          <w:tcPr>
            <w:tcW w:w="1078"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szCs w:val="21"/>
              </w:rPr>
            </w:pPr>
            <w:r>
              <w:rPr>
                <w:rFonts w:ascii="新宋体" w:hAnsi="新宋体" w:eastAsia="新宋体" w:cs="新宋体"/>
                <w:szCs w:val="21"/>
              </w:rPr>
              <w:t>42.24</w:t>
            </w:r>
          </w:p>
        </w:tc>
      </w:tr>
      <w:tr>
        <w:tblPrEx>
          <w:tblCellMar>
            <w:top w:w="0" w:type="dxa"/>
            <w:left w:w="108" w:type="dxa"/>
            <w:bottom w:w="0" w:type="dxa"/>
            <w:right w:w="108" w:type="dxa"/>
          </w:tblCellMar>
        </w:tblPrEx>
        <w:trPr>
          <w:trHeight w:val="411" w:hRule="atLeast"/>
          <w:jc w:val="center"/>
        </w:trPr>
        <w:tc>
          <w:tcPr>
            <w:tcW w:w="1579" w:type="pct"/>
            <w:tcBorders>
              <w:top w:val="nil"/>
              <w:left w:val="single" w:color="auto" w:sz="4" w:space="0"/>
              <w:bottom w:val="single" w:color="auto" w:sz="4" w:space="0"/>
              <w:right w:val="single" w:color="auto" w:sz="4" w:space="0"/>
            </w:tcBorders>
            <w:noWrap/>
            <w:vAlign w:val="center"/>
          </w:tcPr>
          <w:p>
            <w:pPr>
              <w:widowControl/>
              <w:spacing w:line="240" w:lineRule="exact"/>
              <w:rPr>
                <w:rFonts w:ascii="新宋体" w:hAnsi="新宋体" w:eastAsia="新宋体" w:cs="新宋体"/>
                <w:szCs w:val="21"/>
              </w:rPr>
            </w:pPr>
            <w:r>
              <w:rPr>
                <w:rFonts w:hint="eastAsia" w:ascii="新宋体" w:hAnsi="新宋体" w:eastAsia="新宋体" w:cs="新宋体"/>
                <w:szCs w:val="21"/>
              </w:rPr>
              <w:t>5.</w:t>
            </w:r>
            <w:r>
              <w:rPr>
                <w:rFonts w:hint="eastAsia"/>
              </w:rPr>
              <w:t xml:space="preserve"> </w:t>
            </w:r>
            <w:r>
              <w:rPr>
                <w:rFonts w:hint="eastAsia" w:ascii="新宋体" w:hAnsi="新宋体" w:eastAsia="新宋体" w:cs="新宋体"/>
                <w:szCs w:val="21"/>
              </w:rPr>
              <w:t>生环办工作支出</w:t>
            </w:r>
          </w:p>
        </w:tc>
        <w:tc>
          <w:tcPr>
            <w:tcW w:w="1098"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0</w:t>
            </w:r>
          </w:p>
        </w:tc>
        <w:tc>
          <w:tcPr>
            <w:tcW w:w="1243"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szCs w:val="21"/>
              </w:rPr>
            </w:pPr>
            <w:r>
              <w:rPr>
                <w:rFonts w:ascii="新宋体" w:hAnsi="新宋体" w:eastAsia="新宋体" w:cs="新宋体"/>
                <w:szCs w:val="21"/>
              </w:rPr>
              <w:t>10.00</w:t>
            </w:r>
          </w:p>
        </w:tc>
        <w:tc>
          <w:tcPr>
            <w:tcW w:w="1078"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szCs w:val="21"/>
              </w:rPr>
            </w:pPr>
            <w:r>
              <w:rPr>
                <w:rFonts w:ascii="新宋体" w:hAnsi="新宋体" w:eastAsia="新宋体" w:cs="新宋体"/>
                <w:szCs w:val="21"/>
              </w:rPr>
              <w:t>10.00</w:t>
            </w:r>
          </w:p>
        </w:tc>
      </w:tr>
      <w:tr>
        <w:tblPrEx>
          <w:tblCellMar>
            <w:top w:w="0" w:type="dxa"/>
            <w:left w:w="108" w:type="dxa"/>
            <w:bottom w:w="0" w:type="dxa"/>
            <w:right w:w="108" w:type="dxa"/>
          </w:tblCellMar>
        </w:tblPrEx>
        <w:trPr>
          <w:trHeight w:val="475" w:hRule="atLeast"/>
          <w:jc w:val="center"/>
        </w:trPr>
        <w:tc>
          <w:tcPr>
            <w:tcW w:w="1579" w:type="pct"/>
            <w:tcBorders>
              <w:top w:val="nil"/>
              <w:left w:val="single" w:color="auto" w:sz="4" w:space="0"/>
              <w:bottom w:val="single" w:color="auto" w:sz="4" w:space="0"/>
              <w:right w:val="single" w:color="auto" w:sz="4" w:space="0"/>
            </w:tcBorders>
            <w:noWrap/>
            <w:vAlign w:val="center"/>
          </w:tcPr>
          <w:p>
            <w:pPr>
              <w:widowControl/>
              <w:spacing w:line="240" w:lineRule="exact"/>
              <w:rPr>
                <w:rFonts w:hint="eastAsia" w:ascii="新宋体" w:hAnsi="新宋体" w:eastAsia="新宋体" w:cs="新宋体"/>
                <w:szCs w:val="21"/>
              </w:rPr>
            </w:pPr>
            <w:r>
              <w:rPr>
                <w:rFonts w:hint="eastAsia" w:ascii="新宋体" w:hAnsi="新宋体" w:eastAsia="新宋体" w:cs="新宋体"/>
                <w:szCs w:val="21"/>
              </w:rPr>
              <w:t>6.人大调研经费</w:t>
            </w:r>
          </w:p>
        </w:tc>
        <w:tc>
          <w:tcPr>
            <w:tcW w:w="1098"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hint="eastAsia" w:ascii="新宋体" w:hAnsi="新宋体" w:eastAsia="新宋体" w:cs="新宋体"/>
                <w:szCs w:val="21"/>
              </w:rPr>
            </w:pPr>
            <w:r>
              <w:rPr>
                <w:rFonts w:hint="eastAsia" w:ascii="新宋体" w:hAnsi="新宋体" w:eastAsia="新宋体" w:cs="新宋体"/>
                <w:szCs w:val="21"/>
              </w:rPr>
              <w:t>2.40</w:t>
            </w:r>
          </w:p>
        </w:tc>
        <w:tc>
          <w:tcPr>
            <w:tcW w:w="1243"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0</w:t>
            </w:r>
          </w:p>
        </w:tc>
        <w:tc>
          <w:tcPr>
            <w:tcW w:w="1078"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0</w:t>
            </w:r>
          </w:p>
        </w:tc>
      </w:tr>
      <w:tr>
        <w:tblPrEx>
          <w:tblCellMar>
            <w:top w:w="0" w:type="dxa"/>
            <w:left w:w="108" w:type="dxa"/>
            <w:bottom w:w="0" w:type="dxa"/>
            <w:right w:w="108" w:type="dxa"/>
          </w:tblCellMar>
        </w:tblPrEx>
        <w:trPr>
          <w:trHeight w:val="425" w:hRule="atLeast"/>
          <w:jc w:val="center"/>
        </w:trPr>
        <w:tc>
          <w:tcPr>
            <w:tcW w:w="1579" w:type="pct"/>
            <w:tcBorders>
              <w:top w:val="nil"/>
              <w:left w:val="single" w:color="auto" w:sz="4" w:space="0"/>
              <w:bottom w:val="single" w:color="auto" w:sz="4" w:space="0"/>
              <w:right w:val="single" w:color="auto" w:sz="4" w:space="0"/>
            </w:tcBorders>
            <w:noWrap/>
            <w:vAlign w:val="center"/>
          </w:tcPr>
          <w:p>
            <w:pPr>
              <w:widowControl/>
              <w:spacing w:line="240" w:lineRule="exact"/>
              <w:rPr>
                <w:rFonts w:hint="eastAsia" w:ascii="新宋体" w:hAnsi="新宋体" w:eastAsia="新宋体" w:cs="新宋体"/>
                <w:szCs w:val="21"/>
              </w:rPr>
            </w:pPr>
            <w:r>
              <w:rPr>
                <w:rFonts w:hint="eastAsia" w:ascii="新宋体" w:hAnsi="新宋体" w:eastAsia="新宋体" w:cs="新宋体"/>
                <w:szCs w:val="21"/>
              </w:rPr>
              <w:t>7.其他支出</w:t>
            </w:r>
          </w:p>
        </w:tc>
        <w:tc>
          <w:tcPr>
            <w:tcW w:w="1098"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hint="eastAsia" w:ascii="新宋体" w:hAnsi="新宋体" w:eastAsia="新宋体" w:cs="新宋体"/>
                <w:szCs w:val="21"/>
              </w:rPr>
            </w:pPr>
            <w:r>
              <w:rPr>
                <w:rFonts w:hint="eastAsia" w:ascii="新宋体" w:hAnsi="新宋体" w:eastAsia="新宋体" w:cs="新宋体"/>
                <w:szCs w:val="21"/>
              </w:rPr>
              <w:t>1.00</w:t>
            </w:r>
          </w:p>
        </w:tc>
        <w:tc>
          <w:tcPr>
            <w:tcW w:w="1243"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0</w:t>
            </w:r>
          </w:p>
        </w:tc>
        <w:tc>
          <w:tcPr>
            <w:tcW w:w="1078"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0</w:t>
            </w:r>
          </w:p>
        </w:tc>
      </w:tr>
      <w:tr>
        <w:tblPrEx>
          <w:tblCellMar>
            <w:top w:w="0" w:type="dxa"/>
            <w:left w:w="108" w:type="dxa"/>
            <w:bottom w:w="0" w:type="dxa"/>
            <w:right w:w="108" w:type="dxa"/>
          </w:tblCellMar>
        </w:tblPrEx>
        <w:trPr>
          <w:trHeight w:val="929" w:hRule="atLeast"/>
          <w:jc w:val="center"/>
        </w:trPr>
        <w:tc>
          <w:tcPr>
            <w:tcW w:w="1579" w:type="pct"/>
            <w:tcBorders>
              <w:top w:val="nil"/>
              <w:left w:val="single" w:color="auto" w:sz="4" w:space="0"/>
              <w:bottom w:val="single" w:color="auto" w:sz="4" w:space="0"/>
              <w:right w:val="single" w:color="auto" w:sz="4" w:space="0"/>
            </w:tcBorders>
            <w:noWrap/>
            <w:vAlign w:val="center"/>
          </w:tcPr>
          <w:p>
            <w:pPr>
              <w:widowControl/>
              <w:spacing w:line="240" w:lineRule="exact"/>
              <w:rPr>
                <w:rFonts w:ascii="新宋体" w:hAnsi="新宋体" w:eastAsia="新宋体" w:cs="新宋体"/>
                <w:szCs w:val="21"/>
              </w:rPr>
            </w:pPr>
            <w:r>
              <w:rPr>
                <w:rFonts w:hint="eastAsia" w:ascii="新宋体" w:hAnsi="新宋体" w:eastAsia="新宋体" w:cs="新宋体"/>
                <w:szCs w:val="21"/>
              </w:rPr>
              <w:t>8. 县级专项资金</w:t>
            </w:r>
          </w:p>
          <w:p>
            <w:pPr>
              <w:widowControl/>
              <w:spacing w:line="240" w:lineRule="exact"/>
              <w:rPr>
                <w:rFonts w:ascii="新宋体" w:hAnsi="新宋体" w:eastAsia="新宋体" w:cs="新宋体"/>
                <w:szCs w:val="21"/>
              </w:rPr>
            </w:pPr>
            <w:r>
              <w:rPr>
                <w:rFonts w:hint="eastAsia" w:ascii="新宋体" w:hAnsi="新宋体" w:eastAsia="新宋体" w:cs="新宋体"/>
                <w:szCs w:val="21"/>
              </w:rPr>
              <w:t>（业务工作经费）</w:t>
            </w:r>
          </w:p>
        </w:tc>
        <w:tc>
          <w:tcPr>
            <w:tcW w:w="1098"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29</w:t>
            </w:r>
          </w:p>
        </w:tc>
        <w:tc>
          <w:tcPr>
            <w:tcW w:w="1243"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13</w:t>
            </w:r>
          </w:p>
        </w:tc>
        <w:tc>
          <w:tcPr>
            <w:tcW w:w="1078" w:type="pct"/>
            <w:tcBorders>
              <w:top w:val="single" w:color="auto" w:sz="4" w:space="0"/>
              <w:left w:val="nil"/>
              <w:bottom w:val="single" w:color="auto" w:sz="4" w:space="0"/>
              <w:right w:val="single" w:color="000000" w:sz="4" w:space="0"/>
            </w:tcBorders>
            <w:noWrap/>
            <w:vAlign w:val="center"/>
          </w:tcPr>
          <w:p>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13</w:t>
            </w:r>
          </w:p>
        </w:tc>
      </w:tr>
      <w:tr>
        <w:tblPrEx>
          <w:tblCellMar>
            <w:top w:w="0" w:type="dxa"/>
            <w:left w:w="108" w:type="dxa"/>
            <w:bottom w:w="0" w:type="dxa"/>
            <w:right w:w="108" w:type="dxa"/>
          </w:tblCellMar>
        </w:tblPrEx>
        <w:trPr>
          <w:trHeight w:val="539" w:hRule="atLeast"/>
          <w:jc w:val="center"/>
        </w:trPr>
        <w:tc>
          <w:tcPr>
            <w:tcW w:w="1579" w:type="pct"/>
            <w:tcBorders>
              <w:top w:val="nil"/>
              <w:left w:val="single" w:color="auto" w:sz="4" w:space="0"/>
              <w:bottom w:val="single" w:color="auto" w:sz="4" w:space="0"/>
              <w:right w:val="single" w:color="auto" w:sz="4" w:space="0"/>
            </w:tcBorders>
            <w:noWrap/>
            <w:vAlign w:val="center"/>
          </w:tcPr>
          <w:p>
            <w:pPr>
              <w:widowControl/>
              <w:spacing w:line="240" w:lineRule="exact"/>
              <w:rPr>
                <w:rFonts w:ascii="新宋体" w:hAnsi="新宋体" w:eastAsia="新宋体" w:cs="新宋体"/>
                <w:szCs w:val="21"/>
              </w:rPr>
            </w:pPr>
            <w:r>
              <w:rPr>
                <w:rFonts w:hint="eastAsia" w:ascii="新宋体" w:hAnsi="新宋体" w:eastAsia="新宋体" w:cs="新宋体"/>
                <w:szCs w:val="21"/>
              </w:rPr>
              <w:t>厉行节约保障措施</w:t>
            </w:r>
          </w:p>
        </w:tc>
        <w:tc>
          <w:tcPr>
            <w:tcW w:w="3420" w:type="pct"/>
            <w:gridSpan w:val="3"/>
            <w:tcBorders>
              <w:top w:val="single" w:color="auto" w:sz="4" w:space="0"/>
              <w:left w:val="nil"/>
              <w:bottom w:val="single" w:color="auto" w:sz="4" w:space="0"/>
              <w:right w:val="single" w:color="000000" w:sz="4" w:space="0"/>
            </w:tcBorders>
            <w:noWrap/>
            <w:vAlign w:val="center"/>
          </w:tcPr>
          <w:p>
            <w:pPr>
              <w:widowControl/>
              <w:spacing w:line="240" w:lineRule="exact"/>
              <w:jc w:val="left"/>
              <w:rPr>
                <w:rFonts w:ascii="新宋体" w:hAnsi="新宋体" w:eastAsia="新宋体" w:cs="新宋体"/>
                <w:szCs w:val="21"/>
              </w:rPr>
            </w:pPr>
            <w:r>
              <w:rPr>
                <w:rFonts w:hint="eastAsia" w:ascii="新宋体" w:hAnsi="新宋体" w:eastAsia="新宋体" w:cs="新宋体"/>
                <w:szCs w:val="21"/>
              </w:rPr>
              <w:t>厉行节约，落实压减一般性支出文件精神；完善单位内部控制制度；控制接待费和差旅费；执行会议报批制度；强化节能宣传、创新制度规范、完善管理手续，对能耗适时监控，切实加强节能降耗工作力度。</w:t>
            </w:r>
          </w:p>
        </w:tc>
      </w:tr>
    </w:tbl>
    <w:p>
      <w:pPr>
        <w:widowControl/>
        <w:spacing w:line="240" w:lineRule="exact"/>
        <w:jc w:val="left"/>
        <w:rPr>
          <w:rFonts w:ascii="新宋体" w:hAnsi="新宋体" w:eastAsia="新宋体" w:cs="新宋体"/>
          <w:szCs w:val="21"/>
        </w:rPr>
      </w:pPr>
      <w:r>
        <w:rPr>
          <w:rFonts w:hint="eastAsia" w:ascii="新宋体" w:hAnsi="新宋体" w:eastAsia="新宋体" w:cs="新宋体"/>
          <w:szCs w:val="21"/>
        </w:rPr>
        <w:t>说明：以上数据均来源于部门决算报表，其中“基本支出”数据参照基本支出决算明细表（财决05-1表）；“三公经费”数据参照机构运行信息表（财决附03表）；“项目支出”数据参照项目支出决算明细表（财决05-2表）。</w:t>
      </w:r>
    </w:p>
    <w:p>
      <w:pPr>
        <w:widowControl/>
        <w:spacing w:line="400" w:lineRule="exact"/>
        <w:jc w:val="left"/>
        <w:rPr>
          <w:rFonts w:eastAsia="黑体"/>
          <w:sz w:val="32"/>
          <w:szCs w:val="32"/>
        </w:rPr>
      </w:pPr>
      <w:r>
        <w:rPr>
          <w:rFonts w:eastAsia="仿宋_GB2312"/>
          <w:sz w:val="22"/>
        </w:rPr>
        <w:t>填表人：</w:t>
      </w:r>
      <w:r>
        <w:rPr>
          <w:rFonts w:hint="eastAsia" w:eastAsia="仿宋_GB2312"/>
          <w:sz w:val="22"/>
        </w:rPr>
        <w:t>赵梦雅</w:t>
      </w:r>
      <w:r>
        <w:rPr>
          <w:rFonts w:eastAsia="仿宋_GB2312"/>
          <w:sz w:val="22"/>
        </w:rPr>
        <w:t xml:space="preserve"> 填报日期：</w:t>
      </w:r>
      <w:r>
        <w:rPr>
          <w:rFonts w:hint="eastAsia" w:eastAsia="仿宋_GB2312"/>
          <w:sz w:val="22"/>
        </w:rPr>
        <w:t>2023年7月14日</w:t>
      </w:r>
      <w:r>
        <w:rPr>
          <w:rFonts w:eastAsia="仿宋_GB2312"/>
          <w:sz w:val="22"/>
        </w:rPr>
        <w:t xml:space="preserve"> 联系电话：</w:t>
      </w:r>
      <w:r>
        <w:rPr>
          <w:rFonts w:hint="eastAsia" w:eastAsia="仿宋_GB2312"/>
          <w:sz w:val="22"/>
        </w:rPr>
        <w:t>18390158809</w:t>
      </w:r>
      <w:r>
        <w:rPr>
          <w:rFonts w:eastAsia="仿宋_GB2312"/>
          <w:sz w:val="22"/>
        </w:rPr>
        <w:t xml:space="preserve">  单位负责人签字：</w:t>
      </w:r>
      <w:r>
        <w:rPr>
          <w:rFonts w:eastAsia="仿宋_GB2312"/>
          <w:sz w:val="22"/>
        </w:rPr>
        <w:br w:type="page"/>
      </w:r>
      <w:r>
        <w:rPr>
          <w:rFonts w:ascii="黑体" w:hAnsi="黑体" w:eastAsia="黑体" w:cs="黑体"/>
          <w:sz w:val="32"/>
          <w:szCs w:val="32"/>
        </w:rPr>
        <w:t>附件</w:t>
      </w:r>
      <w:r>
        <w:rPr>
          <w:rFonts w:hint="eastAsia" w:ascii="黑体" w:hAnsi="黑体" w:eastAsia="黑体" w:cs="黑体"/>
          <w:sz w:val="32"/>
          <w:szCs w:val="32"/>
        </w:rPr>
        <w:t>2</w:t>
      </w:r>
    </w:p>
    <w:p>
      <w:pPr>
        <w:spacing w:beforeLines="50" w:afterLines="100" w:line="600" w:lineRule="exact"/>
        <w:jc w:val="center"/>
        <w:rPr>
          <w:rFonts w:ascii="微软雅黑" w:hAnsi="微软雅黑" w:eastAsia="微软雅黑" w:cs="微软雅黑"/>
          <w:sz w:val="44"/>
          <w:szCs w:val="44"/>
        </w:rPr>
      </w:pPr>
      <w:r>
        <w:rPr>
          <w:rFonts w:hint="eastAsia" w:ascii="微软雅黑" w:hAnsi="微软雅黑" w:eastAsia="微软雅黑" w:cs="微软雅黑"/>
          <w:sz w:val="44"/>
          <w:szCs w:val="44"/>
        </w:rPr>
        <w:t>2022年度部门整体支出绩效自评表</w:t>
      </w:r>
    </w:p>
    <w:tbl>
      <w:tblPr>
        <w:tblStyle w:val="7"/>
        <w:tblW w:w="5000" w:type="pct"/>
        <w:jc w:val="center"/>
        <w:tblLayout w:type="autofit"/>
        <w:tblCellMar>
          <w:top w:w="0" w:type="dxa"/>
          <w:left w:w="108" w:type="dxa"/>
          <w:bottom w:w="0" w:type="dxa"/>
          <w:right w:w="108" w:type="dxa"/>
        </w:tblCellMar>
      </w:tblPr>
      <w:tblGrid>
        <w:gridCol w:w="495"/>
        <w:gridCol w:w="365"/>
        <w:gridCol w:w="530"/>
        <w:gridCol w:w="1963"/>
        <w:gridCol w:w="1963"/>
        <w:gridCol w:w="1059"/>
        <w:gridCol w:w="933"/>
        <w:gridCol w:w="968"/>
        <w:gridCol w:w="1012"/>
      </w:tblGrid>
      <w:tr>
        <w:tblPrEx>
          <w:tblCellMar>
            <w:top w:w="0" w:type="dxa"/>
            <w:left w:w="108" w:type="dxa"/>
            <w:bottom w:w="0" w:type="dxa"/>
            <w:right w:w="108" w:type="dxa"/>
          </w:tblCellMar>
        </w:tblPrEx>
        <w:trPr>
          <w:trHeight w:val="1003" w:hRule="atLeast"/>
          <w:jc w:val="center"/>
        </w:trPr>
        <w:tc>
          <w:tcPr>
            <w:tcW w:w="26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县级预算部门名称</w:t>
            </w:r>
          </w:p>
        </w:tc>
        <w:tc>
          <w:tcPr>
            <w:tcW w:w="4733" w:type="pct"/>
            <w:gridSpan w:val="8"/>
            <w:tcBorders>
              <w:top w:val="single" w:color="auto" w:sz="4" w:space="0"/>
              <w:left w:val="nil"/>
              <w:bottom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华容县人民政府办公室</w:t>
            </w:r>
          </w:p>
        </w:tc>
      </w:tr>
      <w:tr>
        <w:tblPrEx>
          <w:tblCellMar>
            <w:top w:w="0" w:type="dxa"/>
            <w:left w:w="108" w:type="dxa"/>
            <w:bottom w:w="0" w:type="dxa"/>
            <w:right w:w="108" w:type="dxa"/>
          </w:tblCellMar>
        </w:tblPrEx>
        <w:trPr>
          <w:trHeight w:val="863" w:hRule="atLeast"/>
          <w:jc w:val="center"/>
        </w:trPr>
        <w:tc>
          <w:tcPr>
            <w:tcW w:w="267" w:type="pct"/>
            <w:vMerge w:val="restart"/>
            <w:tcBorders>
              <w:top w:val="nil"/>
              <w:left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年度</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预算</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申请</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（万元）</w:t>
            </w:r>
          </w:p>
        </w:tc>
        <w:tc>
          <w:tcPr>
            <w:tcW w:w="482" w:type="pct"/>
            <w:gridSpan w:val="2"/>
            <w:tcBorders>
              <w:top w:val="nil"/>
              <w:left w:val="nil"/>
              <w:bottom w:val="single" w:color="auto" w:sz="4" w:space="0"/>
              <w:right w:val="single" w:color="auto" w:sz="4" w:space="0"/>
            </w:tcBorders>
            <w:noWrap/>
            <w:vAlign w:val="center"/>
          </w:tcPr>
          <w:p>
            <w:pPr>
              <w:spacing w:line="0" w:lineRule="atLeast"/>
              <w:jc w:val="center"/>
              <w:rPr>
                <w:rFonts w:ascii="新宋体" w:hAnsi="新宋体" w:eastAsia="新宋体" w:cs="新宋体"/>
                <w:szCs w:val="21"/>
              </w:rPr>
            </w:pPr>
          </w:p>
        </w:tc>
        <w:tc>
          <w:tcPr>
            <w:tcW w:w="1057" w:type="pct"/>
            <w:tcBorders>
              <w:top w:val="nil"/>
              <w:left w:val="nil"/>
              <w:bottom w:val="single" w:color="auto" w:sz="4" w:space="0"/>
              <w:right w:val="single" w:color="auto" w:sz="4" w:space="0"/>
            </w:tcBorders>
            <w:noWrap/>
            <w:vAlign w:val="center"/>
          </w:tcPr>
          <w:p>
            <w:pPr>
              <w:spacing w:line="0" w:lineRule="atLeast"/>
              <w:jc w:val="center"/>
              <w:rPr>
                <w:rFonts w:ascii="新宋体" w:hAnsi="新宋体" w:eastAsia="新宋体" w:cs="新宋体"/>
                <w:szCs w:val="21"/>
              </w:rPr>
            </w:pPr>
            <w:r>
              <w:rPr>
                <w:rFonts w:hint="eastAsia" w:ascii="新宋体" w:hAnsi="新宋体" w:eastAsia="新宋体" w:cs="新宋体"/>
                <w:szCs w:val="21"/>
              </w:rPr>
              <w:t>年初</w:t>
            </w:r>
          </w:p>
          <w:p>
            <w:pPr>
              <w:spacing w:line="0" w:lineRule="atLeast"/>
              <w:jc w:val="center"/>
              <w:rPr>
                <w:rFonts w:ascii="新宋体" w:hAnsi="新宋体" w:eastAsia="新宋体" w:cs="新宋体"/>
                <w:szCs w:val="21"/>
              </w:rPr>
            </w:pPr>
            <w:r>
              <w:rPr>
                <w:rFonts w:hint="eastAsia" w:ascii="新宋体" w:hAnsi="新宋体" w:eastAsia="新宋体" w:cs="新宋体"/>
                <w:szCs w:val="21"/>
              </w:rPr>
              <w:t>预算数</w:t>
            </w:r>
          </w:p>
        </w:tc>
        <w:tc>
          <w:tcPr>
            <w:tcW w:w="1057" w:type="pct"/>
            <w:tcBorders>
              <w:top w:val="nil"/>
              <w:left w:val="nil"/>
              <w:bottom w:val="single" w:color="auto" w:sz="4" w:space="0"/>
              <w:right w:val="single" w:color="auto" w:sz="4" w:space="0"/>
            </w:tcBorders>
            <w:noWrap/>
            <w:vAlign w:val="center"/>
          </w:tcPr>
          <w:p>
            <w:pPr>
              <w:spacing w:line="0" w:lineRule="atLeast"/>
              <w:jc w:val="center"/>
              <w:rPr>
                <w:rFonts w:ascii="新宋体" w:hAnsi="新宋体" w:eastAsia="新宋体" w:cs="新宋体"/>
                <w:szCs w:val="21"/>
              </w:rPr>
            </w:pPr>
            <w:r>
              <w:rPr>
                <w:rFonts w:hint="eastAsia" w:ascii="新宋体" w:hAnsi="新宋体" w:eastAsia="新宋体" w:cs="新宋体"/>
                <w:szCs w:val="21"/>
              </w:rPr>
              <w:t>全年</w:t>
            </w:r>
          </w:p>
          <w:p>
            <w:pPr>
              <w:spacing w:line="0" w:lineRule="atLeast"/>
              <w:jc w:val="center"/>
              <w:rPr>
                <w:rFonts w:ascii="新宋体" w:hAnsi="新宋体" w:eastAsia="新宋体" w:cs="新宋体"/>
                <w:szCs w:val="21"/>
              </w:rPr>
            </w:pPr>
            <w:r>
              <w:rPr>
                <w:rFonts w:hint="eastAsia" w:ascii="新宋体" w:hAnsi="新宋体" w:eastAsia="新宋体" w:cs="新宋体"/>
                <w:szCs w:val="21"/>
              </w:rPr>
              <w:t>预算数</w:t>
            </w:r>
          </w:p>
        </w:tc>
        <w:tc>
          <w:tcPr>
            <w:tcW w:w="578" w:type="pct"/>
            <w:tcBorders>
              <w:top w:val="nil"/>
              <w:left w:val="nil"/>
              <w:bottom w:val="single" w:color="auto" w:sz="4" w:space="0"/>
              <w:right w:val="single" w:color="auto" w:sz="4" w:space="0"/>
            </w:tcBorders>
            <w:noWrap/>
            <w:vAlign w:val="center"/>
          </w:tcPr>
          <w:p>
            <w:pPr>
              <w:spacing w:line="0" w:lineRule="atLeast"/>
              <w:jc w:val="center"/>
              <w:rPr>
                <w:rFonts w:ascii="新宋体" w:hAnsi="新宋体" w:eastAsia="新宋体" w:cs="新宋体"/>
                <w:szCs w:val="21"/>
              </w:rPr>
            </w:pPr>
            <w:r>
              <w:rPr>
                <w:rFonts w:hint="eastAsia" w:ascii="新宋体" w:hAnsi="新宋体" w:eastAsia="新宋体" w:cs="新宋体"/>
                <w:szCs w:val="21"/>
              </w:rPr>
              <w:t>全年</w:t>
            </w:r>
          </w:p>
          <w:p>
            <w:pPr>
              <w:spacing w:line="0" w:lineRule="atLeast"/>
              <w:jc w:val="center"/>
              <w:rPr>
                <w:rFonts w:ascii="新宋体" w:hAnsi="新宋体" w:eastAsia="新宋体" w:cs="新宋体"/>
                <w:szCs w:val="21"/>
              </w:rPr>
            </w:pPr>
            <w:r>
              <w:rPr>
                <w:rFonts w:hint="eastAsia" w:ascii="新宋体" w:hAnsi="新宋体" w:eastAsia="新宋体" w:cs="新宋体"/>
                <w:szCs w:val="21"/>
              </w:rPr>
              <w:t>执行数</w:t>
            </w:r>
          </w:p>
        </w:tc>
        <w:tc>
          <w:tcPr>
            <w:tcW w:w="495" w:type="pct"/>
            <w:tcBorders>
              <w:top w:val="nil"/>
              <w:left w:val="nil"/>
              <w:bottom w:val="single" w:color="auto" w:sz="4" w:space="0"/>
              <w:right w:val="single" w:color="auto" w:sz="4" w:space="0"/>
            </w:tcBorders>
            <w:noWrap/>
            <w:vAlign w:val="center"/>
          </w:tcPr>
          <w:p>
            <w:pPr>
              <w:spacing w:line="0" w:lineRule="atLeast"/>
              <w:jc w:val="center"/>
              <w:rPr>
                <w:rFonts w:ascii="新宋体" w:hAnsi="新宋体" w:eastAsia="新宋体" w:cs="新宋体"/>
                <w:szCs w:val="21"/>
              </w:rPr>
            </w:pPr>
            <w:r>
              <w:rPr>
                <w:rFonts w:hint="eastAsia" w:ascii="新宋体" w:hAnsi="新宋体" w:eastAsia="新宋体" w:cs="新宋体"/>
                <w:szCs w:val="21"/>
              </w:rPr>
              <w:t>分值</w:t>
            </w:r>
          </w:p>
        </w:tc>
        <w:tc>
          <w:tcPr>
            <w:tcW w:w="518" w:type="pct"/>
            <w:tcBorders>
              <w:top w:val="nil"/>
              <w:left w:val="nil"/>
              <w:bottom w:val="single" w:color="auto" w:sz="4" w:space="0"/>
              <w:right w:val="single" w:color="auto" w:sz="4" w:space="0"/>
            </w:tcBorders>
            <w:noWrap/>
            <w:vAlign w:val="center"/>
          </w:tcPr>
          <w:p>
            <w:pPr>
              <w:spacing w:line="0" w:lineRule="atLeast"/>
              <w:jc w:val="center"/>
              <w:rPr>
                <w:rFonts w:ascii="新宋体" w:hAnsi="新宋体" w:eastAsia="新宋体" w:cs="新宋体"/>
                <w:szCs w:val="21"/>
              </w:rPr>
            </w:pPr>
            <w:r>
              <w:rPr>
                <w:rFonts w:hint="eastAsia" w:ascii="新宋体" w:hAnsi="新宋体" w:eastAsia="新宋体" w:cs="新宋体"/>
                <w:szCs w:val="21"/>
              </w:rPr>
              <w:t>执行率</w:t>
            </w:r>
          </w:p>
        </w:tc>
        <w:tc>
          <w:tcPr>
            <w:tcW w:w="547" w:type="pct"/>
            <w:tcBorders>
              <w:top w:val="nil"/>
              <w:left w:val="nil"/>
              <w:bottom w:val="single" w:color="auto" w:sz="4" w:space="0"/>
              <w:right w:val="single" w:color="auto" w:sz="4" w:space="0"/>
            </w:tcBorders>
            <w:noWrap/>
            <w:vAlign w:val="center"/>
          </w:tcPr>
          <w:p>
            <w:pPr>
              <w:spacing w:line="0" w:lineRule="atLeast"/>
              <w:jc w:val="center"/>
              <w:rPr>
                <w:rFonts w:ascii="新宋体" w:hAnsi="新宋体" w:eastAsia="新宋体" w:cs="新宋体"/>
                <w:szCs w:val="21"/>
              </w:rPr>
            </w:pPr>
            <w:r>
              <w:rPr>
                <w:rFonts w:hint="eastAsia" w:ascii="新宋体" w:hAnsi="新宋体" w:eastAsia="新宋体" w:cs="新宋体"/>
                <w:szCs w:val="21"/>
              </w:rPr>
              <w:t>得分</w:t>
            </w:r>
          </w:p>
        </w:tc>
      </w:tr>
      <w:tr>
        <w:tblPrEx>
          <w:tblCellMar>
            <w:top w:w="0" w:type="dxa"/>
            <w:left w:w="108" w:type="dxa"/>
            <w:bottom w:w="0" w:type="dxa"/>
            <w:right w:w="108" w:type="dxa"/>
          </w:tblCellMar>
        </w:tblPrEx>
        <w:trPr>
          <w:trHeight w:val="462" w:hRule="atLeast"/>
          <w:jc w:val="center"/>
        </w:trPr>
        <w:tc>
          <w:tcPr>
            <w:tcW w:w="267" w:type="pct"/>
            <w:vMerge w:val="continue"/>
            <w:tcBorders>
              <w:top w:val="nil"/>
              <w:left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p>
        </w:tc>
        <w:tc>
          <w:tcPr>
            <w:tcW w:w="482" w:type="pct"/>
            <w:gridSpan w:val="2"/>
            <w:tcBorders>
              <w:top w:val="nil"/>
              <w:left w:val="nil"/>
              <w:bottom w:val="single" w:color="auto" w:sz="4" w:space="0"/>
              <w:right w:val="single" w:color="auto" w:sz="4" w:space="0"/>
            </w:tcBorders>
            <w:noWrap/>
            <w:vAlign w:val="center"/>
          </w:tcPr>
          <w:p>
            <w:pPr>
              <w:spacing w:line="0" w:lineRule="atLeast"/>
              <w:jc w:val="center"/>
              <w:rPr>
                <w:rFonts w:ascii="新宋体" w:hAnsi="新宋体" w:eastAsia="新宋体" w:cs="新宋体"/>
                <w:szCs w:val="21"/>
              </w:rPr>
            </w:pPr>
            <w:r>
              <w:rPr>
                <w:rFonts w:hint="eastAsia" w:ascii="新宋体" w:hAnsi="新宋体" w:eastAsia="新宋体" w:cs="新宋体"/>
                <w:color w:val="000000"/>
                <w:szCs w:val="21"/>
              </w:rPr>
              <w:t>年度资金总额</w:t>
            </w:r>
          </w:p>
        </w:tc>
        <w:tc>
          <w:tcPr>
            <w:tcW w:w="1057" w:type="pct"/>
            <w:tcBorders>
              <w:top w:val="nil"/>
              <w:left w:val="nil"/>
              <w:bottom w:val="single" w:color="auto" w:sz="4" w:space="0"/>
              <w:right w:val="single" w:color="auto" w:sz="4" w:space="0"/>
            </w:tcBorders>
            <w:noWrap/>
            <w:vAlign w:val="center"/>
          </w:tcPr>
          <w:p>
            <w:pPr>
              <w:spacing w:line="0" w:lineRule="atLeast"/>
              <w:jc w:val="center"/>
              <w:rPr>
                <w:rFonts w:ascii="新宋体" w:hAnsi="新宋体" w:eastAsia="新宋体" w:cs="新宋体"/>
                <w:szCs w:val="21"/>
              </w:rPr>
            </w:pPr>
            <w:r>
              <w:rPr>
                <w:rFonts w:ascii="新宋体" w:hAnsi="新宋体" w:eastAsia="新宋体" w:cs="新宋体"/>
                <w:szCs w:val="21"/>
              </w:rPr>
              <w:t>956.00</w:t>
            </w:r>
          </w:p>
        </w:tc>
        <w:tc>
          <w:tcPr>
            <w:tcW w:w="1057" w:type="pct"/>
            <w:tcBorders>
              <w:top w:val="nil"/>
              <w:left w:val="nil"/>
              <w:bottom w:val="single" w:color="auto" w:sz="4" w:space="0"/>
              <w:right w:val="single" w:color="auto" w:sz="4" w:space="0"/>
            </w:tcBorders>
            <w:noWrap/>
            <w:vAlign w:val="center"/>
          </w:tcPr>
          <w:p>
            <w:pPr>
              <w:spacing w:line="0" w:lineRule="atLeast"/>
              <w:jc w:val="center"/>
              <w:rPr>
                <w:rFonts w:ascii="新宋体" w:hAnsi="新宋体" w:eastAsia="新宋体" w:cs="新宋体"/>
                <w:szCs w:val="21"/>
              </w:rPr>
            </w:pPr>
            <w:r>
              <w:rPr>
                <w:rFonts w:ascii="新宋体" w:hAnsi="新宋体" w:eastAsia="新宋体" w:cs="新宋体"/>
                <w:szCs w:val="21"/>
              </w:rPr>
              <w:t>1,962.53</w:t>
            </w:r>
          </w:p>
        </w:tc>
        <w:tc>
          <w:tcPr>
            <w:tcW w:w="578" w:type="pct"/>
            <w:tcBorders>
              <w:top w:val="nil"/>
              <w:left w:val="nil"/>
              <w:bottom w:val="single" w:color="auto" w:sz="4" w:space="0"/>
              <w:right w:val="single" w:color="auto" w:sz="4" w:space="0"/>
            </w:tcBorders>
            <w:noWrap/>
            <w:vAlign w:val="center"/>
          </w:tcPr>
          <w:p>
            <w:pPr>
              <w:spacing w:line="0" w:lineRule="atLeast"/>
              <w:jc w:val="center"/>
              <w:rPr>
                <w:rFonts w:ascii="新宋体" w:hAnsi="新宋体" w:eastAsia="新宋体" w:cs="新宋体"/>
                <w:szCs w:val="21"/>
              </w:rPr>
            </w:pPr>
            <w:r>
              <w:rPr>
                <w:rFonts w:ascii="新宋体" w:hAnsi="新宋体" w:eastAsia="新宋体" w:cs="新宋体"/>
                <w:szCs w:val="21"/>
              </w:rPr>
              <w:t>1,962.53</w:t>
            </w:r>
          </w:p>
        </w:tc>
        <w:tc>
          <w:tcPr>
            <w:tcW w:w="495" w:type="pct"/>
            <w:tcBorders>
              <w:top w:val="nil"/>
              <w:left w:val="nil"/>
              <w:bottom w:val="single" w:color="auto" w:sz="4" w:space="0"/>
              <w:right w:val="single" w:color="auto" w:sz="4" w:space="0"/>
            </w:tcBorders>
            <w:noWrap/>
            <w:vAlign w:val="center"/>
          </w:tcPr>
          <w:p>
            <w:pPr>
              <w:spacing w:line="0" w:lineRule="atLeast"/>
              <w:jc w:val="center"/>
              <w:rPr>
                <w:rFonts w:ascii="新宋体" w:hAnsi="新宋体" w:eastAsia="新宋体" w:cs="新宋体"/>
                <w:szCs w:val="21"/>
              </w:rPr>
            </w:pPr>
            <w:r>
              <w:rPr>
                <w:rFonts w:hint="eastAsia" w:ascii="新宋体" w:hAnsi="新宋体" w:eastAsia="新宋体" w:cs="新宋体"/>
                <w:szCs w:val="21"/>
              </w:rPr>
              <w:t>10</w:t>
            </w:r>
          </w:p>
        </w:tc>
        <w:tc>
          <w:tcPr>
            <w:tcW w:w="518" w:type="pct"/>
            <w:tcBorders>
              <w:top w:val="nil"/>
              <w:left w:val="nil"/>
              <w:bottom w:val="single" w:color="auto" w:sz="4" w:space="0"/>
              <w:right w:val="single" w:color="auto" w:sz="4" w:space="0"/>
            </w:tcBorders>
            <w:noWrap/>
            <w:vAlign w:val="center"/>
          </w:tcPr>
          <w:p>
            <w:pPr>
              <w:spacing w:line="0" w:lineRule="atLeast"/>
              <w:jc w:val="center"/>
              <w:rPr>
                <w:rFonts w:ascii="新宋体" w:hAnsi="新宋体" w:eastAsia="新宋体" w:cs="新宋体"/>
                <w:szCs w:val="21"/>
              </w:rPr>
            </w:pPr>
            <w:r>
              <w:rPr>
                <w:rFonts w:hint="eastAsia" w:ascii="新宋体" w:hAnsi="新宋体" w:eastAsia="新宋体" w:cs="新宋体"/>
                <w:szCs w:val="21"/>
              </w:rPr>
              <w:t>100%</w:t>
            </w:r>
          </w:p>
        </w:tc>
        <w:tc>
          <w:tcPr>
            <w:tcW w:w="547" w:type="pct"/>
            <w:tcBorders>
              <w:top w:val="nil"/>
              <w:left w:val="nil"/>
              <w:bottom w:val="single" w:color="auto" w:sz="4" w:space="0"/>
              <w:right w:val="single" w:color="auto" w:sz="4" w:space="0"/>
            </w:tcBorders>
            <w:noWrap/>
            <w:vAlign w:val="center"/>
          </w:tcPr>
          <w:p>
            <w:pPr>
              <w:spacing w:line="0" w:lineRule="atLeast"/>
              <w:jc w:val="center"/>
              <w:rPr>
                <w:rFonts w:ascii="新宋体" w:hAnsi="新宋体" w:eastAsia="新宋体" w:cs="新宋体"/>
                <w:szCs w:val="21"/>
              </w:rPr>
            </w:pPr>
            <w:r>
              <w:rPr>
                <w:rFonts w:hint="eastAsia" w:ascii="新宋体" w:hAnsi="新宋体" w:eastAsia="新宋体" w:cs="新宋体"/>
                <w:szCs w:val="21"/>
              </w:rPr>
              <w:t>10</w:t>
            </w:r>
          </w:p>
        </w:tc>
      </w:tr>
      <w:tr>
        <w:tblPrEx>
          <w:tblCellMar>
            <w:top w:w="0" w:type="dxa"/>
            <w:left w:w="108" w:type="dxa"/>
            <w:bottom w:w="0" w:type="dxa"/>
            <w:right w:w="108" w:type="dxa"/>
          </w:tblCellMar>
        </w:tblPrEx>
        <w:trPr>
          <w:trHeight w:val="462" w:hRule="atLeast"/>
          <w:jc w:val="center"/>
        </w:trPr>
        <w:tc>
          <w:tcPr>
            <w:tcW w:w="267" w:type="pct"/>
            <w:vMerge w:val="continue"/>
            <w:tcBorders>
              <w:left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p>
        </w:tc>
        <w:tc>
          <w:tcPr>
            <w:tcW w:w="2595" w:type="pct"/>
            <w:gridSpan w:val="4"/>
            <w:tcBorders>
              <w:top w:val="nil"/>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按收入性质分：</w:t>
            </w:r>
            <w:r>
              <w:rPr>
                <w:rFonts w:ascii="新宋体" w:hAnsi="新宋体" w:eastAsia="新宋体" w:cs="新宋体"/>
                <w:szCs w:val="21"/>
              </w:rPr>
              <w:t>1,962.53</w:t>
            </w:r>
          </w:p>
        </w:tc>
        <w:tc>
          <w:tcPr>
            <w:tcW w:w="2138" w:type="pct"/>
            <w:gridSpan w:val="4"/>
            <w:tcBorders>
              <w:top w:val="nil"/>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按支出性质分：</w:t>
            </w:r>
            <w:r>
              <w:rPr>
                <w:rFonts w:ascii="新宋体" w:hAnsi="新宋体" w:eastAsia="新宋体" w:cs="新宋体"/>
                <w:szCs w:val="21"/>
              </w:rPr>
              <w:t>1,962.53</w:t>
            </w:r>
          </w:p>
        </w:tc>
      </w:tr>
      <w:tr>
        <w:tblPrEx>
          <w:tblCellMar>
            <w:top w:w="0" w:type="dxa"/>
            <w:left w:w="108" w:type="dxa"/>
            <w:bottom w:w="0" w:type="dxa"/>
            <w:right w:w="108" w:type="dxa"/>
          </w:tblCellMar>
        </w:tblPrEx>
        <w:trPr>
          <w:trHeight w:val="462" w:hRule="atLeast"/>
          <w:jc w:val="center"/>
        </w:trPr>
        <w:tc>
          <w:tcPr>
            <w:tcW w:w="267" w:type="pct"/>
            <w:vMerge w:val="continue"/>
            <w:tcBorders>
              <w:left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p>
        </w:tc>
        <w:tc>
          <w:tcPr>
            <w:tcW w:w="2595" w:type="pct"/>
            <w:gridSpan w:val="4"/>
            <w:tcBorders>
              <w:top w:val="nil"/>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其中：一般公共预算：</w:t>
            </w:r>
            <w:r>
              <w:rPr>
                <w:rFonts w:ascii="新宋体" w:hAnsi="新宋体" w:eastAsia="新宋体" w:cs="新宋体"/>
                <w:szCs w:val="21"/>
              </w:rPr>
              <w:t>1,962.53</w:t>
            </w:r>
          </w:p>
        </w:tc>
        <w:tc>
          <w:tcPr>
            <w:tcW w:w="2138" w:type="pct"/>
            <w:gridSpan w:val="4"/>
            <w:tcBorders>
              <w:top w:val="nil"/>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其中：基本支出：</w:t>
            </w:r>
            <w:r>
              <w:rPr>
                <w:rFonts w:ascii="新宋体" w:hAnsi="新宋体" w:eastAsia="新宋体" w:cs="新宋体"/>
                <w:color w:val="000000"/>
                <w:szCs w:val="21"/>
              </w:rPr>
              <w:t>1,513.79</w:t>
            </w:r>
          </w:p>
        </w:tc>
      </w:tr>
      <w:tr>
        <w:tblPrEx>
          <w:tblCellMar>
            <w:top w:w="0" w:type="dxa"/>
            <w:left w:w="108" w:type="dxa"/>
            <w:bottom w:w="0" w:type="dxa"/>
            <w:right w:w="108" w:type="dxa"/>
          </w:tblCellMar>
        </w:tblPrEx>
        <w:trPr>
          <w:trHeight w:val="462" w:hRule="atLeast"/>
          <w:jc w:val="center"/>
        </w:trPr>
        <w:tc>
          <w:tcPr>
            <w:tcW w:w="267" w:type="pct"/>
            <w:vMerge w:val="continue"/>
            <w:tcBorders>
              <w:left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p>
        </w:tc>
        <w:tc>
          <w:tcPr>
            <w:tcW w:w="2595" w:type="pct"/>
            <w:gridSpan w:val="4"/>
            <w:tcBorders>
              <w:top w:val="nil"/>
              <w:left w:val="nil"/>
              <w:bottom w:val="single" w:color="auto" w:sz="4" w:space="0"/>
              <w:right w:val="single" w:color="auto" w:sz="4" w:space="0"/>
            </w:tcBorders>
            <w:noWrap/>
            <w:vAlign w:val="center"/>
          </w:tcPr>
          <w:p>
            <w:pPr>
              <w:widowControl/>
              <w:spacing w:line="0" w:lineRule="atLeast"/>
              <w:ind w:firstLine="630" w:firstLineChars="300"/>
              <w:jc w:val="left"/>
              <w:rPr>
                <w:rFonts w:ascii="新宋体" w:hAnsi="新宋体" w:eastAsia="新宋体" w:cs="新宋体"/>
                <w:color w:val="000000"/>
                <w:szCs w:val="21"/>
              </w:rPr>
            </w:pPr>
            <w:r>
              <w:rPr>
                <w:rFonts w:hint="eastAsia" w:ascii="新宋体" w:hAnsi="新宋体" w:eastAsia="新宋体" w:cs="新宋体"/>
                <w:color w:val="000000"/>
                <w:szCs w:val="21"/>
              </w:rPr>
              <w:t>政府性基金拨款：</w:t>
            </w:r>
          </w:p>
        </w:tc>
        <w:tc>
          <w:tcPr>
            <w:tcW w:w="2138" w:type="pct"/>
            <w:gridSpan w:val="4"/>
            <w:tcBorders>
              <w:top w:val="nil"/>
              <w:left w:val="nil"/>
              <w:bottom w:val="single" w:color="auto" w:sz="4" w:space="0"/>
              <w:right w:val="single" w:color="auto" w:sz="4" w:space="0"/>
            </w:tcBorders>
            <w:noWrap/>
            <w:vAlign w:val="center"/>
          </w:tcPr>
          <w:p>
            <w:pPr>
              <w:widowControl/>
              <w:spacing w:line="0" w:lineRule="atLeast"/>
              <w:ind w:firstLine="630" w:firstLineChars="300"/>
              <w:jc w:val="left"/>
              <w:rPr>
                <w:rFonts w:ascii="新宋体" w:hAnsi="新宋体" w:eastAsia="新宋体" w:cs="新宋体"/>
                <w:color w:val="000000"/>
                <w:szCs w:val="21"/>
              </w:rPr>
            </w:pPr>
            <w:r>
              <w:rPr>
                <w:rFonts w:hint="eastAsia" w:ascii="新宋体" w:hAnsi="新宋体" w:eastAsia="新宋体" w:cs="新宋体"/>
                <w:color w:val="000000"/>
                <w:szCs w:val="21"/>
              </w:rPr>
              <w:t>项目支出：</w:t>
            </w:r>
            <w:r>
              <w:rPr>
                <w:rFonts w:ascii="新宋体" w:hAnsi="新宋体" w:eastAsia="新宋体" w:cs="新宋体"/>
                <w:color w:val="000000"/>
                <w:szCs w:val="21"/>
              </w:rPr>
              <w:t>448.74</w:t>
            </w:r>
          </w:p>
        </w:tc>
      </w:tr>
      <w:tr>
        <w:tblPrEx>
          <w:tblCellMar>
            <w:top w:w="0" w:type="dxa"/>
            <w:left w:w="108" w:type="dxa"/>
            <w:bottom w:w="0" w:type="dxa"/>
            <w:right w:w="108" w:type="dxa"/>
          </w:tblCellMar>
        </w:tblPrEx>
        <w:trPr>
          <w:trHeight w:val="462" w:hRule="atLeast"/>
          <w:jc w:val="center"/>
        </w:trPr>
        <w:tc>
          <w:tcPr>
            <w:tcW w:w="267" w:type="pct"/>
            <w:vMerge w:val="continue"/>
            <w:tcBorders>
              <w:left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p>
        </w:tc>
        <w:tc>
          <w:tcPr>
            <w:tcW w:w="2595" w:type="pct"/>
            <w:gridSpan w:val="4"/>
            <w:tcBorders>
              <w:top w:val="nil"/>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纳入专户管理的非税收入拨款：</w:t>
            </w:r>
          </w:p>
        </w:tc>
        <w:tc>
          <w:tcPr>
            <w:tcW w:w="2138" w:type="pct"/>
            <w:gridSpan w:val="4"/>
            <w:tcBorders>
              <w:top w:val="nil"/>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p>
        </w:tc>
      </w:tr>
      <w:tr>
        <w:tblPrEx>
          <w:tblCellMar>
            <w:top w:w="0" w:type="dxa"/>
            <w:left w:w="108" w:type="dxa"/>
            <w:bottom w:w="0" w:type="dxa"/>
            <w:right w:w="108" w:type="dxa"/>
          </w:tblCellMar>
        </w:tblPrEx>
        <w:trPr>
          <w:trHeight w:val="462" w:hRule="atLeast"/>
          <w:jc w:val="center"/>
        </w:trPr>
        <w:tc>
          <w:tcPr>
            <w:tcW w:w="267" w:type="pct"/>
            <w:vMerge w:val="continue"/>
            <w:tcBorders>
              <w:left w:val="single" w:color="auto" w:sz="4" w:space="0"/>
              <w:bottom w:val="single" w:color="000000"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p>
        </w:tc>
        <w:tc>
          <w:tcPr>
            <w:tcW w:w="2595" w:type="pct"/>
            <w:gridSpan w:val="4"/>
            <w:tcBorders>
              <w:top w:val="nil"/>
              <w:left w:val="nil"/>
              <w:bottom w:val="single" w:color="auto" w:sz="4" w:space="0"/>
              <w:right w:val="single" w:color="auto" w:sz="4" w:space="0"/>
            </w:tcBorders>
            <w:noWrap/>
            <w:vAlign w:val="center"/>
          </w:tcPr>
          <w:p>
            <w:pPr>
              <w:widowControl/>
              <w:spacing w:line="0" w:lineRule="atLeast"/>
              <w:ind w:firstLine="1260" w:firstLineChars="600"/>
              <w:jc w:val="left"/>
              <w:rPr>
                <w:rFonts w:ascii="新宋体" w:hAnsi="新宋体" w:eastAsia="新宋体" w:cs="新宋体"/>
                <w:color w:val="000000"/>
                <w:szCs w:val="21"/>
              </w:rPr>
            </w:pPr>
            <w:r>
              <w:rPr>
                <w:rFonts w:hint="eastAsia" w:ascii="新宋体" w:hAnsi="新宋体" w:eastAsia="新宋体" w:cs="新宋体"/>
                <w:color w:val="000000"/>
                <w:szCs w:val="21"/>
              </w:rPr>
              <w:t>其他资金：</w:t>
            </w:r>
          </w:p>
        </w:tc>
        <w:tc>
          <w:tcPr>
            <w:tcW w:w="2138" w:type="pct"/>
            <w:gridSpan w:val="4"/>
            <w:tcBorders>
              <w:top w:val="nil"/>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p>
        </w:tc>
      </w:tr>
      <w:tr>
        <w:tblPrEx>
          <w:tblCellMar>
            <w:top w:w="0" w:type="dxa"/>
            <w:left w:w="108" w:type="dxa"/>
            <w:bottom w:w="0" w:type="dxa"/>
            <w:right w:w="108" w:type="dxa"/>
          </w:tblCellMar>
        </w:tblPrEx>
        <w:trPr>
          <w:trHeight w:val="462" w:hRule="atLeast"/>
          <w:jc w:val="center"/>
        </w:trPr>
        <w:tc>
          <w:tcPr>
            <w:tcW w:w="267" w:type="pct"/>
            <w:vMerge w:val="restart"/>
            <w:tcBorders>
              <w:top w:val="nil"/>
              <w:left w:val="single" w:color="auto" w:sz="4" w:space="0"/>
              <w:bottom w:val="single" w:color="000000"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年度</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总体目标</w:t>
            </w:r>
          </w:p>
        </w:tc>
        <w:tc>
          <w:tcPr>
            <w:tcW w:w="2595" w:type="pct"/>
            <w:gridSpan w:val="4"/>
            <w:tcBorders>
              <w:top w:val="single" w:color="auto" w:sz="4" w:space="0"/>
              <w:left w:val="nil"/>
              <w:bottom w:val="single" w:color="auto" w:sz="4" w:space="0"/>
              <w:right w:val="single" w:color="000000" w:sz="4" w:space="0"/>
            </w:tcBorders>
            <w:noWrap/>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预期目标</w:t>
            </w:r>
          </w:p>
        </w:tc>
        <w:tc>
          <w:tcPr>
            <w:tcW w:w="2138" w:type="pct"/>
            <w:gridSpan w:val="4"/>
            <w:tcBorders>
              <w:top w:val="single" w:color="auto" w:sz="4" w:space="0"/>
              <w:left w:val="nil"/>
              <w:bottom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实际完成情况　</w:t>
            </w:r>
          </w:p>
        </w:tc>
      </w:tr>
      <w:tr>
        <w:tblPrEx>
          <w:tblCellMar>
            <w:top w:w="0" w:type="dxa"/>
            <w:left w:w="108" w:type="dxa"/>
            <w:bottom w:w="0" w:type="dxa"/>
            <w:right w:w="108" w:type="dxa"/>
          </w:tblCellMar>
        </w:tblPrEx>
        <w:trPr>
          <w:trHeight w:val="5266" w:hRule="atLeast"/>
          <w:jc w:val="center"/>
        </w:trPr>
        <w:tc>
          <w:tcPr>
            <w:tcW w:w="267" w:type="pct"/>
            <w:vMerge w:val="continue"/>
            <w:tcBorders>
              <w:top w:val="nil"/>
              <w:left w:val="single" w:color="auto" w:sz="4" w:space="0"/>
              <w:bottom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p>
        </w:tc>
        <w:tc>
          <w:tcPr>
            <w:tcW w:w="2595" w:type="pct"/>
            <w:gridSpan w:val="4"/>
            <w:tcBorders>
              <w:top w:val="single" w:color="auto" w:sz="4" w:space="0"/>
              <w:left w:val="nil"/>
              <w:bottom w:val="single" w:color="auto" w:sz="4" w:space="0"/>
              <w:right w:val="single" w:color="000000"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目标1：做好政府会议的准备工作和重要活动安排</w:t>
            </w:r>
          </w:p>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目标2：协助政府领导组织起草或审核以政府、政府办名义发布的公文</w:t>
            </w:r>
          </w:p>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目标3：督促检查政府各部门、各乡镇（街道）对政府决定事项和上级机关文件及领导重要批示的贯彻落实情况</w:t>
            </w:r>
          </w:p>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目标4：负责推进、指导、协调、监督政府信息公开工作</w:t>
            </w:r>
          </w:p>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目标5：负责政府文电运转、政务信息及机关信息化建设工作</w:t>
            </w:r>
          </w:p>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目标6：负责政府行政复议和行政应诉工作，指导、推进、协调、监督依法行政工作</w:t>
            </w:r>
          </w:p>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目标7：负责金融工作领导小组办公室日常工作</w:t>
            </w:r>
          </w:p>
          <w:p>
            <w:pPr>
              <w:widowControl/>
              <w:spacing w:line="0" w:lineRule="atLeast"/>
              <w:jc w:val="left"/>
            </w:pPr>
            <w:r>
              <w:rPr>
                <w:rFonts w:hint="eastAsia" w:ascii="新宋体" w:hAnsi="新宋体" w:eastAsia="新宋体" w:cs="新宋体"/>
                <w:color w:val="000000"/>
                <w:szCs w:val="21"/>
              </w:rPr>
              <w:t>目标8：负责管理政府总值班室工作</w:t>
            </w:r>
          </w:p>
        </w:tc>
        <w:tc>
          <w:tcPr>
            <w:tcW w:w="2138" w:type="pct"/>
            <w:gridSpan w:val="4"/>
            <w:tcBorders>
              <w:top w:val="single" w:color="auto" w:sz="4" w:space="0"/>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1：做好政府会议的准备工作和重要活动安排，全年共承办政府性会议66次。</w:t>
            </w:r>
          </w:p>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2：协助政府领导组织起草或审核以政府、政府办名义发布的公文，今年共审印各类文稿439份。</w:t>
            </w:r>
          </w:p>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3：督促检查政府各部门、各乡镇（街道）对政府决定事项和上级机关文件及领导重要批示的贯彻落实情况，全年共办理领导批办交办事项64件次，下发交办函、督办函42个，印发政务通报和督查通报22期。</w:t>
            </w:r>
          </w:p>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4：完成推进、指导、协调、监督政府信息公开工作。</w:t>
            </w:r>
          </w:p>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5：完成政府文电运转、政务信息及机关信息化建设工作。</w:t>
            </w:r>
          </w:p>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6：完成政府行政复议和行政应诉工作，指导、推进、协调、监督依法行政工作。</w:t>
            </w:r>
          </w:p>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7：完成金融工作领导小组办公室日常工作。</w:t>
            </w:r>
          </w:p>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8：完成管理政府总值班室工作。</w:t>
            </w:r>
          </w:p>
        </w:tc>
      </w:tr>
      <w:tr>
        <w:tblPrEx>
          <w:tblCellMar>
            <w:top w:w="0" w:type="dxa"/>
            <w:left w:w="108" w:type="dxa"/>
            <w:bottom w:w="0" w:type="dxa"/>
            <w:right w:w="108" w:type="dxa"/>
          </w:tblCellMar>
        </w:tblPrEx>
        <w:trPr>
          <w:trHeight w:val="850" w:hRule="atLeast"/>
          <w:jc w:val="center"/>
        </w:trPr>
        <w:tc>
          <w:tcPr>
            <w:tcW w:w="267" w:type="pct"/>
            <w:vMerge w:val="restart"/>
            <w:tcBorders>
              <w:top w:val="single" w:color="auto" w:sz="4" w:space="0"/>
              <w:left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绩</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效</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指</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标</w:t>
            </w:r>
          </w:p>
        </w:tc>
        <w:tc>
          <w:tcPr>
            <w:tcW w:w="196"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一级</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指标</w:t>
            </w:r>
          </w:p>
        </w:tc>
        <w:tc>
          <w:tcPr>
            <w:tcW w:w="285"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二级</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指标</w:t>
            </w:r>
          </w:p>
        </w:tc>
        <w:tc>
          <w:tcPr>
            <w:tcW w:w="105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三级</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指标</w:t>
            </w:r>
          </w:p>
        </w:tc>
        <w:tc>
          <w:tcPr>
            <w:tcW w:w="105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年度</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指标值</w:t>
            </w:r>
          </w:p>
        </w:tc>
        <w:tc>
          <w:tcPr>
            <w:tcW w:w="578"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实际</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完成值</w:t>
            </w:r>
          </w:p>
        </w:tc>
        <w:tc>
          <w:tcPr>
            <w:tcW w:w="495"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分值</w:t>
            </w:r>
          </w:p>
        </w:tc>
        <w:tc>
          <w:tcPr>
            <w:tcW w:w="518"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得分</w:t>
            </w:r>
          </w:p>
        </w:tc>
        <w:tc>
          <w:tcPr>
            <w:tcW w:w="54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偏差原因分析及改进措施</w:t>
            </w:r>
          </w:p>
        </w:tc>
      </w:tr>
      <w:tr>
        <w:tblPrEx>
          <w:tblCellMar>
            <w:top w:w="0" w:type="dxa"/>
            <w:left w:w="108" w:type="dxa"/>
            <w:bottom w:w="0" w:type="dxa"/>
            <w:right w:w="108" w:type="dxa"/>
          </w:tblCellMar>
        </w:tblPrEx>
        <w:trPr>
          <w:trHeight w:val="462" w:hRule="atLeast"/>
          <w:jc w:val="center"/>
        </w:trPr>
        <w:tc>
          <w:tcPr>
            <w:tcW w:w="267" w:type="pct"/>
            <w:vMerge w:val="continue"/>
            <w:tcBorders>
              <w:left w:val="single" w:color="auto" w:sz="4" w:space="0"/>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196" w:type="pct"/>
            <w:vMerge w:val="restart"/>
            <w:tcBorders>
              <w:top w:val="single" w:color="auto" w:sz="4" w:space="0"/>
              <w:left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产出</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指标</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(50分)</w:t>
            </w:r>
          </w:p>
        </w:tc>
        <w:tc>
          <w:tcPr>
            <w:tcW w:w="285" w:type="pct"/>
            <w:vMerge w:val="restar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数量</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指标</w:t>
            </w:r>
          </w:p>
        </w:tc>
        <w:tc>
          <w:tcPr>
            <w:tcW w:w="105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发布、办理公文数量。</w:t>
            </w:r>
          </w:p>
        </w:tc>
        <w:tc>
          <w:tcPr>
            <w:tcW w:w="105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发布、办理公文数量≥</w:t>
            </w:r>
            <w:r>
              <w:rPr>
                <w:rFonts w:hint="eastAsia" w:ascii="新宋体" w:hAnsi="新宋体" w:eastAsia="新宋体" w:cs="新宋体"/>
                <w:szCs w:val="21"/>
              </w:rPr>
              <w:t>2270</w:t>
            </w:r>
            <w:r>
              <w:rPr>
                <w:rFonts w:hint="eastAsia" w:ascii="新宋体" w:hAnsi="新宋体" w:eastAsia="新宋体" w:cs="新宋体"/>
                <w:color w:val="000000"/>
                <w:szCs w:val="21"/>
              </w:rPr>
              <w:t>。</w:t>
            </w:r>
          </w:p>
        </w:tc>
        <w:tc>
          <w:tcPr>
            <w:tcW w:w="578"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szCs w:val="21"/>
              </w:rPr>
            </w:pPr>
            <w:r>
              <w:rPr>
                <w:rFonts w:hint="eastAsia" w:ascii="新宋体" w:hAnsi="新宋体" w:eastAsia="新宋体" w:cs="新宋体"/>
                <w:color w:val="000000"/>
                <w:szCs w:val="21"/>
              </w:rPr>
              <w:t>　</w:t>
            </w:r>
            <w:r>
              <w:rPr>
                <w:rFonts w:hint="eastAsia" w:ascii="新宋体" w:hAnsi="新宋体" w:eastAsia="新宋体" w:cs="新宋体"/>
                <w:szCs w:val="21"/>
              </w:rPr>
              <w:t>3047</w:t>
            </w:r>
          </w:p>
        </w:tc>
        <w:tc>
          <w:tcPr>
            <w:tcW w:w="495"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5</w:t>
            </w:r>
          </w:p>
        </w:tc>
        <w:tc>
          <w:tcPr>
            <w:tcW w:w="518"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5</w:t>
            </w:r>
          </w:p>
        </w:tc>
        <w:tc>
          <w:tcPr>
            <w:tcW w:w="54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w:t>
            </w:r>
          </w:p>
        </w:tc>
      </w:tr>
      <w:tr>
        <w:tblPrEx>
          <w:tblCellMar>
            <w:top w:w="0" w:type="dxa"/>
            <w:left w:w="108" w:type="dxa"/>
            <w:bottom w:w="0" w:type="dxa"/>
            <w:right w:w="108" w:type="dxa"/>
          </w:tblCellMar>
        </w:tblPrEx>
        <w:trPr>
          <w:trHeight w:val="462" w:hRule="atLeast"/>
          <w:jc w:val="center"/>
        </w:trPr>
        <w:tc>
          <w:tcPr>
            <w:tcW w:w="267" w:type="pct"/>
            <w:vMerge w:val="continue"/>
            <w:tcBorders>
              <w:left w:val="single" w:color="auto" w:sz="4" w:space="0"/>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196" w:type="pct"/>
            <w:vMerge w:val="continue"/>
            <w:tcBorders>
              <w:left w:val="single" w:color="auto" w:sz="4" w:space="0"/>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285" w:type="pct"/>
            <w:vMerge w:val="continue"/>
            <w:tcBorders>
              <w:top w:val="single" w:color="auto" w:sz="4" w:space="0"/>
              <w:left w:val="single" w:color="auto" w:sz="4" w:space="0"/>
              <w:bottom w:val="single" w:color="auto" w:sz="4" w:space="0"/>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105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撰写高质量的调研报告或考察报告</w:t>
            </w:r>
          </w:p>
        </w:tc>
        <w:tc>
          <w:tcPr>
            <w:tcW w:w="105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≥22篇</w:t>
            </w:r>
          </w:p>
        </w:tc>
        <w:tc>
          <w:tcPr>
            <w:tcW w:w="578"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32</w:t>
            </w:r>
          </w:p>
        </w:tc>
        <w:tc>
          <w:tcPr>
            <w:tcW w:w="495"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ind w:firstLine="210" w:firstLineChars="100"/>
              <w:rPr>
                <w:rFonts w:ascii="新宋体" w:hAnsi="新宋体" w:eastAsia="新宋体" w:cs="新宋体"/>
                <w:color w:val="000000"/>
                <w:szCs w:val="21"/>
              </w:rPr>
            </w:pPr>
            <w:r>
              <w:rPr>
                <w:rFonts w:hint="eastAsia" w:ascii="新宋体" w:hAnsi="新宋体" w:eastAsia="新宋体" w:cs="新宋体"/>
                <w:color w:val="000000"/>
                <w:szCs w:val="21"/>
              </w:rPr>
              <w:t>5</w:t>
            </w:r>
          </w:p>
        </w:tc>
        <w:tc>
          <w:tcPr>
            <w:tcW w:w="518"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ind w:firstLine="210" w:firstLineChars="100"/>
              <w:rPr>
                <w:rFonts w:ascii="新宋体" w:hAnsi="新宋体" w:eastAsia="新宋体" w:cs="新宋体"/>
                <w:color w:val="000000"/>
                <w:szCs w:val="21"/>
              </w:rPr>
            </w:pPr>
            <w:r>
              <w:rPr>
                <w:rFonts w:hint="eastAsia" w:ascii="新宋体" w:hAnsi="新宋体" w:eastAsia="新宋体" w:cs="新宋体"/>
                <w:color w:val="000000"/>
                <w:szCs w:val="21"/>
              </w:rPr>
              <w:t>5</w:t>
            </w:r>
          </w:p>
        </w:tc>
        <w:tc>
          <w:tcPr>
            <w:tcW w:w="54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p>
        </w:tc>
      </w:tr>
      <w:tr>
        <w:tblPrEx>
          <w:tblCellMar>
            <w:top w:w="0" w:type="dxa"/>
            <w:left w:w="108" w:type="dxa"/>
            <w:bottom w:w="0" w:type="dxa"/>
            <w:right w:w="108" w:type="dxa"/>
          </w:tblCellMar>
        </w:tblPrEx>
        <w:trPr>
          <w:trHeight w:val="462" w:hRule="atLeast"/>
          <w:jc w:val="center"/>
        </w:trPr>
        <w:tc>
          <w:tcPr>
            <w:tcW w:w="267" w:type="pct"/>
            <w:vMerge w:val="continue"/>
            <w:tcBorders>
              <w:left w:val="single" w:color="auto" w:sz="4" w:space="0"/>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196" w:type="pct"/>
            <w:vMerge w:val="continue"/>
            <w:tcBorders>
              <w:left w:val="single" w:color="auto" w:sz="4" w:space="0"/>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285" w:type="pct"/>
            <w:vMerge w:val="continue"/>
            <w:tcBorders>
              <w:top w:val="single" w:color="auto" w:sz="4" w:space="0"/>
              <w:left w:val="single" w:color="auto" w:sz="4" w:space="0"/>
              <w:bottom w:val="single" w:color="auto" w:sz="4" w:space="0"/>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105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市长信箱回复处理完成情况,县长信箱回复处理完成情况。</w:t>
            </w:r>
          </w:p>
        </w:tc>
        <w:tc>
          <w:tcPr>
            <w:tcW w:w="105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市长、县长信箱回复处理办结率达到100%，满意度≥85%。</w:t>
            </w:r>
          </w:p>
        </w:tc>
        <w:tc>
          <w:tcPr>
            <w:tcW w:w="578"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办结率100%、满意度88%</w:t>
            </w:r>
          </w:p>
        </w:tc>
        <w:tc>
          <w:tcPr>
            <w:tcW w:w="495"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5</w:t>
            </w:r>
          </w:p>
        </w:tc>
        <w:tc>
          <w:tcPr>
            <w:tcW w:w="518"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5</w:t>
            </w:r>
          </w:p>
        </w:tc>
        <w:tc>
          <w:tcPr>
            <w:tcW w:w="54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w:t>
            </w:r>
          </w:p>
        </w:tc>
      </w:tr>
      <w:tr>
        <w:tblPrEx>
          <w:tblCellMar>
            <w:top w:w="0" w:type="dxa"/>
            <w:left w:w="108" w:type="dxa"/>
            <w:bottom w:w="0" w:type="dxa"/>
            <w:right w:w="108" w:type="dxa"/>
          </w:tblCellMar>
        </w:tblPrEx>
        <w:trPr>
          <w:trHeight w:val="462" w:hRule="atLeast"/>
          <w:jc w:val="center"/>
        </w:trPr>
        <w:tc>
          <w:tcPr>
            <w:tcW w:w="267" w:type="pct"/>
            <w:vMerge w:val="continue"/>
            <w:tcBorders>
              <w:left w:val="single" w:color="auto" w:sz="4" w:space="0"/>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196" w:type="pct"/>
            <w:vMerge w:val="continue"/>
            <w:tcBorders>
              <w:left w:val="single" w:color="auto" w:sz="4" w:space="0"/>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285" w:type="pct"/>
            <w:vMerge w:val="continue"/>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p>
        </w:tc>
        <w:tc>
          <w:tcPr>
            <w:tcW w:w="105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全县人大代表建议、政协提案的办理、交办、督办。</w:t>
            </w:r>
          </w:p>
        </w:tc>
        <w:tc>
          <w:tcPr>
            <w:tcW w:w="105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全县人大代表建议、政协提案的办理、交办、督办≥220次。</w:t>
            </w:r>
          </w:p>
        </w:tc>
        <w:tc>
          <w:tcPr>
            <w:tcW w:w="578"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228</w:t>
            </w:r>
          </w:p>
        </w:tc>
        <w:tc>
          <w:tcPr>
            <w:tcW w:w="495"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5</w:t>
            </w:r>
          </w:p>
        </w:tc>
        <w:tc>
          <w:tcPr>
            <w:tcW w:w="518"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5</w:t>
            </w:r>
          </w:p>
        </w:tc>
        <w:tc>
          <w:tcPr>
            <w:tcW w:w="54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w:t>
            </w:r>
          </w:p>
        </w:tc>
      </w:tr>
      <w:tr>
        <w:tblPrEx>
          <w:tblCellMar>
            <w:top w:w="0" w:type="dxa"/>
            <w:left w:w="108" w:type="dxa"/>
            <w:bottom w:w="0" w:type="dxa"/>
            <w:right w:w="108" w:type="dxa"/>
          </w:tblCellMar>
        </w:tblPrEx>
        <w:trPr>
          <w:trHeight w:val="462" w:hRule="atLeast"/>
          <w:jc w:val="center"/>
        </w:trPr>
        <w:tc>
          <w:tcPr>
            <w:tcW w:w="267" w:type="pct"/>
            <w:vMerge w:val="continue"/>
            <w:tcBorders>
              <w:left w:val="single" w:color="auto" w:sz="4" w:space="0"/>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196" w:type="pct"/>
            <w:vMerge w:val="continue"/>
            <w:tcBorders>
              <w:left w:val="single" w:color="auto" w:sz="4" w:space="0"/>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285" w:type="pct"/>
            <w:vMerge w:val="restart"/>
            <w:tcBorders>
              <w:top w:val="single" w:color="auto" w:sz="4" w:space="0"/>
              <w:left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质量</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指标</w:t>
            </w:r>
          </w:p>
        </w:tc>
        <w:tc>
          <w:tcPr>
            <w:tcW w:w="105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应急管理工作预案制度、日常值班管理工作是否执行严格。</w:t>
            </w:r>
          </w:p>
        </w:tc>
        <w:tc>
          <w:tcPr>
            <w:tcW w:w="105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高质量执行到位。</w:t>
            </w:r>
          </w:p>
        </w:tc>
        <w:tc>
          <w:tcPr>
            <w:tcW w:w="578"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rPr>
                <w:rFonts w:ascii="新宋体" w:hAnsi="新宋体" w:eastAsia="新宋体" w:cs="新宋体"/>
                <w:color w:val="000000"/>
                <w:szCs w:val="21"/>
              </w:rPr>
            </w:pPr>
            <w:r>
              <w:rPr>
                <w:rFonts w:hint="eastAsia" w:ascii="新宋体" w:hAnsi="新宋体" w:eastAsia="新宋体" w:cs="新宋体"/>
                <w:color w:val="000000"/>
                <w:szCs w:val="21"/>
              </w:rPr>
              <w:t>已执行到位</w:t>
            </w:r>
          </w:p>
        </w:tc>
        <w:tc>
          <w:tcPr>
            <w:tcW w:w="495"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5</w:t>
            </w:r>
          </w:p>
        </w:tc>
        <w:tc>
          <w:tcPr>
            <w:tcW w:w="518"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5</w:t>
            </w:r>
          </w:p>
        </w:tc>
        <w:tc>
          <w:tcPr>
            <w:tcW w:w="54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w:t>
            </w:r>
          </w:p>
        </w:tc>
      </w:tr>
      <w:tr>
        <w:tblPrEx>
          <w:tblCellMar>
            <w:top w:w="0" w:type="dxa"/>
            <w:left w:w="108" w:type="dxa"/>
            <w:bottom w:w="0" w:type="dxa"/>
            <w:right w:w="108" w:type="dxa"/>
          </w:tblCellMar>
        </w:tblPrEx>
        <w:trPr>
          <w:trHeight w:val="462" w:hRule="atLeast"/>
          <w:jc w:val="center"/>
        </w:trPr>
        <w:tc>
          <w:tcPr>
            <w:tcW w:w="267" w:type="pct"/>
            <w:vMerge w:val="continue"/>
            <w:tcBorders>
              <w:left w:val="single" w:color="auto" w:sz="4" w:space="0"/>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196" w:type="pct"/>
            <w:vMerge w:val="continue"/>
            <w:tcBorders>
              <w:left w:val="single" w:color="auto" w:sz="4" w:space="0"/>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285" w:type="pct"/>
            <w:vMerge w:val="continue"/>
            <w:tcBorders>
              <w:left w:val="single" w:color="auto" w:sz="4" w:space="0"/>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105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rPr>
                <w:rFonts w:ascii="新宋体" w:hAnsi="新宋体" w:eastAsia="新宋体" w:cs="新宋体"/>
                <w:color w:val="000000"/>
                <w:szCs w:val="21"/>
              </w:rPr>
            </w:pPr>
            <w:r>
              <w:rPr>
                <w:rFonts w:hint="eastAsia" w:ascii="新宋体" w:hAnsi="新宋体" w:eastAsia="新宋体" w:cs="新宋体"/>
                <w:color w:val="000000"/>
                <w:szCs w:val="21"/>
              </w:rPr>
              <w:t>各项工作是否落实到位。</w:t>
            </w:r>
          </w:p>
        </w:tc>
        <w:tc>
          <w:tcPr>
            <w:tcW w:w="105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高质量落实到位。</w:t>
            </w:r>
          </w:p>
        </w:tc>
        <w:tc>
          <w:tcPr>
            <w:tcW w:w="578"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已落实到位</w:t>
            </w:r>
          </w:p>
        </w:tc>
        <w:tc>
          <w:tcPr>
            <w:tcW w:w="495"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5</w:t>
            </w:r>
          </w:p>
        </w:tc>
        <w:tc>
          <w:tcPr>
            <w:tcW w:w="518"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5</w:t>
            </w:r>
          </w:p>
        </w:tc>
        <w:tc>
          <w:tcPr>
            <w:tcW w:w="54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w:t>
            </w:r>
          </w:p>
        </w:tc>
      </w:tr>
      <w:tr>
        <w:tblPrEx>
          <w:tblCellMar>
            <w:top w:w="0" w:type="dxa"/>
            <w:left w:w="108" w:type="dxa"/>
            <w:bottom w:w="0" w:type="dxa"/>
            <w:right w:w="108" w:type="dxa"/>
          </w:tblCellMar>
        </w:tblPrEx>
        <w:trPr>
          <w:trHeight w:val="994" w:hRule="atLeast"/>
          <w:jc w:val="center"/>
        </w:trPr>
        <w:tc>
          <w:tcPr>
            <w:tcW w:w="267" w:type="pct"/>
            <w:vMerge w:val="continue"/>
            <w:tcBorders>
              <w:left w:val="single" w:color="auto" w:sz="4" w:space="0"/>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196" w:type="pct"/>
            <w:vMerge w:val="continue"/>
            <w:tcBorders>
              <w:left w:val="single" w:color="auto" w:sz="4" w:space="0"/>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285" w:type="pct"/>
            <w:vMerge w:val="continue"/>
            <w:tcBorders>
              <w:left w:val="single" w:color="auto" w:sz="4" w:space="0"/>
              <w:bottom w:val="single" w:color="auto" w:sz="4" w:space="0"/>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105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rPr>
                <w:rFonts w:ascii="新宋体" w:hAnsi="新宋体" w:eastAsia="新宋体" w:cs="新宋体"/>
                <w:color w:val="000000"/>
                <w:szCs w:val="21"/>
              </w:rPr>
            </w:pPr>
          </w:p>
        </w:tc>
        <w:tc>
          <w:tcPr>
            <w:tcW w:w="105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p>
        </w:tc>
        <w:tc>
          <w:tcPr>
            <w:tcW w:w="578"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p>
        </w:tc>
        <w:tc>
          <w:tcPr>
            <w:tcW w:w="495"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p>
        </w:tc>
        <w:tc>
          <w:tcPr>
            <w:tcW w:w="518"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p>
        </w:tc>
        <w:tc>
          <w:tcPr>
            <w:tcW w:w="54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p>
        </w:tc>
      </w:tr>
      <w:tr>
        <w:tblPrEx>
          <w:tblCellMar>
            <w:top w:w="0" w:type="dxa"/>
            <w:left w:w="108" w:type="dxa"/>
            <w:bottom w:w="0" w:type="dxa"/>
            <w:right w:w="108" w:type="dxa"/>
          </w:tblCellMar>
        </w:tblPrEx>
        <w:trPr>
          <w:trHeight w:val="462" w:hRule="atLeast"/>
          <w:jc w:val="center"/>
        </w:trPr>
        <w:tc>
          <w:tcPr>
            <w:tcW w:w="267" w:type="pct"/>
            <w:vMerge w:val="continue"/>
            <w:tcBorders>
              <w:left w:val="single" w:color="auto" w:sz="4" w:space="0"/>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196" w:type="pct"/>
            <w:vMerge w:val="continue"/>
            <w:tcBorders>
              <w:left w:val="single" w:color="auto" w:sz="4" w:space="0"/>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285" w:type="pct"/>
            <w:vMerge w:val="restart"/>
            <w:tcBorders>
              <w:top w:val="single" w:color="auto" w:sz="4" w:space="0"/>
              <w:left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时效</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指标</w:t>
            </w:r>
          </w:p>
        </w:tc>
        <w:tc>
          <w:tcPr>
            <w:tcW w:w="105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rPr>
                <w:rFonts w:ascii="新宋体" w:hAnsi="新宋体" w:eastAsia="新宋体" w:cs="新宋体"/>
                <w:color w:val="000000"/>
                <w:szCs w:val="21"/>
              </w:rPr>
            </w:pPr>
            <w:r>
              <w:rPr>
                <w:rFonts w:hint="eastAsia" w:ascii="新宋体" w:hAnsi="新宋体" w:eastAsia="新宋体" w:cs="新宋体"/>
                <w:color w:val="000000"/>
                <w:szCs w:val="21"/>
              </w:rPr>
              <w:t>对县政府常务会议决定事项在规定时间内完成。</w:t>
            </w:r>
          </w:p>
        </w:tc>
        <w:tc>
          <w:tcPr>
            <w:tcW w:w="105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rPr>
                <w:rFonts w:ascii="新宋体" w:hAnsi="新宋体" w:eastAsia="新宋体" w:cs="新宋体"/>
                <w:color w:val="000000"/>
                <w:szCs w:val="21"/>
              </w:rPr>
            </w:pPr>
            <w:r>
              <w:rPr>
                <w:rFonts w:hint="eastAsia" w:ascii="新宋体" w:hAnsi="新宋体" w:eastAsia="新宋体" w:cs="新宋体"/>
                <w:color w:val="000000"/>
                <w:szCs w:val="21"/>
              </w:rPr>
              <w:t>按时完成。</w:t>
            </w:r>
          </w:p>
        </w:tc>
        <w:tc>
          <w:tcPr>
            <w:tcW w:w="578"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已在规定时间内完成　</w:t>
            </w:r>
          </w:p>
        </w:tc>
        <w:tc>
          <w:tcPr>
            <w:tcW w:w="495"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5</w:t>
            </w:r>
          </w:p>
        </w:tc>
        <w:tc>
          <w:tcPr>
            <w:tcW w:w="518"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5</w:t>
            </w:r>
          </w:p>
        </w:tc>
        <w:tc>
          <w:tcPr>
            <w:tcW w:w="54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w:t>
            </w:r>
          </w:p>
        </w:tc>
      </w:tr>
      <w:tr>
        <w:tblPrEx>
          <w:tblCellMar>
            <w:top w:w="0" w:type="dxa"/>
            <w:left w:w="108" w:type="dxa"/>
            <w:bottom w:w="0" w:type="dxa"/>
            <w:right w:w="108" w:type="dxa"/>
          </w:tblCellMar>
        </w:tblPrEx>
        <w:trPr>
          <w:trHeight w:val="462" w:hRule="atLeast"/>
          <w:jc w:val="center"/>
        </w:trPr>
        <w:tc>
          <w:tcPr>
            <w:tcW w:w="267" w:type="pct"/>
            <w:vMerge w:val="continue"/>
            <w:tcBorders>
              <w:left w:val="single" w:color="auto" w:sz="4" w:space="0"/>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196" w:type="pct"/>
            <w:vMerge w:val="continue"/>
            <w:tcBorders>
              <w:left w:val="single" w:color="auto" w:sz="4" w:space="0"/>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285" w:type="pct"/>
            <w:vMerge w:val="continue"/>
            <w:tcBorders>
              <w:left w:val="single" w:color="auto" w:sz="4" w:space="0"/>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105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rPr>
                <w:rFonts w:ascii="新宋体" w:hAnsi="新宋体" w:eastAsia="新宋体" w:cs="新宋体"/>
                <w:color w:val="000000"/>
                <w:szCs w:val="21"/>
              </w:rPr>
            </w:pPr>
            <w:r>
              <w:rPr>
                <w:rFonts w:hint="eastAsia" w:ascii="新宋体" w:hAnsi="新宋体" w:eastAsia="新宋体" w:cs="新宋体"/>
                <w:color w:val="000000"/>
                <w:szCs w:val="21"/>
              </w:rPr>
              <w:t>对中央、省委、省政府、市委、市政府主要负责同志的重要批示件及时办结回复及妥善处理。</w:t>
            </w:r>
          </w:p>
        </w:tc>
        <w:tc>
          <w:tcPr>
            <w:tcW w:w="105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rPr>
                <w:rFonts w:ascii="新宋体" w:hAnsi="新宋体" w:eastAsia="新宋体" w:cs="新宋体"/>
                <w:color w:val="000000"/>
                <w:szCs w:val="21"/>
              </w:rPr>
            </w:pPr>
            <w:r>
              <w:rPr>
                <w:rFonts w:hint="eastAsia" w:ascii="新宋体" w:hAnsi="新宋体" w:eastAsia="新宋体" w:cs="新宋体"/>
                <w:color w:val="000000"/>
                <w:szCs w:val="21"/>
              </w:rPr>
              <w:t>按时完成。</w:t>
            </w:r>
          </w:p>
        </w:tc>
        <w:tc>
          <w:tcPr>
            <w:tcW w:w="578"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已及时办结回复及妥善处理</w:t>
            </w:r>
          </w:p>
        </w:tc>
        <w:tc>
          <w:tcPr>
            <w:tcW w:w="495"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5</w:t>
            </w:r>
          </w:p>
        </w:tc>
        <w:tc>
          <w:tcPr>
            <w:tcW w:w="518"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5</w:t>
            </w:r>
          </w:p>
        </w:tc>
        <w:tc>
          <w:tcPr>
            <w:tcW w:w="54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w:t>
            </w:r>
          </w:p>
        </w:tc>
      </w:tr>
      <w:tr>
        <w:tblPrEx>
          <w:tblCellMar>
            <w:top w:w="0" w:type="dxa"/>
            <w:left w:w="108" w:type="dxa"/>
            <w:bottom w:w="0" w:type="dxa"/>
            <w:right w:w="108" w:type="dxa"/>
          </w:tblCellMar>
        </w:tblPrEx>
        <w:trPr>
          <w:trHeight w:val="1072" w:hRule="atLeast"/>
          <w:jc w:val="center"/>
        </w:trPr>
        <w:tc>
          <w:tcPr>
            <w:tcW w:w="267" w:type="pct"/>
            <w:vMerge w:val="continue"/>
            <w:tcBorders>
              <w:left w:val="single" w:color="auto" w:sz="4" w:space="0"/>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196" w:type="pct"/>
            <w:vMerge w:val="continue"/>
            <w:tcBorders>
              <w:left w:val="single" w:color="auto" w:sz="4" w:space="0"/>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285" w:type="pct"/>
            <w:vMerge w:val="continue"/>
            <w:tcBorders>
              <w:left w:val="single" w:color="auto" w:sz="4" w:space="0"/>
              <w:bottom w:val="single" w:color="auto" w:sz="4" w:space="0"/>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105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rPr>
                <w:rFonts w:ascii="新宋体" w:hAnsi="新宋体" w:eastAsia="新宋体" w:cs="新宋体"/>
                <w:color w:val="000000"/>
                <w:szCs w:val="21"/>
              </w:rPr>
            </w:pPr>
          </w:p>
        </w:tc>
        <w:tc>
          <w:tcPr>
            <w:tcW w:w="105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rPr>
                <w:rFonts w:ascii="新宋体" w:hAnsi="新宋体" w:eastAsia="新宋体" w:cs="新宋体"/>
                <w:color w:val="000000"/>
                <w:szCs w:val="21"/>
              </w:rPr>
            </w:pPr>
          </w:p>
        </w:tc>
        <w:tc>
          <w:tcPr>
            <w:tcW w:w="578"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p>
        </w:tc>
        <w:tc>
          <w:tcPr>
            <w:tcW w:w="495"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p>
        </w:tc>
        <w:tc>
          <w:tcPr>
            <w:tcW w:w="518"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p>
        </w:tc>
        <w:tc>
          <w:tcPr>
            <w:tcW w:w="54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p>
        </w:tc>
      </w:tr>
      <w:tr>
        <w:tblPrEx>
          <w:tblCellMar>
            <w:top w:w="0" w:type="dxa"/>
            <w:left w:w="108" w:type="dxa"/>
            <w:bottom w:w="0" w:type="dxa"/>
            <w:right w:w="108" w:type="dxa"/>
          </w:tblCellMar>
        </w:tblPrEx>
        <w:trPr>
          <w:trHeight w:val="462" w:hRule="atLeast"/>
          <w:jc w:val="center"/>
        </w:trPr>
        <w:tc>
          <w:tcPr>
            <w:tcW w:w="267" w:type="pct"/>
            <w:vMerge w:val="continue"/>
            <w:tcBorders>
              <w:left w:val="single" w:color="auto" w:sz="4" w:space="0"/>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196" w:type="pct"/>
            <w:vMerge w:val="continue"/>
            <w:tcBorders>
              <w:left w:val="single" w:color="auto" w:sz="4" w:space="0"/>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285" w:type="pct"/>
            <w:vMerge w:val="restart"/>
            <w:tcBorders>
              <w:top w:val="single" w:color="auto" w:sz="4" w:space="0"/>
              <w:left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成本</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指标</w:t>
            </w:r>
          </w:p>
        </w:tc>
        <w:tc>
          <w:tcPr>
            <w:tcW w:w="105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rPr>
                <w:rFonts w:ascii="新宋体" w:hAnsi="新宋体" w:eastAsia="新宋体" w:cs="新宋体"/>
                <w:color w:val="000000"/>
                <w:szCs w:val="21"/>
              </w:rPr>
            </w:pPr>
            <w:r>
              <w:rPr>
                <w:rFonts w:hint="eastAsia" w:ascii="新宋体" w:hAnsi="新宋体" w:eastAsia="新宋体" w:cs="新宋体"/>
                <w:color w:val="000000"/>
                <w:szCs w:val="21"/>
              </w:rPr>
              <w:t>承担中央、省市重大活动或中心工作，成效显著。</w:t>
            </w:r>
          </w:p>
        </w:tc>
        <w:tc>
          <w:tcPr>
            <w:tcW w:w="105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rPr>
                <w:rFonts w:ascii="新宋体" w:hAnsi="新宋体" w:eastAsia="新宋体" w:cs="新宋体"/>
                <w:color w:val="000000"/>
                <w:szCs w:val="21"/>
              </w:rPr>
            </w:pPr>
            <w:r>
              <w:rPr>
                <w:rFonts w:hint="eastAsia" w:ascii="新宋体" w:hAnsi="新宋体" w:eastAsia="新宋体" w:cs="新宋体"/>
                <w:color w:val="000000"/>
                <w:szCs w:val="21"/>
              </w:rPr>
              <w:t>承担中央、省市重大活动、中心工作，成效显著。</w:t>
            </w:r>
          </w:p>
        </w:tc>
        <w:tc>
          <w:tcPr>
            <w:tcW w:w="578" w:type="pct"/>
            <w:tcBorders>
              <w:top w:val="single" w:color="auto" w:sz="4" w:space="0"/>
              <w:left w:val="single" w:color="auto" w:sz="4" w:space="0"/>
              <w:bottom w:val="single" w:color="auto" w:sz="4" w:space="0"/>
              <w:right w:val="single" w:color="auto" w:sz="4" w:space="0"/>
            </w:tcBorders>
            <w:noWrap/>
            <w:vAlign w:val="center"/>
          </w:tcPr>
          <w:p>
            <w:pPr>
              <w:autoSpaceDN w:val="0"/>
              <w:textAlignment w:val="center"/>
              <w:rPr>
                <w:rFonts w:ascii="新宋体" w:hAnsi="新宋体" w:eastAsia="新宋体" w:cs="新宋体"/>
                <w:color w:val="000000"/>
                <w:szCs w:val="21"/>
              </w:rPr>
            </w:pPr>
            <w:r>
              <w:rPr>
                <w:rFonts w:hint="eastAsia" w:ascii="新宋体" w:hAnsi="新宋体" w:eastAsia="新宋体" w:cs="新宋体"/>
                <w:color w:val="000000"/>
                <w:szCs w:val="21"/>
              </w:rPr>
              <w:t>已承担，成效显著</w:t>
            </w:r>
          </w:p>
        </w:tc>
        <w:tc>
          <w:tcPr>
            <w:tcW w:w="495"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5</w:t>
            </w:r>
          </w:p>
        </w:tc>
        <w:tc>
          <w:tcPr>
            <w:tcW w:w="518"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5</w:t>
            </w:r>
          </w:p>
        </w:tc>
        <w:tc>
          <w:tcPr>
            <w:tcW w:w="54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w:t>
            </w:r>
          </w:p>
        </w:tc>
      </w:tr>
      <w:tr>
        <w:tblPrEx>
          <w:tblCellMar>
            <w:top w:w="0" w:type="dxa"/>
            <w:left w:w="108" w:type="dxa"/>
            <w:bottom w:w="0" w:type="dxa"/>
            <w:right w:w="108" w:type="dxa"/>
          </w:tblCellMar>
        </w:tblPrEx>
        <w:trPr>
          <w:trHeight w:val="462" w:hRule="atLeast"/>
          <w:jc w:val="center"/>
        </w:trPr>
        <w:tc>
          <w:tcPr>
            <w:tcW w:w="267" w:type="pct"/>
            <w:vMerge w:val="continue"/>
            <w:tcBorders>
              <w:left w:val="single" w:color="auto" w:sz="4" w:space="0"/>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196" w:type="pct"/>
            <w:vMerge w:val="continue"/>
            <w:tcBorders>
              <w:left w:val="single" w:color="auto" w:sz="4" w:space="0"/>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285" w:type="pct"/>
            <w:vMerge w:val="continue"/>
            <w:tcBorders>
              <w:left w:val="single" w:color="auto" w:sz="4" w:space="0"/>
              <w:right w:val="single" w:color="auto" w:sz="4" w:space="0"/>
            </w:tcBorders>
            <w:noWrap/>
            <w:vAlign w:val="center"/>
          </w:tcPr>
          <w:p>
            <w:pPr>
              <w:spacing w:line="0" w:lineRule="atLeast"/>
              <w:jc w:val="left"/>
              <w:rPr>
                <w:rFonts w:ascii="新宋体" w:hAnsi="新宋体" w:eastAsia="新宋体" w:cs="新宋体"/>
                <w:color w:val="000000"/>
                <w:szCs w:val="21"/>
              </w:rPr>
            </w:pPr>
          </w:p>
        </w:tc>
        <w:tc>
          <w:tcPr>
            <w:tcW w:w="105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rPr>
                <w:rFonts w:ascii="新宋体" w:hAnsi="新宋体" w:eastAsia="新宋体" w:cs="新宋体"/>
                <w:color w:val="000000"/>
                <w:szCs w:val="21"/>
              </w:rPr>
            </w:pPr>
            <w:r>
              <w:rPr>
                <w:rFonts w:hint="eastAsia" w:ascii="新宋体" w:hAnsi="新宋体" w:eastAsia="新宋体" w:cs="新宋体"/>
                <w:color w:val="000000"/>
                <w:szCs w:val="21"/>
              </w:rPr>
              <w:t>受到专题通报表扬或市委、市政府会议正式表扬或主要领导批示表扬。</w:t>
            </w:r>
          </w:p>
        </w:tc>
        <w:tc>
          <w:tcPr>
            <w:tcW w:w="105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rPr>
                <w:rFonts w:ascii="新宋体" w:hAnsi="新宋体" w:eastAsia="新宋体" w:cs="新宋体"/>
                <w:color w:val="000000"/>
                <w:szCs w:val="21"/>
              </w:rPr>
            </w:pPr>
            <w:r>
              <w:rPr>
                <w:rFonts w:hint="eastAsia" w:ascii="新宋体" w:hAnsi="新宋体" w:eastAsia="新宋体" w:cs="新宋体"/>
                <w:color w:val="000000"/>
                <w:szCs w:val="21"/>
              </w:rPr>
              <w:t>受到表扬。</w:t>
            </w:r>
          </w:p>
        </w:tc>
        <w:tc>
          <w:tcPr>
            <w:tcW w:w="578"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受到多次表扬</w:t>
            </w:r>
          </w:p>
        </w:tc>
        <w:tc>
          <w:tcPr>
            <w:tcW w:w="495"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5</w:t>
            </w:r>
          </w:p>
        </w:tc>
        <w:tc>
          <w:tcPr>
            <w:tcW w:w="518"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5</w:t>
            </w:r>
          </w:p>
        </w:tc>
        <w:tc>
          <w:tcPr>
            <w:tcW w:w="54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w:t>
            </w:r>
          </w:p>
        </w:tc>
      </w:tr>
      <w:tr>
        <w:tblPrEx>
          <w:tblCellMar>
            <w:top w:w="0" w:type="dxa"/>
            <w:left w:w="108" w:type="dxa"/>
            <w:bottom w:w="0" w:type="dxa"/>
            <w:right w:w="108" w:type="dxa"/>
          </w:tblCellMar>
        </w:tblPrEx>
        <w:trPr>
          <w:trHeight w:val="1044" w:hRule="atLeast"/>
          <w:jc w:val="center"/>
        </w:trPr>
        <w:tc>
          <w:tcPr>
            <w:tcW w:w="267" w:type="pct"/>
            <w:vMerge w:val="continue"/>
            <w:tcBorders>
              <w:left w:val="single" w:color="auto" w:sz="4" w:space="0"/>
              <w:bottom w:val="single" w:color="auto" w:sz="4" w:space="0"/>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196" w:type="pct"/>
            <w:vMerge w:val="continue"/>
            <w:tcBorders>
              <w:left w:val="single" w:color="auto" w:sz="4" w:space="0"/>
              <w:bottom w:val="single" w:color="auto" w:sz="4" w:space="0"/>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285" w:type="pct"/>
            <w:vMerge w:val="continue"/>
            <w:tcBorders>
              <w:left w:val="single" w:color="auto" w:sz="4" w:space="0"/>
              <w:bottom w:val="single" w:color="auto" w:sz="4" w:space="0"/>
              <w:right w:val="single" w:color="auto" w:sz="4" w:space="0"/>
            </w:tcBorders>
            <w:noWrap/>
            <w:vAlign w:val="center"/>
          </w:tcPr>
          <w:p>
            <w:pPr>
              <w:spacing w:line="0" w:lineRule="atLeast"/>
              <w:jc w:val="left"/>
              <w:rPr>
                <w:rFonts w:ascii="新宋体" w:hAnsi="新宋体" w:eastAsia="新宋体" w:cs="新宋体"/>
                <w:color w:val="000000"/>
                <w:szCs w:val="21"/>
              </w:rPr>
            </w:pPr>
          </w:p>
        </w:tc>
        <w:tc>
          <w:tcPr>
            <w:tcW w:w="105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rPr>
                <w:rFonts w:ascii="新宋体" w:hAnsi="新宋体" w:eastAsia="新宋体" w:cs="新宋体"/>
                <w:color w:val="000000"/>
                <w:szCs w:val="21"/>
              </w:rPr>
            </w:pPr>
          </w:p>
        </w:tc>
        <w:tc>
          <w:tcPr>
            <w:tcW w:w="105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rPr>
                <w:rFonts w:ascii="新宋体" w:hAnsi="新宋体" w:eastAsia="新宋体" w:cs="新宋体"/>
                <w:color w:val="000000"/>
                <w:szCs w:val="21"/>
              </w:rPr>
            </w:pPr>
          </w:p>
        </w:tc>
        <w:tc>
          <w:tcPr>
            <w:tcW w:w="578"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p>
        </w:tc>
        <w:tc>
          <w:tcPr>
            <w:tcW w:w="495"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p>
        </w:tc>
        <w:tc>
          <w:tcPr>
            <w:tcW w:w="518"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p>
        </w:tc>
        <w:tc>
          <w:tcPr>
            <w:tcW w:w="54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p>
        </w:tc>
      </w:tr>
      <w:tr>
        <w:tblPrEx>
          <w:tblCellMar>
            <w:top w:w="0" w:type="dxa"/>
            <w:left w:w="108" w:type="dxa"/>
            <w:bottom w:w="0" w:type="dxa"/>
            <w:right w:w="108" w:type="dxa"/>
          </w:tblCellMar>
        </w:tblPrEx>
        <w:trPr>
          <w:trHeight w:val="850" w:hRule="atLeast"/>
          <w:jc w:val="center"/>
        </w:trPr>
        <w:tc>
          <w:tcPr>
            <w:tcW w:w="267" w:type="pct"/>
            <w:vMerge w:val="restart"/>
            <w:tcBorders>
              <w:top w:val="single" w:color="auto" w:sz="4" w:space="0"/>
              <w:left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绩</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效</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指</w:t>
            </w:r>
          </w:p>
          <w:p>
            <w:pPr>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标</w:t>
            </w:r>
          </w:p>
        </w:tc>
        <w:tc>
          <w:tcPr>
            <w:tcW w:w="196"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一级</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指标</w:t>
            </w:r>
          </w:p>
        </w:tc>
        <w:tc>
          <w:tcPr>
            <w:tcW w:w="285"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二级</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指标</w:t>
            </w:r>
          </w:p>
        </w:tc>
        <w:tc>
          <w:tcPr>
            <w:tcW w:w="105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三级</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指标</w:t>
            </w:r>
          </w:p>
        </w:tc>
        <w:tc>
          <w:tcPr>
            <w:tcW w:w="105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年度</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指标值</w:t>
            </w:r>
          </w:p>
        </w:tc>
        <w:tc>
          <w:tcPr>
            <w:tcW w:w="578"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实际</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完成值</w:t>
            </w:r>
          </w:p>
        </w:tc>
        <w:tc>
          <w:tcPr>
            <w:tcW w:w="495"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分值</w:t>
            </w:r>
          </w:p>
        </w:tc>
        <w:tc>
          <w:tcPr>
            <w:tcW w:w="518"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得分</w:t>
            </w:r>
          </w:p>
        </w:tc>
        <w:tc>
          <w:tcPr>
            <w:tcW w:w="54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偏差原因分析及改进措施</w:t>
            </w:r>
          </w:p>
        </w:tc>
      </w:tr>
      <w:tr>
        <w:tblPrEx>
          <w:tblCellMar>
            <w:top w:w="0" w:type="dxa"/>
            <w:left w:w="108" w:type="dxa"/>
            <w:bottom w:w="0" w:type="dxa"/>
            <w:right w:w="108" w:type="dxa"/>
          </w:tblCellMar>
        </w:tblPrEx>
        <w:trPr>
          <w:trHeight w:val="851" w:hRule="atLeast"/>
          <w:jc w:val="center"/>
        </w:trPr>
        <w:tc>
          <w:tcPr>
            <w:tcW w:w="267" w:type="pct"/>
            <w:vMerge w:val="continue"/>
            <w:tcBorders>
              <w:left w:val="single" w:color="auto" w:sz="4" w:space="0"/>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196" w:type="pct"/>
            <w:vMerge w:val="restar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效益</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指标</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（30分）</w:t>
            </w:r>
          </w:p>
        </w:tc>
        <w:tc>
          <w:tcPr>
            <w:tcW w:w="285" w:type="pct"/>
            <w:vMerge w:val="restar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经济效</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益指标</w:t>
            </w:r>
          </w:p>
        </w:tc>
        <w:tc>
          <w:tcPr>
            <w:tcW w:w="1057" w:type="pct"/>
            <w:tcBorders>
              <w:top w:val="single" w:color="auto" w:sz="4" w:space="0"/>
              <w:left w:val="single" w:color="auto" w:sz="4" w:space="0"/>
              <w:bottom w:val="single" w:color="auto" w:sz="4" w:space="0"/>
              <w:right w:val="single" w:color="auto" w:sz="4" w:space="0"/>
            </w:tcBorders>
            <w:noWrap/>
            <w:vAlign w:val="center"/>
          </w:tcPr>
          <w:p>
            <w:pPr>
              <w:widowControl/>
              <w:spacing w:line="260" w:lineRule="exact"/>
              <w:rPr>
                <w:rFonts w:ascii="新宋体" w:hAnsi="新宋体" w:eastAsia="新宋体" w:cs="新宋体"/>
                <w:color w:val="000000"/>
                <w:szCs w:val="21"/>
              </w:rPr>
            </w:pPr>
            <w:r>
              <w:rPr>
                <w:rFonts w:hint="eastAsia" w:ascii="新宋体" w:hAnsi="新宋体" w:eastAsia="新宋体" w:cs="新宋体"/>
                <w:color w:val="000000"/>
                <w:szCs w:val="21"/>
              </w:rPr>
              <w:t>政府采购是否从全局角度考察，是否站在市场经济角度。</w:t>
            </w:r>
          </w:p>
        </w:tc>
        <w:tc>
          <w:tcPr>
            <w:tcW w:w="105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rPr>
                <w:rFonts w:ascii="新宋体" w:hAnsi="新宋体" w:eastAsia="新宋体" w:cs="新宋体"/>
                <w:color w:val="000000"/>
                <w:szCs w:val="21"/>
              </w:rPr>
            </w:pPr>
            <w:r>
              <w:rPr>
                <w:rFonts w:hint="eastAsia" w:ascii="新宋体" w:hAnsi="新宋体" w:eastAsia="新宋体" w:cs="新宋体"/>
                <w:color w:val="000000"/>
                <w:szCs w:val="21"/>
              </w:rPr>
              <w:t>政府采购从全局角度考察，站在市场经济角度。</w:t>
            </w:r>
          </w:p>
        </w:tc>
        <w:tc>
          <w:tcPr>
            <w:tcW w:w="578"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按照规定进行政府采购。</w:t>
            </w:r>
          </w:p>
        </w:tc>
        <w:tc>
          <w:tcPr>
            <w:tcW w:w="495"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3</w:t>
            </w:r>
          </w:p>
        </w:tc>
        <w:tc>
          <w:tcPr>
            <w:tcW w:w="518"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3</w:t>
            </w:r>
          </w:p>
        </w:tc>
        <w:tc>
          <w:tcPr>
            <w:tcW w:w="54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w:t>
            </w:r>
          </w:p>
        </w:tc>
      </w:tr>
      <w:tr>
        <w:tblPrEx>
          <w:tblCellMar>
            <w:top w:w="0" w:type="dxa"/>
            <w:left w:w="108" w:type="dxa"/>
            <w:bottom w:w="0" w:type="dxa"/>
            <w:right w:w="108" w:type="dxa"/>
          </w:tblCellMar>
        </w:tblPrEx>
        <w:trPr>
          <w:trHeight w:val="1247" w:hRule="atLeast"/>
          <w:jc w:val="center"/>
        </w:trPr>
        <w:tc>
          <w:tcPr>
            <w:tcW w:w="267" w:type="pct"/>
            <w:vMerge w:val="continue"/>
            <w:tcBorders>
              <w:left w:val="single" w:color="auto" w:sz="4" w:space="0"/>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196" w:type="pct"/>
            <w:vMerge w:val="continue"/>
            <w:tcBorders>
              <w:top w:val="single" w:color="auto" w:sz="4" w:space="0"/>
              <w:left w:val="single" w:color="auto" w:sz="4" w:space="0"/>
              <w:bottom w:val="single" w:color="auto" w:sz="4" w:space="0"/>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285" w:type="pct"/>
            <w:vMerge w:val="continue"/>
            <w:tcBorders>
              <w:top w:val="single" w:color="auto" w:sz="4" w:space="0"/>
              <w:left w:val="single" w:color="auto" w:sz="4" w:space="0"/>
              <w:bottom w:val="single" w:color="auto" w:sz="4" w:space="0"/>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1057" w:type="pct"/>
            <w:tcBorders>
              <w:top w:val="single" w:color="auto" w:sz="4" w:space="0"/>
              <w:left w:val="single" w:color="auto" w:sz="4" w:space="0"/>
              <w:bottom w:val="single" w:color="auto" w:sz="4" w:space="0"/>
              <w:right w:val="single" w:color="auto" w:sz="4" w:space="0"/>
            </w:tcBorders>
            <w:noWrap/>
            <w:vAlign w:val="center"/>
          </w:tcPr>
          <w:p>
            <w:pPr>
              <w:widowControl/>
              <w:spacing w:line="260" w:lineRule="exact"/>
              <w:jc w:val="left"/>
              <w:rPr>
                <w:rFonts w:ascii="新宋体" w:hAnsi="新宋体" w:eastAsia="新宋体" w:cs="新宋体"/>
                <w:color w:val="000000"/>
                <w:szCs w:val="21"/>
              </w:rPr>
            </w:pPr>
            <w:r>
              <w:rPr>
                <w:rFonts w:hint="eastAsia" w:ascii="新宋体" w:hAnsi="新宋体" w:eastAsia="新宋体" w:cs="新宋体"/>
                <w:color w:val="000000"/>
                <w:szCs w:val="21"/>
              </w:rPr>
              <w:t>合理调整工业、农业和财政金融等方面经济结构，改善经济效益。</w:t>
            </w:r>
          </w:p>
        </w:tc>
        <w:tc>
          <w:tcPr>
            <w:tcW w:w="105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合理调整工业、农业和财政金融等方面经济结构，改善经济效益。</w:t>
            </w:r>
          </w:p>
        </w:tc>
        <w:tc>
          <w:tcPr>
            <w:tcW w:w="578" w:type="pct"/>
            <w:tcBorders>
              <w:top w:val="single" w:color="auto" w:sz="4" w:space="0"/>
              <w:left w:val="single" w:color="auto" w:sz="4" w:space="0"/>
              <w:bottom w:val="single" w:color="auto" w:sz="4" w:space="0"/>
              <w:right w:val="single" w:color="auto" w:sz="4" w:space="0"/>
            </w:tcBorders>
            <w:noWrap/>
            <w:vAlign w:val="center"/>
          </w:tcPr>
          <w:p>
            <w:pPr>
              <w:autoSpaceDN w:val="0"/>
              <w:spacing w:line="240" w:lineRule="exact"/>
              <w:jc w:val="left"/>
              <w:textAlignment w:val="center"/>
              <w:rPr>
                <w:rFonts w:ascii="新宋体" w:hAnsi="新宋体" w:eastAsia="新宋体" w:cs="新宋体"/>
                <w:color w:val="000000"/>
                <w:szCs w:val="21"/>
              </w:rPr>
            </w:pPr>
            <w:r>
              <w:rPr>
                <w:rFonts w:hint="eastAsia" w:ascii="新宋体" w:hAnsi="新宋体" w:eastAsia="新宋体" w:cs="新宋体"/>
                <w:color w:val="000000"/>
                <w:szCs w:val="21"/>
              </w:rPr>
              <w:t>经济结构合理调整，经济效益显著提高。</w:t>
            </w:r>
          </w:p>
        </w:tc>
        <w:tc>
          <w:tcPr>
            <w:tcW w:w="495"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3</w:t>
            </w:r>
          </w:p>
        </w:tc>
        <w:tc>
          <w:tcPr>
            <w:tcW w:w="518"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3</w:t>
            </w:r>
          </w:p>
        </w:tc>
        <w:tc>
          <w:tcPr>
            <w:tcW w:w="54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w:t>
            </w:r>
          </w:p>
        </w:tc>
      </w:tr>
      <w:tr>
        <w:tblPrEx>
          <w:tblCellMar>
            <w:top w:w="0" w:type="dxa"/>
            <w:left w:w="108" w:type="dxa"/>
            <w:bottom w:w="0" w:type="dxa"/>
            <w:right w:w="108" w:type="dxa"/>
          </w:tblCellMar>
        </w:tblPrEx>
        <w:trPr>
          <w:trHeight w:val="462" w:hRule="atLeast"/>
          <w:jc w:val="center"/>
        </w:trPr>
        <w:tc>
          <w:tcPr>
            <w:tcW w:w="267" w:type="pct"/>
            <w:vMerge w:val="continue"/>
            <w:tcBorders>
              <w:left w:val="single" w:color="auto" w:sz="4" w:space="0"/>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196" w:type="pct"/>
            <w:vMerge w:val="continue"/>
            <w:tcBorders>
              <w:left w:val="nil"/>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285" w:type="pct"/>
            <w:vMerge w:val="restart"/>
            <w:tcBorders>
              <w:top w:val="nil"/>
              <w:left w:val="nil"/>
              <w:right w:val="single" w:color="auto" w:sz="4" w:space="0"/>
            </w:tcBorders>
            <w:noWrap/>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社会效</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益指标</w:t>
            </w:r>
          </w:p>
        </w:tc>
        <w:tc>
          <w:tcPr>
            <w:tcW w:w="1057" w:type="pct"/>
            <w:tcBorders>
              <w:top w:val="nil"/>
              <w:left w:val="nil"/>
              <w:bottom w:val="single" w:color="auto" w:sz="4" w:space="0"/>
              <w:right w:val="single" w:color="auto" w:sz="4" w:space="0"/>
            </w:tcBorders>
            <w:noWrap/>
            <w:vAlign w:val="center"/>
          </w:tcPr>
          <w:p>
            <w:pPr>
              <w:widowControl/>
              <w:spacing w:line="260" w:lineRule="exact"/>
              <w:rPr>
                <w:rFonts w:ascii="新宋体" w:hAnsi="新宋体" w:eastAsia="新宋体" w:cs="新宋体"/>
                <w:color w:val="000000"/>
                <w:szCs w:val="21"/>
              </w:rPr>
            </w:pPr>
            <w:r>
              <w:rPr>
                <w:rFonts w:hint="eastAsia" w:ascii="新宋体" w:hAnsi="新宋体" w:eastAsia="新宋体" w:cs="新宋体"/>
                <w:color w:val="000000"/>
                <w:szCs w:val="21"/>
              </w:rPr>
              <w:t>县内居民收入分配是否公平合理，最低生活保障资金是否到位。</w:t>
            </w:r>
          </w:p>
        </w:tc>
        <w:tc>
          <w:tcPr>
            <w:tcW w:w="1057" w:type="pct"/>
            <w:tcBorders>
              <w:top w:val="nil"/>
              <w:left w:val="nil"/>
              <w:bottom w:val="single" w:color="auto" w:sz="4" w:space="0"/>
              <w:right w:val="single" w:color="auto" w:sz="4" w:space="0"/>
            </w:tcBorders>
            <w:noWrap/>
            <w:vAlign w:val="center"/>
          </w:tcPr>
          <w:p>
            <w:pPr>
              <w:widowControl/>
              <w:spacing w:line="0" w:lineRule="atLeast"/>
              <w:rPr>
                <w:rFonts w:ascii="新宋体" w:hAnsi="新宋体" w:eastAsia="新宋体" w:cs="新宋体"/>
                <w:color w:val="000000"/>
                <w:szCs w:val="21"/>
              </w:rPr>
            </w:pPr>
            <w:r>
              <w:rPr>
                <w:rFonts w:hint="eastAsia" w:ascii="新宋体" w:hAnsi="新宋体" w:eastAsia="新宋体" w:cs="新宋体"/>
                <w:color w:val="000000"/>
                <w:szCs w:val="21"/>
              </w:rPr>
              <w:t>县内居民收入分配公平合理，最低生活保障资金到位。</w:t>
            </w:r>
          </w:p>
        </w:tc>
        <w:tc>
          <w:tcPr>
            <w:tcW w:w="578" w:type="pct"/>
            <w:tcBorders>
              <w:top w:val="nil"/>
              <w:left w:val="nil"/>
              <w:bottom w:val="single" w:color="auto" w:sz="4" w:space="0"/>
              <w:right w:val="single" w:color="auto" w:sz="4" w:space="0"/>
            </w:tcBorders>
            <w:noWrap/>
            <w:vAlign w:val="center"/>
          </w:tcPr>
          <w:p>
            <w:pPr>
              <w:autoSpaceDN w:val="0"/>
              <w:spacing w:line="240" w:lineRule="exact"/>
              <w:jc w:val="left"/>
              <w:textAlignment w:val="center"/>
              <w:rPr>
                <w:rFonts w:ascii="新宋体" w:hAnsi="新宋体" w:eastAsia="新宋体" w:cs="新宋体"/>
                <w:color w:val="000000"/>
                <w:szCs w:val="21"/>
              </w:rPr>
            </w:pPr>
            <w:r>
              <w:rPr>
                <w:rFonts w:hint="eastAsia" w:ascii="新宋体" w:hAnsi="新宋体" w:eastAsia="新宋体" w:cs="新宋体"/>
                <w:color w:val="000000"/>
                <w:szCs w:val="21"/>
              </w:rPr>
              <w:t>公平合理分配，保障最低生活资金。</w:t>
            </w:r>
          </w:p>
        </w:tc>
        <w:tc>
          <w:tcPr>
            <w:tcW w:w="495" w:type="pct"/>
            <w:tcBorders>
              <w:top w:val="nil"/>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3</w:t>
            </w:r>
          </w:p>
        </w:tc>
        <w:tc>
          <w:tcPr>
            <w:tcW w:w="518" w:type="pct"/>
            <w:tcBorders>
              <w:top w:val="nil"/>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3</w:t>
            </w:r>
          </w:p>
        </w:tc>
        <w:tc>
          <w:tcPr>
            <w:tcW w:w="547" w:type="pct"/>
            <w:tcBorders>
              <w:top w:val="nil"/>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w:t>
            </w:r>
          </w:p>
        </w:tc>
      </w:tr>
      <w:tr>
        <w:tblPrEx>
          <w:tblCellMar>
            <w:top w:w="0" w:type="dxa"/>
            <w:left w:w="108" w:type="dxa"/>
            <w:bottom w:w="0" w:type="dxa"/>
            <w:right w:w="108" w:type="dxa"/>
          </w:tblCellMar>
        </w:tblPrEx>
        <w:trPr>
          <w:trHeight w:val="462" w:hRule="atLeast"/>
          <w:jc w:val="center"/>
        </w:trPr>
        <w:tc>
          <w:tcPr>
            <w:tcW w:w="267" w:type="pct"/>
            <w:vMerge w:val="continue"/>
            <w:tcBorders>
              <w:left w:val="single" w:color="auto" w:sz="4" w:space="0"/>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196" w:type="pct"/>
            <w:vMerge w:val="continue"/>
            <w:tcBorders>
              <w:left w:val="nil"/>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285" w:type="pct"/>
            <w:vMerge w:val="continue"/>
            <w:tcBorders>
              <w:left w:val="nil"/>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1057" w:type="pct"/>
            <w:tcBorders>
              <w:top w:val="nil"/>
              <w:left w:val="nil"/>
              <w:bottom w:val="single" w:color="auto" w:sz="4" w:space="0"/>
              <w:right w:val="single" w:color="auto" w:sz="4" w:space="0"/>
            </w:tcBorders>
            <w:noWrap/>
            <w:vAlign w:val="center"/>
          </w:tcPr>
          <w:p>
            <w:pPr>
              <w:autoSpaceDN w:val="0"/>
              <w:spacing w:line="260" w:lineRule="exact"/>
              <w:jc w:val="left"/>
              <w:textAlignment w:val="center"/>
              <w:rPr>
                <w:rFonts w:ascii="新宋体" w:hAnsi="新宋体" w:eastAsia="新宋体" w:cs="新宋体"/>
                <w:color w:val="000000"/>
                <w:szCs w:val="21"/>
              </w:rPr>
            </w:pPr>
            <w:r>
              <w:rPr>
                <w:rFonts w:hint="eastAsia" w:ascii="新宋体" w:hAnsi="新宋体" w:eastAsia="新宋体" w:cs="新宋体"/>
                <w:color w:val="000000"/>
                <w:szCs w:val="21"/>
              </w:rPr>
              <w:t>县内居民居住水平、消费水平、消费结构是否合理。</w:t>
            </w:r>
          </w:p>
        </w:tc>
        <w:tc>
          <w:tcPr>
            <w:tcW w:w="1057" w:type="pct"/>
            <w:tcBorders>
              <w:top w:val="nil"/>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县内居民居住水平、消费水平、消费结构合理。</w:t>
            </w:r>
          </w:p>
        </w:tc>
        <w:tc>
          <w:tcPr>
            <w:tcW w:w="578" w:type="pct"/>
            <w:tcBorders>
              <w:top w:val="nil"/>
              <w:left w:val="nil"/>
              <w:bottom w:val="single" w:color="auto" w:sz="4" w:space="0"/>
              <w:right w:val="single" w:color="auto" w:sz="4" w:space="0"/>
            </w:tcBorders>
            <w:noWrap/>
            <w:vAlign w:val="center"/>
          </w:tcPr>
          <w:p>
            <w:pPr>
              <w:widowControl/>
              <w:spacing w:line="240" w:lineRule="exact"/>
              <w:jc w:val="left"/>
              <w:rPr>
                <w:rFonts w:ascii="新宋体" w:hAnsi="新宋体" w:eastAsia="新宋体" w:cs="新宋体"/>
                <w:color w:val="000000"/>
                <w:szCs w:val="21"/>
              </w:rPr>
            </w:pPr>
            <w:r>
              <w:rPr>
                <w:rFonts w:hint="eastAsia" w:ascii="新宋体" w:hAnsi="新宋体" w:eastAsia="新宋体" w:cs="新宋体"/>
                <w:color w:val="000000"/>
                <w:szCs w:val="21"/>
              </w:rPr>
              <w:t>各项水平结构合理。</w:t>
            </w:r>
          </w:p>
        </w:tc>
        <w:tc>
          <w:tcPr>
            <w:tcW w:w="495" w:type="pct"/>
            <w:tcBorders>
              <w:top w:val="nil"/>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3</w:t>
            </w:r>
          </w:p>
        </w:tc>
        <w:tc>
          <w:tcPr>
            <w:tcW w:w="518" w:type="pct"/>
            <w:tcBorders>
              <w:top w:val="nil"/>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3</w:t>
            </w:r>
          </w:p>
        </w:tc>
        <w:tc>
          <w:tcPr>
            <w:tcW w:w="547" w:type="pct"/>
            <w:tcBorders>
              <w:top w:val="nil"/>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w:t>
            </w:r>
          </w:p>
        </w:tc>
      </w:tr>
      <w:tr>
        <w:tblPrEx>
          <w:tblCellMar>
            <w:top w:w="0" w:type="dxa"/>
            <w:left w:w="108" w:type="dxa"/>
            <w:bottom w:w="0" w:type="dxa"/>
            <w:right w:w="108" w:type="dxa"/>
          </w:tblCellMar>
        </w:tblPrEx>
        <w:trPr>
          <w:trHeight w:val="462" w:hRule="atLeast"/>
          <w:jc w:val="center"/>
        </w:trPr>
        <w:tc>
          <w:tcPr>
            <w:tcW w:w="267" w:type="pct"/>
            <w:vMerge w:val="continue"/>
            <w:tcBorders>
              <w:left w:val="single" w:color="auto" w:sz="4" w:space="0"/>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196" w:type="pct"/>
            <w:vMerge w:val="continue"/>
            <w:tcBorders>
              <w:left w:val="nil"/>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285" w:type="pct"/>
            <w:vMerge w:val="continue"/>
            <w:tcBorders>
              <w:left w:val="nil"/>
              <w:bottom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p>
        </w:tc>
        <w:tc>
          <w:tcPr>
            <w:tcW w:w="1057" w:type="pct"/>
            <w:tcBorders>
              <w:top w:val="nil"/>
              <w:left w:val="nil"/>
              <w:bottom w:val="single" w:color="auto" w:sz="4" w:space="0"/>
              <w:right w:val="single" w:color="auto" w:sz="4" w:space="0"/>
            </w:tcBorders>
            <w:noWrap/>
            <w:vAlign w:val="center"/>
          </w:tcPr>
          <w:p>
            <w:pPr>
              <w:autoSpaceDN w:val="0"/>
              <w:spacing w:line="260" w:lineRule="exact"/>
              <w:jc w:val="left"/>
              <w:textAlignment w:val="center"/>
              <w:rPr>
                <w:rFonts w:ascii="仿宋_GB2312" w:hAnsi="仿宋_GB2312" w:eastAsia="仿宋_GB2312" w:cs="仿宋_GB2312"/>
                <w:color w:val="000000"/>
                <w:sz w:val="24"/>
              </w:rPr>
            </w:pPr>
            <w:r>
              <w:rPr>
                <w:rFonts w:hint="eastAsia" w:ascii="新宋体" w:hAnsi="新宋体" w:eastAsia="新宋体" w:cs="新宋体"/>
                <w:color w:val="000000"/>
                <w:szCs w:val="21"/>
              </w:rPr>
              <w:t>居民就业结构和就业机会是否引发社会矛盾。</w:t>
            </w:r>
          </w:p>
        </w:tc>
        <w:tc>
          <w:tcPr>
            <w:tcW w:w="1057" w:type="pct"/>
            <w:tcBorders>
              <w:top w:val="nil"/>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居民就业结构和就业机会未引发社会矛盾。</w:t>
            </w:r>
          </w:p>
        </w:tc>
        <w:tc>
          <w:tcPr>
            <w:tcW w:w="578" w:type="pct"/>
            <w:tcBorders>
              <w:top w:val="nil"/>
              <w:left w:val="nil"/>
              <w:bottom w:val="single" w:color="auto" w:sz="4" w:space="0"/>
              <w:right w:val="single" w:color="auto" w:sz="4" w:space="0"/>
            </w:tcBorders>
            <w:noWrap/>
            <w:vAlign w:val="center"/>
          </w:tcPr>
          <w:p>
            <w:pPr>
              <w:autoSpaceDN w:val="0"/>
              <w:spacing w:line="240" w:lineRule="exact"/>
              <w:jc w:val="left"/>
              <w:textAlignment w:val="center"/>
              <w:rPr>
                <w:rFonts w:ascii="新宋体" w:hAnsi="新宋体" w:eastAsia="新宋体" w:cs="新宋体"/>
                <w:color w:val="000000"/>
                <w:szCs w:val="21"/>
              </w:rPr>
            </w:pPr>
            <w:r>
              <w:rPr>
                <w:rFonts w:hint="eastAsia" w:ascii="新宋体" w:hAnsi="新宋体" w:eastAsia="新宋体" w:cs="新宋体"/>
                <w:color w:val="000000"/>
                <w:szCs w:val="21"/>
              </w:rPr>
              <w:t>未引发社会矛盾，居民安居乐业。</w:t>
            </w:r>
          </w:p>
        </w:tc>
        <w:tc>
          <w:tcPr>
            <w:tcW w:w="495" w:type="pct"/>
            <w:tcBorders>
              <w:top w:val="nil"/>
              <w:left w:val="nil"/>
              <w:bottom w:val="single" w:color="auto" w:sz="4" w:space="0"/>
              <w:right w:val="single" w:color="auto" w:sz="4" w:space="0"/>
            </w:tcBorders>
            <w:noWrap/>
            <w:vAlign w:val="center"/>
          </w:tcPr>
          <w:p>
            <w:pPr>
              <w:widowControl/>
              <w:spacing w:line="0" w:lineRule="atLeast"/>
              <w:ind w:firstLine="210" w:firstLineChars="100"/>
              <w:jc w:val="left"/>
              <w:rPr>
                <w:rFonts w:ascii="新宋体" w:hAnsi="新宋体" w:eastAsia="新宋体" w:cs="新宋体"/>
                <w:color w:val="000000"/>
                <w:szCs w:val="21"/>
              </w:rPr>
            </w:pPr>
            <w:r>
              <w:rPr>
                <w:rFonts w:hint="eastAsia" w:ascii="新宋体" w:hAnsi="新宋体" w:eastAsia="新宋体" w:cs="新宋体"/>
                <w:color w:val="000000"/>
                <w:szCs w:val="21"/>
              </w:rPr>
              <w:t>3</w:t>
            </w:r>
          </w:p>
        </w:tc>
        <w:tc>
          <w:tcPr>
            <w:tcW w:w="518" w:type="pct"/>
            <w:tcBorders>
              <w:top w:val="nil"/>
              <w:left w:val="nil"/>
              <w:bottom w:val="single" w:color="auto" w:sz="4" w:space="0"/>
              <w:right w:val="single" w:color="auto" w:sz="4" w:space="0"/>
            </w:tcBorders>
            <w:noWrap/>
            <w:vAlign w:val="center"/>
          </w:tcPr>
          <w:p>
            <w:pPr>
              <w:widowControl/>
              <w:spacing w:line="0" w:lineRule="atLeast"/>
              <w:ind w:firstLine="210" w:firstLineChars="100"/>
              <w:jc w:val="left"/>
              <w:rPr>
                <w:rFonts w:ascii="新宋体" w:hAnsi="新宋体" w:eastAsia="新宋体" w:cs="新宋体"/>
                <w:color w:val="000000"/>
                <w:szCs w:val="21"/>
              </w:rPr>
            </w:pPr>
            <w:r>
              <w:rPr>
                <w:rFonts w:hint="eastAsia" w:ascii="新宋体" w:hAnsi="新宋体" w:eastAsia="新宋体" w:cs="新宋体"/>
                <w:color w:val="000000"/>
                <w:szCs w:val="21"/>
              </w:rPr>
              <w:t>3</w:t>
            </w:r>
          </w:p>
        </w:tc>
        <w:tc>
          <w:tcPr>
            <w:tcW w:w="547" w:type="pct"/>
            <w:tcBorders>
              <w:top w:val="nil"/>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p>
        </w:tc>
      </w:tr>
      <w:tr>
        <w:tblPrEx>
          <w:tblCellMar>
            <w:top w:w="0" w:type="dxa"/>
            <w:left w:w="108" w:type="dxa"/>
            <w:bottom w:w="0" w:type="dxa"/>
            <w:right w:w="108" w:type="dxa"/>
          </w:tblCellMar>
        </w:tblPrEx>
        <w:trPr>
          <w:trHeight w:val="462" w:hRule="atLeast"/>
          <w:jc w:val="center"/>
        </w:trPr>
        <w:tc>
          <w:tcPr>
            <w:tcW w:w="267" w:type="pct"/>
            <w:vMerge w:val="continue"/>
            <w:tcBorders>
              <w:left w:val="single" w:color="auto" w:sz="4" w:space="0"/>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196" w:type="pct"/>
            <w:vMerge w:val="continue"/>
            <w:tcBorders>
              <w:left w:val="nil"/>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285" w:type="pct"/>
            <w:vMerge w:val="continue"/>
            <w:tcBorders>
              <w:left w:val="nil"/>
              <w:bottom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p>
        </w:tc>
        <w:tc>
          <w:tcPr>
            <w:tcW w:w="1057" w:type="pct"/>
            <w:tcBorders>
              <w:top w:val="nil"/>
              <w:left w:val="nil"/>
              <w:bottom w:val="single" w:color="auto" w:sz="4" w:space="0"/>
              <w:right w:val="single" w:color="auto" w:sz="4" w:space="0"/>
            </w:tcBorders>
            <w:noWrap/>
            <w:vAlign w:val="center"/>
          </w:tcPr>
          <w:p>
            <w:pPr>
              <w:widowControl/>
              <w:spacing w:line="260" w:lineRule="exact"/>
              <w:jc w:val="left"/>
              <w:rPr>
                <w:rFonts w:ascii="新宋体" w:hAnsi="新宋体" w:eastAsia="新宋体" w:cs="新宋体"/>
                <w:color w:val="000000"/>
                <w:szCs w:val="21"/>
              </w:rPr>
            </w:pPr>
            <w:r>
              <w:rPr>
                <w:rFonts w:hint="eastAsia" w:ascii="新宋体" w:hAnsi="新宋体" w:eastAsia="新宋体" w:cs="新宋体"/>
                <w:color w:val="000000"/>
                <w:szCs w:val="21"/>
              </w:rPr>
              <w:t>县域地区文化教育水平、卫生健康程度是否达标。</w:t>
            </w:r>
          </w:p>
        </w:tc>
        <w:tc>
          <w:tcPr>
            <w:tcW w:w="1057" w:type="pct"/>
            <w:tcBorders>
              <w:top w:val="nil"/>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县域地区文化教育水平、卫生健康程度达标。　</w:t>
            </w:r>
          </w:p>
        </w:tc>
        <w:tc>
          <w:tcPr>
            <w:tcW w:w="578" w:type="pct"/>
            <w:tcBorders>
              <w:top w:val="nil"/>
              <w:left w:val="nil"/>
              <w:bottom w:val="single" w:color="auto" w:sz="4" w:space="0"/>
              <w:right w:val="single" w:color="auto" w:sz="4" w:space="0"/>
            </w:tcBorders>
            <w:noWrap/>
            <w:vAlign w:val="center"/>
          </w:tcPr>
          <w:p>
            <w:pPr>
              <w:widowControl/>
              <w:spacing w:line="240" w:lineRule="exact"/>
              <w:jc w:val="left"/>
              <w:rPr>
                <w:rFonts w:ascii="新宋体" w:hAnsi="新宋体" w:eastAsia="新宋体" w:cs="新宋体"/>
                <w:color w:val="000000"/>
                <w:szCs w:val="21"/>
              </w:rPr>
            </w:pPr>
            <w:r>
              <w:rPr>
                <w:rFonts w:hint="eastAsia" w:ascii="新宋体" w:hAnsi="新宋体" w:eastAsia="新宋体" w:cs="新宋体"/>
                <w:color w:val="000000"/>
                <w:szCs w:val="21"/>
              </w:rPr>
              <w:t>已达标。　</w:t>
            </w:r>
          </w:p>
        </w:tc>
        <w:tc>
          <w:tcPr>
            <w:tcW w:w="495" w:type="pct"/>
            <w:tcBorders>
              <w:top w:val="nil"/>
              <w:left w:val="nil"/>
              <w:bottom w:val="single" w:color="auto" w:sz="4" w:space="0"/>
              <w:right w:val="single" w:color="auto" w:sz="4" w:space="0"/>
            </w:tcBorders>
            <w:noWrap/>
            <w:vAlign w:val="center"/>
          </w:tcPr>
          <w:p>
            <w:pPr>
              <w:widowControl/>
              <w:spacing w:line="0" w:lineRule="atLeast"/>
              <w:ind w:firstLine="210" w:firstLineChars="100"/>
              <w:jc w:val="left"/>
              <w:rPr>
                <w:rFonts w:ascii="新宋体" w:hAnsi="新宋体" w:eastAsia="新宋体" w:cs="新宋体"/>
                <w:color w:val="000000"/>
                <w:szCs w:val="21"/>
              </w:rPr>
            </w:pPr>
            <w:r>
              <w:rPr>
                <w:rFonts w:hint="eastAsia" w:ascii="新宋体" w:hAnsi="新宋体" w:eastAsia="新宋体" w:cs="新宋体"/>
                <w:color w:val="000000"/>
                <w:szCs w:val="21"/>
              </w:rPr>
              <w:t>3</w:t>
            </w:r>
          </w:p>
        </w:tc>
        <w:tc>
          <w:tcPr>
            <w:tcW w:w="518" w:type="pct"/>
            <w:tcBorders>
              <w:top w:val="nil"/>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3</w:t>
            </w:r>
          </w:p>
        </w:tc>
        <w:tc>
          <w:tcPr>
            <w:tcW w:w="547" w:type="pct"/>
            <w:tcBorders>
              <w:top w:val="nil"/>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w:t>
            </w:r>
          </w:p>
        </w:tc>
      </w:tr>
      <w:tr>
        <w:tblPrEx>
          <w:tblCellMar>
            <w:top w:w="0" w:type="dxa"/>
            <w:left w:w="108" w:type="dxa"/>
            <w:bottom w:w="0" w:type="dxa"/>
            <w:right w:w="108" w:type="dxa"/>
          </w:tblCellMar>
        </w:tblPrEx>
        <w:trPr>
          <w:trHeight w:val="462" w:hRule="atLeast"/>
          <w:jc w:val="center"/>
        </w:trPr>
        <w:tc>
          <w:tcPr>
            <w:tcW w:w="267" w:type="pct"/>
            <w:vMerge w:val="continue"/>
            <w:tcBorders>
              <w:left w:val="single" w:color="auto" w:sz="4" w:space="0"/>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196" w:type="pct"/>
            <w:vMerge w:val="continue"/>
            <w:tcBorders>
              <w:left w:val="nil"/>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285" w:type="pct"/>
            <w:vMerge w:val="restart"/>
            <w:tcBorders>
              <w:top w:val="nil"/>
              <w:left w:val="nil"/>
              <w:right w:val="single" w:color="auto" w:sz="4" w:space="0"/>
            </w:tcBorders>
            <w:noWrap/>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生态效</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益指标</w:t>
            </w:r>
          </w:p>
        </w:tc>
        <w:tc>
          <w:tcPr>
            <w:tcW w:w="1057" w:type="pct"/>
            <w:tcBorders>
              <w:top w:val="nil"/>
              <w:left w:val="nil"/>
              <w:bottom w:val="single" w:color="auto" w:sz="4" w:space="0"/>
              <w:right w:val="single" w:color="auto" w:sz="4" w:space="0"/>
            </w:tcBorders>
            <w:noWrap/>
            <w:vAlign w:val="center"/>
          </w:tcPr>
          <w:p>
            <w:pPr>
              <w:widowControl/>
              <w:spacing w:line="260" w:lineRule="exact"/>
              <w:rPr>
                <w:rFonts w:ascii="新宋体" w:hAnsi="新宋体" w:eastAsia="新宋体" w:cs="新宋体"/>
                <w:color w:val="000000"/>
                <w:szCs w:val="21"/>
              </w:rPr>
            </w:pPr>
            <w:r>
              <w:rPr>
                <w:rFonts w:hint="eastAsia" w:ascii="新宋体" w:hAnsi="新宋体" w:eastAsia="新宋体" w:cs="新宋体"/>
                <w:color w:val="000000"/>
                <w:szCs w:val="21"/>
              </w:rPr>
              <w:t>转变价值观念，增强服务意识，逐步满足社会公众生态需求。</w:t>
            </w:r>
          </w:p>
        </w:tc>
        <w:tc>
          <w:tcPr>
            <w:tcW w:w="1057" w:type="pct"/>
            <w:tcBorders>
              <w:top w:val="nil"/>
              <w:left w:val="nil"/>
              <w:bottom w:val="single" w:color="auto" w:sz="4" w:space="0"/>
              <w:right w:val="single" w:color="auto" w:sz="4" w:space="0"/>
            </w:tcBorders>
            <w:noWrap/>
            <w:vAlign w:val="center"/>
          </w:tcPr>
          <w:p>
            <w:pPr>
              <w:widowControl/>
              <w:spacing w:line="240" w:lineRule="exact"/>
              <w:rPr>
                <w:rFonts w:ascii="新宋体" w:hAnsi="新宋体" w:eastAsia="新宋体" w:cs="新宋体"/>
                <w:color w:val="000000"/>
                <w:szCs w:val="21"/>
              </w:rPr>
            </w:pPr>
            <w:r>
              <w:rPr>
                <w:rFonts w:hint="eastAsia" w:ascii="新宋体" w:hAnsi="新宋体" w:eastAsia="新宋体" w:cs="新宋体"/>
                <w:color w:val="000000"/>
                <w:szCs w:val="21"/>
              </w:rPr>
              <w:t>转变价值观念，增强服务意识，逐步满足社会公众生态需求。</w:t>
            </w:r>
          </w:p>
        </w:tc>
        <w:tc>
          <w:tcPr>
            <w:tcW w:w="578" w:type="pct"/>
            <w:tcBorders>
              <w:top w:val="nil"/>
              <w:left w:val="nil"/>
              <w:bottom w:val="single" w:color="auto" w:sz="4" w:space="0"/>
              <w:right w:val="single" w:color="auto" w:sz="4" w:space="0"/>
            </w:tcBorders>
            <w:noWrap/>
            <w:vAlign w:val="center"/>
          </w:tcPr>
          <w:p>
            <w:pPr>
              <w:widowControl/>
              <w:spacing w:line="240" w:lineRule="exact"/>
              <w:rPr>
                <w:rFonts w:ascii="新宋体" w:hAnsi="新宋体" w:eastAsia="新宋体" w:cs="新宋体"/>
                <w:color w:val="000000"/>
                <w:szCs w:val="21"/>
              </w:rPr>
            </w:pPr>
            <w:r>
              <w:rPr>
                <w:rFonts w:hint="eastAsia" w:ascii="新宋体" w:hAnsi="新宋体" w:eastAsia="新宋体" w:cs="新宋体"/>
                <w:color w:val="000000"/>
                <w:szCs w:val="21"/>
              </w:rPr>
              <w:t>社会公众生态需求</w:t>
            </w:r>
          </w:p>
          <w:p>
            <w:pPr>
              <w:widowControl/>
              <w:spacing w:line="240" w:lineRule="exact"/>
              <w:rPr>
                <w:rFonts w:ascii="新宋体" w:hAnsi="新宋体" w:eastAsia="新宋体" w:cs="新宋体"/>
                <w:color w:val="000000"/>
                <w:szCs w:val="21"/>
              </w:rPr>
            </w:pPr>
            <w:r>
              <w:rPr>
                <w:rFonts w:hint="eastAsia" w:ascii="新宋体" w:hAnsi="新宋体" w:eastAsia="新宋体" w:cs="新宋体"/>
                <w:color w:val="000000"/>
                <w:szCs w:val="21"/>
              </w:rPr>
              <w:t>逐步满足。</w:t>
            </w:r>
          </w:p>
        </w:tc>
        <w:tc>
          <w:tcPr>
            <w:tcW w:w="495" w:type="pct"/>
            <w:tcBorders>
              <w:top w:val="nil"/>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3</w:t>
            </w:r>
          </w:p>
        </w:tc>
        <w:tc>
          <w:tcPr>
            <w:tcW w:w="518" w:type="pct"/>
            <w:tcBorders>
              <w:top w:val="nil"/>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3</w:t>
            </w:r>
          </w:p>
        </w:tc>
        <w:tc>
          <w:tcPr>
            <w:tcW w:w="547" w:type="pct"/>
            <w:tcBorders>
              <w:top w:val="nil"/>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w:t>
            </w:r>
          </w:p>
        </w:tc>
      </w:tr>
      <w:tr>
        <w:tblPrEx>
          <w:tblCellMar>
            <w:top w:w="0" w:type="dxa"/>
            <w:left w:w="108" w:type="dxa"/>
            <w:bottom w:w="0" w:type="dxa"/>
            <w:right w:w="108" w:type="dxa"/>
          </w:tblCellMar>
        </w:tblPrEx>
        <w:trPr>
          <w:trHeight w:val="462" w:hRule="atLeast"/>
          <w:jc w:val="center"/>
        </w:trPr>
        <w:tc>
          <w:tcPr>
            <w:tcW w:w="267" w:type="pct"/>
            <w:vMerge w:val="continue"/>
            <w:tcBorders>
              <w:left w:val="single" w:color="auto" w:sz="4" w:space="0"/>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196" w:type="pct"/>
            <w:vMerge w:val="continue"/>
            <w:tcBorders>
              <w:left w:val="nil"/>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285" w:type="pct"/>
            <w:vMerge w:val="continue"/>
            <w:tcBorders>
              <w:left w:val="nil"/>
              <w:right w:val="single" w:color="auto" w:sz="4" w:space="0"/>
            </w:tcBorders>
            <w:noWrap/>
            <w:vAlign w:val="center"/>
          </w:tcPr>
          <w:p>
            <w:pPr>
              <w:spacing w:line="0" w:lineRule="atLeast"/>
              <w:jc w:val="left"/>
              <w:rPr>
                <w:rFonts w:ascii="新宋体" w:hAnsi="新宋体" w:eastAsia="新宋体" w:cs="新宋体"/>
                <w:color w:val="000000"/>
                <w:szCs w:val="21"/>
              </w:rPr>
            </w:pPr>
          </w:p>
        </w:tc>
        <w:tc>
          <w:tcPr>
            <w:tcW w:w="1057" w:type="pct"/>
            <w:tcBorders>
              <w:top w:val="nil"/>
              <w:left w:val="nil"/>
              <w:bottom w:val="single" w:color="auto" w:sz="4" w:space="0"/>
              <w:right w:val="single" w:color="auto" w:sz="4" w:space="0"/>
            </w:tcBorders>
            <w:noWrap/>
            <w:vAlign w:val="center"/>
          </w:tcPr>
          <w:p>
            <w:pPr>
              <w:autoSpaceDN w:val="0"/>
              <w:spacing w:line="260" w:lineRule="exact"/>
              <w:jc w:val="left"/>
              <w:textAlignment w:val="center"/>
              <w:rPr>
                <w:rFonts w:ascii="新宋体" w:hAnsi="新宋体" w:eastAsia="新宋体" w:cs="新宋体"/>
                <w:color w:val="000000"/>
                <w:szCs w:val="21"/>
              </w:rPr>
            </w:pPr>
            <w:r>
              <w:rPr>
                <w:rFonts w:hint="eastAsia" w:ascii="新宋体" w:hAnsi="新宋体" w:eastAsia="新宋体" w:cs="新宋体"/>
                <w:color w:val="000000"/>
                <w:szCs w:val="21"/>
              </w:rPr>
              <w:t>完善生态管理制度体系，协调生态环境与经济社会发展的关系，使经济社会与生态环境协调发展。</w:t>
            </w:r>
          </w:p>
        </w:tc>
        <w:tc>
          <w:tcPr>
            <w:tcW w:w="1057" w:type="pct"/>
            <w:tcBorders>
              <w:top w:val="nil"/>
              <w:left w:val="nil"/>
              <w:bottom w:val="single" w:color="auto" w:sz="4" w:space="0"/>
              <w:right w:val="single" w:color="auto" w:sz="4" w:space="0"/>
            </w:tcBorders>
            <w:noWrap/>
            <w:vAlign w:val="center"/>
          </w:tcPr>
          <w:p>
            <w:pPr>
              <w:widowControl/>
              <w:spacing w:line="240" w:lineRule="exact"/>
              <w:jc w:val="left"/>
              <w:rPr>
                <w:rFonts w:ascii="新宋体" w:hAnsi="新宋体" w:eastAsia="新宋体" w:cs="新宋体"/>
                <w:color w:val="000000"/>
                <w:szCs w:val="21"/>
              </w:rPr>
            </w:pPr>
            <w:r>
              <w:rPr>
                <w:rFonts w:hint="eastAsia" w:ascii="新宋体" w:hAnsi="新宋体" w:eastAsia="新宋体" w:cs="新宋体"/>
                <w:color w:val="000000"/>
                <w:szCs w:val="21"/>
              </w:rPr>
              <w:t>完善生态管理制度体系，协调生态环境与经济社会发展的关系，使经济社会与生态环境协调发展。</w:t>
            </w:r>
          </w:p>
        </w:tc>
        <w:tc>
          <w:tcPr>
            <w:tcW w:w="578" w:type="pct"/>
            <w:tcBorders>
              <w:top w:val="nil"/>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经济社会与生态环境协调发展。</w:t>
            </w:r>
          </w:p>
        </w:tc>
        <w:tc>
          <w:tcPr>
            <w:tcW w:w="495" w:type="pct"/>
            <w:tcBorders>
              <w:top w:val="nil"/>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3</w:t>
            </w:r>
          </w:p>
        </w:tc>
        <w:tc>
          <w:tcPr>
            <w:tcW w:w="518" w:type="pct"/>
            <w:tcBorders>
              <w:top w:val="nil"/>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3</w:t>
            </w:r>
          </w:p>
        </w:tc>
        <w:tc>
          <w:tcPr>
            <w:tcW w:w="547" w:type="pct"/>
            <w:tcBorders>
              <w:top w:val="nil"/>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w:t>
            </w:r>
          </w:p>
        </w:tc>
      </w:tr>
      <w:tr>
        <w:tblPrEx>
          <w:tblCellMar>
            <w:top w:w="0" w:type="dxa"/>
            <w:left w:w="108" w:type="dxa"/>
            <w:bottom w:w="0" w:type="dxa"/>
            <w:right w:w="108" w:type="dxa"/>
          </w:tblCellMar>
        </w:tblPrEx>
        <w:trPr>
          <w:trHeight w:val="462" w:hRule="atLeast"/>
          <w:jc w:val="center"/>
        </w:trPr>
        <w:tc>
          <w:tcPr>
            <w:tcW w:w="267" w:type="pct"/>
            <w:vMerge w:val="continue"/>
            <w:tcBorders>
              <w:left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p>
        </w:tc>
        <w:tc>
          <w:tcPr>
            <w:tcW w:w="196" w:type="pct"/>
            <w:vMerge w:val="continue"/>
            <w:tcBorders>
              <w:left w:val="nil"/>
              <w:right w:val="single" w:color="auto" w:sz="4" w:space="0"/>
            </w:tcBorders>
            <w:noWrap/>
            <w:vAlign w:val="center"/>
          </w:tcPr>
          <w:p>
            <w:pPr>
              <w:widowControl/>
              <w:spacing w:line="0" w:lineRule="atLeast"/>
              <w:jc w:val="center"/>
              <w:rPr>
                <w:rFonts w:ascii="新宋体" w:hAnsi="新宋体" w:eastAsia="新宋体" w:cs="新宋体"/>
                <w:color w:val="000000"/>
                <w:szCs w:val="21"/>
              </w:rPr>
            </w:pPr>
          </w:p>
        </w:tc>
        <w:tc>
          <w:tcPr>
            <w:tcW w:w="285" w:type="pct"/>
            <w:vMerge w:val="continue"/>
            <w:tcBorders>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p>
        </w:tc>
        <w:tc>
          <w:tcPr>
            <w:tcW w:w="1057" w:type="pct"/>
            <w:tcBorders>
              <w:top w:val="nil"/>
              <w:left w:val="nil"/>
              <w:bottom w:val="single" w:color="auto" w:sz="4" w:space="0"/>
              <w:right w:val="single" w:color="auto" w:sz="4" w:space="0"/>
            </w:tcBorders>
            <w:noWrap/>
            <w:vAlign w:val="center"/>
          </w:tcPr>
          <w:p>
            <w:pPr>
              <w:autoSpaceDN w:val="0"/>
              <w:spacing w:line="260" w:lineRule="exact"/>
              <w:jc w:val="left"/>
              <w:textAlignment w:val="center"/>
              <w:rPr>
                <w:rFonts w:ascii="新宋体" w:hAnsi="新宋体" w:eastAsia="新宋体" w:cs="新宋体"/>
                <w:color w:val="000000"/>
                <w:szCs w:val="21"/>
              </w:rPr>
            </w:pPr>
            <w:r>
              <w:rPr>
                <w:rFonts w:hint="eastAsia" w:ascii="新宋体" w:hAnsi="新宋体" w:eastAsia="新宋体" w:cs="新宋体"/>
                <w:color w:val="000000"/>
                <w:szCs w:val="21"/>
              </w:rPr>
              <w:t>建立健全政府生态管理创新机制，培育生态文化、学习文化、法治文化和责任文化，为公众创造良好的生存环境。</w:t>
            </w:r>
          </w:p>
        </w:tc>
        <w:tc>
          <w:tcPr>
            <w:tcW w:w="1057" w:type="pct"/>
            <w:tcBorders>
              <w:top w:val="nil"/>
              <w:left w:val="nil"/>
              <w:bottom w:val="single" w:color="auto" w:sz="4" w:space="0"/>
              <w:right w:val="single" w:color="auto" w:sz="4" w:space="0"/>
            </w:tcBorders>
            <w:noWrap/>
            <w:vAlign w:val="center"/>
          </w:tcPr>
          <w:p>
            <w:pPr>
              <w:widowControl/>
              <w:spacing w:line="240" w:lineRule="exact"/>
              <w:jc w:val="left"/>
              <w:rPr>
                <w:rFonts w:ascii="新宋体" w:hAnsi="新宋体" w:eastAsia="新宋体" w:cs="新宋体"/>
                <w:color w:val="000000"/>
                <w:szCs w:val="21"/>
              </w:rPr>
            </w:pPr>
            <w:r>
              <w:rPr>
                <w:rFonts w:hint="eastAsia" w:ascii="新宋体" w:hAnsi="新宋体" w:eastAsia="新宋体" w:cs="新宋体"/>
                <w:color w:val="000000"/>
                <w:szCs w:val="21"/>
              </w:rPr>
              <w:t>建立健全政府生态管理创新机制，培育生态文化、学习文化、法治文化和责任文化，为公众创造良好的生存环境。</w:t>
            </w:r>
          </w:p>
        </w:tc>
        <w:tc>
          <w:tcPr>
            <w:tcW w:w="578" w:type="pct"/>
            <w:tcBorders>
              <w:top w:val="nil"/>
              <w:left w:val="nil"/>
              <w:bottom w:val="single" w:color="auto" w:sz="4" w:space="0"/>
              <w:right w:val="single" w:color="auto" w:sz="4" w:space="0"/>
            </w:tcBorders>
            <w:noWrap/>
            <w:vAlign w:val="center"/>
          </w:tcPr>
          <w:p>
            <w:pPr>
              <w:autoSpaceDN w:val="0"/>
              <w:spacing w:line="240" w:lineRule="exact"/>
              <w:jc w:val="left"/>
              <w:textAlignment w:val="center"/>
              <w:rPr>
                <w:rFonts w:ascii="新宋体" w:hAnsi="新宋体" w:eastAsia="新宋体" w:cs="新宋体"/>
                <w:color w:val="000000"/>
                <w:szCs w:val="21"/>
              </w:rPr>
            </w:pPr>
            <w:r>
              <w:rPr>
                <w:rFonts w:hint="eastAsia" w:ascii="新宋体" w:hAnsi="新宋体" w:eastAsia="新宋体" w:cs="新宋体"/>
                <w:color w:val="000000"/>
                <w:szCs w:val="21"/>
              </w:rPr>
              <w:t>公众生存环境良好。</w:t>
            </w:r>
          </w:p>
        </w:tc>
        <w:tc>
          <w:tcPr>
            <w:tcW w:w="495" w:type="pct"/>
            <w:tcBorders>
              <w:top w:val="nil"/>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3</w:t>
            </w:r>
          </w:p>
        </w:tc>
        <w:tc>
          <w:tcPr>
            <w:tcW w:w="518" w:type="pct"/>
            <w:tcBorders>
              <w:top w:val="nil"/>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3</w:t>
            </w:r>
          </w:p>
        </w:tc>
        <w:tc>
          <w:tcPr>
            <w:tcW w:w="547" w:type="pct"/>
            <w:tcBorders>
              <w:top w:val="nil"/>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w:t>
            </w:r>
          </w:p>
        </w:tc>
      </w:tr>
      <w:tr>
        <w:tblPrEx>
          <w:tblCellMar>
            <w:top w:w="0" w:type="dxa"/>
            <w:left w:w="108" w:type="dxa"/>
            <w:bottom w:w="0" w:type="dxa"/>
            <w:right w:w="108" w:type="dxa"/>
          </w:tblCellMar>
        </w:tblPrEx>
        <w:trPr>
          <w:trHeight w:val="462" w:hRule="atLeast"/>
          <w:jc w:val="center"/>
        </w:trPr>
        <w:tc>
          <w:tcPr>
            <w:tcW w:w="267" w:type="pct"/>
            <w:vMerge w:val="continue"/>
            <w:tcBorders>
              <w:left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p>
        </w:tc>
        <w:tc>
          <w:tcPr>
            <w:tcW w:w="196" w:type="pct"/>
            <w:vMerge w:val="continue"/>
            <w:tcBorders>
              <w:left w:val="nil"/>
              <w:right w:val="single" w:color="auto" w:sz="4" w:space="0"/>
            </w:tcBorders>
            <w:noWrap/>
            <w:vAlign w:val="center"/>
          </w:tcPr>
          <w:p>
            <w:pPr>
              <w:widowControl/>
              <w:spacing w:line="0" w:lineRule="atLeast"/>
              <w:jc w:val="center"/>
              <w:rPr>
                <w:rFonts w:ascii="新宋体" w:hAnsi="新宋体" w:eastAsia="新宋体" w:cs="新宋体"/>
                <w:color w:val="000000"/>
                <w:szCs w:val="21"/>
              </w:rPr>
            </w:pPr>
          </w:p>
        </w:tc>
        <w:tc>
          <w:tcPr>
            <w:tcW w:w="285" w:type="pct"/>
            <w:vMerge w:val="restart"/>
            <w:tcBorders>
              <w:top w:val="single" w:color="auto" w:sz="4" w:space="0"/>
              <w:left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可持续影响指标</w:t>
            </w:r>
          </w:p>
        </w:tc>
        <w:tc>
          <w:tcPr>
            <w:tcW w:w="105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rPr>
                <w:rFonts w:ascii="新宋体" w:hAnsi="新宋体" w:eastAsia="新宋体" w:cs="新宋体"/>
                <w:color w:val="000000"/>
                <w:szCs w:val="21"/>
              </w:rPr>
            </w:pPr>
            <w:r>
              <w:rPr>
                <w:rFonts w:hint="eastAsia" w:ascii="新宋体" w:hAnsi="新宋体" w:eastAsia="新宋体" w:cs="新宋体"/>
                <w:color w:val="000000"/>
                <w:szCs w:val="21"/>
              </w:rPr>
              <w:t>产生可持续性社会正能量影响。</w:t>
            </w:r>
          </w:p>
        </w:tc>
        <w:tc>
          <w:tcPr>
            <w:tcW w:w="105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rPr>
                <w:rFonts w:ascii="新宋体" w:hAnsi="新宋体" w:eastAsia="新宋体" w:cs="新宋体"/>
                <w:color w:val="000000"/>
                <w:szCs w:val="21"/>
              </w:rPr>
            </w:pPr>
            <w:r>
              <w:rPr>
                <w:rFonts w:hint="eastAsia" w:ascii="新宋体" w:hAnsi="新宋体" w:eastAsia="新宋体" w:cs="新宋体"/>
                <w:color w:val="000000"/>
                <w:szCs w:val="21"/>
              </w:rPr>
              <w:t>产生可持续性社会正能量影响。</w:t>
            </w:r>
          </w:p>
        </w:tc>
        <w:tc>
          <w:tcPr>
            <w:tcW w:w="578"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已产生可持续性社会正能量影响。</w:t>
            </w:r>
          </w:p>
        </w:tc>
        <w:tc>
          <w:tcPr>
            <w:tcW w:w="495"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3</w:t>
            </w:r>
          </w:p>
        </w:tc>
        <w:tc>
          <w:tcPr>
            <w:tcW w:w="518"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3</w:t>
            </w:r>
          </w:p>
        </w:tc>
        <w:tc>
          <w:tcPr>
            <w:tcW w:w="547"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w:t>
            </w:r>
          </w:p>
        </w:tc>
      </w:tr>
      <w:tr>
        <w:tblPrEx>
          <w:tblCellMar>
            <w:top w:w="0" w:type="dxa"/>
            <w:left w:w="108" w:type="dxa"/>
            <w:bottom w:w="0" w:type="dxa"/>
            <w:right w:w="108" w:type="dxa"/>
          </w:tblCellMar>
        </w:tblPrEx>
        <w:trPr>
          <w:trHeight w:val="401" w:hRule="atLeast"/>
          <w:jc w:val="center"/>
        </w:trPr>
        <w:tc>
          <w:tcPr>
            <w:tcW w:w="267" w:type="pct"/>
            <w:vMerge w:val="continue"/>
            <w:tcBorders>
              <w:left w:val="single" w:color="auto" w:sz="4" w:space="0"/>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196" w:type="pct"/>
            <w:vMerge w:val="continue"/>
            <w:tcBorders>
              <w:left w:val="nil"/>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285" w:type="pct"/>
            <w:vMerge w:val="continue"/>
            <w:tcBorders>
              <w:left w:val="single" w:color="auto" w:sz="4" w:space="0"/>
              <w:right w:val="single" w:color="auto" w:sz="4" w:space="0"/>
            </w:tcBorders>
            <w:noWrap/>
            <w:vAlign w:val="center"/>
          </w:tcPr>
          <w:p>
            <w:pPr>
              <w:spacing w:line="0" w:lineRule="atLeast"/>
              <w:jc w:val="left"/>
              <w:rPr>
                <w:rFonts w:ascii="新宋体" w:hAnsi="新宋体" w:eastAsia="新宋体" w:cs="新宋体"/>
                <w:color w:val="000000"/>
                <w:szCs w:val="21"/>
              </w:rPr>
            </w:pPr>
          </w:p>
        </w:tc>
        <w:tc>
          <w:tcPr>
            <w:tcW w:w="1057" w:type="pct"/>
            <w:tcBorders>
              <w:top w:val="single" w:color="auto" w:sz="4" w:space="0"/>
              <w:left w:val="nil"/>
              <w:bottom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p>
        </w:tc>
        <w:tc>
          <w:tcPr>
            <w:tcW w:w="1057" w:type="pct"/>
            <w:tcBorders>
              <w:top w:val="single" w:color="auto" w:sz="4" w:space="0"/>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w:t>
            </w:r>
          </w:p>
        </w:tc>
        <w:tc>
          <w:tcPr>
            <w:tcW w:w="578" w:type="pct"/>
            <w:tcBorders>
              <w:top w:val="single" w:color="auto" w:sz="4" w:space="0"/>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w:t>
            </w:r>
          </w:p>
        </w:tc>
        <w:tc>
          <w:tcPr>
            <w:tcW w:w="495" w:type="pct"/>
            <w:tcBorders>
              <w:top w:val="single" w:color="auto" w:sz="4" w:space="0"/>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w:t>
            </w:r>
          </w:p>
        </w:tc>
        <w:tc>
          <w:tcPr>
            <w:tcW w:w="518" w:type="pct"/>
            <w:tcBorders>
              <w:top w:val="single" w:color="auto" w:sz="4" w:space="0"/>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w:t>
            </w:r>
          </w:p>
        </w:tc>
        <w:tc>
          <w:tcPr>
            <w:tcW w:w="547" w:type="pct"/>
            <w:tcBorders>
              <w:top w:val="single" w:color="auto" w:sz="4" w:space="0"/>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w:t>
            </w:r>
          </w:p>
        </w:tc>
      </w:tr>
      <w:tr>
        <w:tblPrEx>
          <w:tblCellMar>
            <w:top w:w="0" w:type="dxa"/>
            <w:left w:w="108" w:type="dxa"/>
            <w:bottom w:w="0" w:type="dxa"/>
            <w:right w:w="108" w:type="dxa"/>
          </w:tblCellMar>
        </w:tblPrEx>
        <w:trPr>
          <w:trHeight w:val="266" w:hRule="atLeast"/>
          <w:jc w:val="center"/>
        </w:trPr>
        <w:tc>
          <w:tcPr>
            <w:tcW w:w="267" w:type="pct"/>
            <w:vMerge w:val="continue"/>
            <w:tcBorders>
              <w:left w:val="single" w:color="auto" w:sz="4" w:space="0"/>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196" w:type="pct"/>
            <w:vMerge w:val="continue"/>
            <w:tcBorders>
              <w:left w:val="nil"/>
              <w:bottom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p>
        </w:tc>
        <w:tc>
          <w:tcPr>
            <w:tcW w:w="285" w:type="pct"/>
            <w:vMerge w:val="continue"/>
            <w:tcBorders>
              <w:left w:val="single" w:color="auto" w:sz="4" w:space="0"/>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p>
        </w:tc>
        <w:tc>
          <w:tcPr>
            <w:tcW w:w="1057" w:type="pct"/>
            <w:tcBorders>
              <w:top w:val="nil"/>
              <w:left w:val="nil"/>
              <w:bottom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p>
        </w:tc>
        <w:tc>
          <w:tcPr>
            <w:tcW w:w="1057" w:type="pct"/>
            <w:tcBorders>
              <w:top w:val="nil"/>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w:t>
            </w:r>
          </w:p>
        </w:tc>
        <w:tc>
          <w:tcPr>
            <w:tcW w:w="578" w:type="pct"/>
            <w:tcBorders>
              <w:top w:val="nil"/>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w:t>
            </w:r>
          </w:p>
        </w:tc>
        <w:tc>
          <w:tcPr>
            <w:tcW w:w="495" w:type="pct"/>
            <w:tcBorders>
              <w:top w:val="nil"/>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w:t>
            </w:r>
          </w:p>
        </w:tc>
        <w:tc>
          <w:tcPr>
            <w:tcW w:w="518" w:type="pct"/>
            <w:tcBorders>
              <w:top w:val="nil"/>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w:t>
            </w:r>
          </w:p>
        </w:tc>
        <w:tc>
          <w:tcPr>
            <w:tcW w:w="547" w:type="pct"/>
            <w:tcBorders>
              <w:top w:val="nil"/>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w:t>
            </w:r>
          </w:p>
        </w:tc>
      </w:tr>
      <w:tr>
        <w:tblPrEx>
          <w:tblCellMar>
            <w:top w:w="0" w:type="dxa"/>
            <w:left w:w="108" w:type="dxa"/>
            <w:bottom w:w="0" w:type="dxa"/>
            <w:right w:w="108" w:type="dxa"/>
          </w:tblCellMar>
        </w:tblPrEx>
        <w:trPr>
          <w:trHeight w:val="462" w:hRule="atLeast"/>
          <w:jc w:val="center"/>
        </w:trPr>
        <w:tc>
          <w:tcPr>
            <w:tcW w:w="267" w:type="pct"/>
            <w:vMerge w:val="continue"/>
            <w:tcBorders>
              <w:left w:val="single" w:color="auto" w:sz="4" w:space="0"/>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196" w:type="pct"/>
            <w:tcBorders>
              <w:top w:val="nil"/>
              <w:left w:val="nil"/>
              <w:right w:val="single" w:color="auto" w:sz="4" w:space="0"/>
            </w:tcBorders>
            <w:noWrap/>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一级</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指标</w:t>
            </w:r>
          </w:p>
        </w:tc>
        <w:tc>
          <w:tcPr>
            <w:tcW w:w="285" w:type="pct"/>
            <w:tcBorders>
              <w:top w:val="nil"/>
              <w:left w:val="nil"/>
              <w:right w:val="single" w:color="auto" w:sz="4" w:space="0"/>
            </w:tcBorders>
            <w:noWrap/>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二级</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指标</w:t>
            </w:r>
          </w:p>
        </w:tc>
        <w:tc>
          <w:tcPr>
            <w:tcW w:w="1057" w:type="pct"/>
            <w:tcBorders>
              <w:top w:val="nil"/>
              <w:left w:val="nil"/>
              <w:bottom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三级</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指标</w:t>
            </w:r>
          </w:p>
        </w:tc>
        <w:tc>
          <w:tcPr>
            <w:tcW w:w="1057" w:type="pct"/>
            <w:tcBorders>
              <w:top w:val="nil"/>
              <w:left w:val="nil"/>
              <w:bottom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年度</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指标值</w:t>
            </w:r>
          </w:p>
        </w:tc>
        <w:tc>
          <w:tcPr>
            <w:tcW w:w="578" w:type="pct"/>
            <w:tcBorders>
              <w:top w:val="nil"/>
              <w:left w:val="nil"/>
              <w:bottom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实际</w:t>
            </w:r>
          </w:p>
          <w:p>
            <w:pPr>
              <w:autoSpaceDN w:val="0"/>
              <w:jc w:val="center"/>
              <w:textAlignment w:val="center"/>
              <w:rPr>
                <w:rFonts w:ascii="新宋体" w:hAnsi="新宋体" w:eastAsia="新宋体" w:cs="新宋体"/>
                <w:color w:val="000000"/>
                <w:szCs w:val="21"/>
              </w:rPr>
            </w:pPr>
            <w:r>
              <w:rPr>
                <w:rFonts w:hint="eastAsia" w:ascii="新宋体" w:hAnsi="新宋体" w:eastAsia="新宋体" w:cs="新宋体"/>
                <w:color w:val="000000"/>
                <w:szCs w:val="21"/>
              </w:rPr>
              <w:t>完成值</w:t>
            </w:r>
          </w:p>
        </w:tc>
        <w:tc>
          <w:tcPr>
            <w:tcW w:w="495" w:type="pct"/>
            <w:tcBorders>
              <w:top w:val="nil"/>
              <w:left w:val="nil"/>
              <w:bottom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分值</w:t>
            </w:r>
          </w:p>
        </w:tc>
        <w:tc>
          <w:tcPr>
            <w:tcW w:w="518" w:type="pct"/>
            <w:tcBorders>
              <w:top w:val="nil"/>
              <w:left w:val="nil"/>
              <w:bottom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得分</w:t>
            </w:r>
          </w:p>
        </w:tc>
        <w:tc>
          <w:tcPr>
            <w:tcW w:w="547" w:type="pct"/>
            <w:tcBorders>
              <w:top w:val="nil"/>
              <w:left w:val="nil"/>
              <w:bottom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偏差原因分析及改进措施</w:t>
            </w:r>
          </w:p>
        </w:tc>
      </w:tr>
      <w:tr>
        <w:tblPrEx>
          <w:tblCellMar>
            <w:top w:w="0" w:type="dxa"/>
            <w:left w:w="108" w:type="dxa"/>
            <w:bottom w:w="0" w:type="dxa"/>
            <w:right w:w="108" w:type="dxa"/>
          </w:tblCellMar>
        </w:tblPrEx>
        <w:trPr>
          <w:trHeight w:val="462" w:hRule="atLeast"/>
          <w:jc w:val="center"/>
        </w:trPr>
        <w:tc>
          <w:tcPr>
            <w:tcW w:w="267" w:type="pct"/>
            <w:vMerge w:val="continue"/>
            <w:tcBorders>
              <w:left w:val="single" w:color="auto" w:sz="4" w:space="0"/>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196" w:type="pct"/>
            <w:vMerge w:val="restart"/>
            <w:tcBorders>
              <w:top w:val="nil"/>
              <w:left w:val="nil"/>
              <w:right w:val="single" w:color="auto" w:sz="4" w:space="0"/>
            </w:tcBorders>
            <w:noWrap/>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满意度</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指标</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（10分）</w:t>
            </w:r>
          </w:p>
        </w:tc>
        <w:tc>
          <w:tcPr>
            <w:tcW w:w="285" w:type="pct"/>
            <w:vMerge w:val="restart"/>
            <w:tcBorders>
              <w:top w:val="nil"/>
              <w:left w:val="nil"/>
              <w:right w:val="single" w:color="auto" w:sz="4" w:space="0"/>
            </w:tcBorders>
            <w:noWrap/>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服务对象满意度指标</w:t>
            </w:r>
          </w:p>
        </w:tc>
        <w:tc>
          <w:tcPr>
            <w:tcW w:w="1057" w:type="pct"/>
            <w:tcBorders>
              <w:top w:val="nil"/>
              <w:left w:val="nil"/>
              <w:bottom w:val="single" w:color="auto" w:sz="4" w:space="0"/>
              <w:right w:val="single" w:color="auto" w:sz="4" w:space="0"/>
            </w:tcBorders>
            <w:noWrap/>
            <w:vAlign w:val="center"/>
          </w:tcPr>
          <w:p>
            <w:pPr>
              <w:widowControl/>
              <w:spacing w:line="0" w:lineRule="atLeast"/>
              <w:rPr>
                <w:rFonts w:ascii="新宋体" w:hAnsi="新宋体" w:eastAsia="新宋体" w:cs="新宋体"/>
                <w:color w:val="000000"/>
                <w:szCs w:val="21"/>
              </w:rPr>
            </w:pPr>
            <w:r>
              <w:rPr>
                <w:rFonts w:hint="eastAsia" w:ascii="新宋体" w:hAnsi="新宋体" w:eastAsia="新宋体" w:cs="新宋体"/>
                <w:color w:val="000000"/>
                <w:szCs w:val="21"/>
              </w:rPr>
              <w:t>根据社会公众的申请内容，向申请人提供依法应当或可以公开的政府信息。</w:t>
            </w:r>
          </w:p>
        </w:tc>
        <w:tc>
          <w:tcPr>
            <w:tcW w:w="1057" w:type="pct"/>
            <w:tcBorders>
              <w:top w:val="nil"/>
              <w:left w:val="nil"/>
              <w:bottom w:val="single" w:color="auto" w:sz="4" w:space="0"/>
              <w:right w:val="single" w:color="auto" w:sz="4" w:space="0"/>
            </w:tcBorders>
            <w:noWrap/>
            <w:vAlign w:val="center"/>
          </w:tcPr>
          <w:p>
            <w:pPr>
              <w:widowControl/>
              <w:spacing w:line="0" w:lineRule="atLeast"/>
              <w:rPr>
                <w:rFonts w:ascii="新宋体" w:hAnsi="新宋体" w:eastAsia="新宋体" w:cs="新宋体"/>
                <w:color w:val="000000"/>
                <w:szCs w:val="21"/>
              </w:rPr>
            </w:pPr>
            <w:r>
              <w:rPr>
                <w:rFonts w:hint="eastAsia" w:ascii="新宋体" w:hAnsi="新宋体" w:eastAsia="新宋体" w:cs="新宋体"/>
                <w:color w:val="000000"/>
                <w:szCs w:val="21"/>
              </w:rPr>
              <w:t>服务对象满意度≥96%。</w:t>
            </w:r>
            <w:r>
              <w:rPr>
                <w:rFonts w:ascii="新宋体" w:hAnsi="新宋体" w:eastAsia="新宋体" w:cs="新宋体"/>
                <w:color w:val="000000"/>
                <w:szCs w:val="21"/>
              </w:rPr>
              <w:t>　</w:t>
            </w:r>
          </w:p>
        </w:tc>
        <w:tc>
          <w:tcPr>
            <w:tcW w:w="578" w:type="pct"/>
            <w:tcBorders>
              <w:top w:val="nil"/>
              <w:left w:val="nil"/>
              <w:bottom w:val="single" w:color="auto" w:sz="4" w:space="0"/>
              <w:right w:val="single" w:color="auto" w:sz="4" w:space="0"/>
            </w:tcBorders>
            <w:noWrap/>
            <w:vAlign w:val="center"/>
          </w:tcPr>
          <w:p>
            <w:pPr>
              <w:autoSpaceDN w:val="0"/>
              <w:jc w:val="left"/>
              <w:textAlignment w:val="center"/>
              <w:rPr>
                <w:rFonts w:ascii="新宋体" w:hAnsi="新宋体" w:eastAsia="新宋体" w:cs="新宋体"/>
                <w:color w:val="000000"/>
                <w:szCs w:val="21"/>
              </w:rPr>
            </w:pPr>
            <w:r>
              <w:rPr>
                <w:rFonts w:hint="eastAsia" w:ascii="新宋体" w:hAnsi="新宋体" w:eastAsia="新宋体" w:cs="新宋体"/>
                <w:color w:val="000000"/>
                <w:szCs w:val="21"/>
              </w:rPr>
              <w:t>政府信息及时有效公开，社会公众满意率达</w:t>
            </w:r>
          </w:p>
          <w:p>
            <w:pPr>
              <w:autoSpaceDN w:val="0"/>
              <w:jc w:val="left"/>
              <w:textAlignment w:val="center"/>
              <w:rPr>
                <w:rFonts w:ascii="新宋体" w:hAnsi="新宋体" w:eastAsia="新宋体" w:cs="新宋体"/>
                <w:color w:val="000000"/>
                <w:szCs w:val="21"/>
              </w:rPr>
            </w:pPr>
            <w:r>
              <w:rPr>
                <w:rFonts w:hint="eastAsia" w:ascii="新宋体" w:hAnsi="新宋体" w:eastAsia="新宋体" w:cs="新宋体"/>
                <w:color w:val="000000"/>
                <w:szCs w:val="21"/>
              </w:rPr>
              <w:t>98%</w:t>
            </w:r>
          </w:p>
        </w:tc>
        <w:tc>
          <w:tcPr>
            <w:tcW w:w="495" w:type="pct"/>
            <w:tcBorders>
              <w:top w:val="nil"/>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4</w:t>
            </w:r>
          </w:p>
        </w:tc>
        <w:tc>
          <w:tcPr>
            <w:tcW w:w="518" w:type="pct"/>
            <w:tcBorders>
              <w:top w:val="nil"/>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4</w:t>
            </w:r>
          </w:p>
        </w:tc>
        <w:tc>
          <w:tcPr>
            <w:tcW w:w="547" w:type="pct"/>
            <w:tcBorders>
              <w:top w:val="nil"/>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w:t>
            </w:r>
          </w:p>
        </w:tc>
      </w:tr>
      <w:tr>
        <w:tblPrEx>
          <w:tblCellMar>
            <w:top w:w="0" w:type="dxa"/>
            <w:left w:w="108" w:type="dxa"/>
            <w:bottom w:w="0" w:type="dxa"/>
            <w:right w:w="108" w:type="dxa"/>
          </w:tblCellMar>
        </w:tblPrEx>
        <w:trPr>
          <w:trHeight w:val="462" w:hRule="atLeast"/>
          <w:jc w:val="center"/>
        </w:trPr>
        <w:tc>
          <w:tcPr>
            <w:tcW w:w="267" w:type="pct"/>
            <w:vMerge w:val="continue"/>
            <w:tcBorders>
              <w:left w:val="single" w:color="auto" w:sz="4" w:space="0"/>
              <w:right w:val="single" w:color="auto" w:sz="4" w:space="0"/>
            </w:tcBorders>
            <w:noWrap/>
            <w:vAlign w:val="center"/>
          </w:tcPr>
          <w:p>
            <w:pPr>
              <w:spacing w:line="0" w:lineRule="atLeast"/>
              <w:jc w:val="center"/>
              <w:rPr>
                <w:rFonts w:ascii="新宋体" w:hAnsi="新宋体" w:eastAsia="新宋体" w:cs="新宋体"/>
                <w:color w:val="000000"/>
                <w:szCs w:val="21"/>
              </w:rPr>
            </w:pPr>
          </w:p>
        </w:tc>
        <w:tc>
          <w:tcPr>
            <w:tcW w:w="196" w:type="pct"/>
            <w:vMerge w:val="continue"/>
            <w:tcBorders>
              <w:left w:val="nil"/>
              <w:right w:val="single" w:color="auto" w:sz="4" w:space="0"/>
            </w:tcBorders>
            <w:noWrap/>
            <w:vAlign w:val="center"/>
          </w:tcPr>
          <w:p>
            <w:pPr>
              <w:spacing w:line="0" w:lineRule="atLeast"/>
              <w:jc w:val="left"/>
              <w:rPr>
                <w:rFonts w:ascii="新宋体" w:hAnsi="新宋体" w:eastAsia="新宋体" w:cs="新宋体"/>
                <w:color w:val="000000"/>
                <w:szCs w:val="21"/>
              </w:rPr>
            </w:pPr>
          </w:p>
        </w:tc>
        <w:tc>
          <w:tcPr>
            <w:tcW w:w="285" w:type="pct"/>
            <w:vMerge w:val="continue"/>
            <w:tcBorders>
              <w:left w:val="nil"/>
              <w:right w:val="single" w:color="auto" w:sz="4" w:space="0"/>
            </w:tcBorders>
            <w:noWrap/>
            <w:vAlign w:val="center"/>
          </w:tcPr>
          <w:p>
            <w:pPr>
              <w:spacing w:line="0" w:lineRule="atLeast"/>
              <w:jc w:val="left"/>
              <w:rPr>
                <w:rFonts w:ascii="新宋体" w:hAnsi="新宋体" w:eastAsia="新宋体" w:cs="新宋体"/>
                <w:color w:val="000000"/>
                <w:szCs w:val="21"/>
              </w:rPr>
            </w:pPr>
          </w:p>
        </w:tc>
        <w:tc>
          <w:tcPr>
            <w:tcW w:w="1057" w:type="pct"/>
            <w:tcBorders>
              <w:top w:val="nil"/>
              <w:left w:val="nil"/>
              <w:bottom w:val="single" w:color="auto" w:sz="4" w:space="0"/>
              <w:right w:val="single" w:color="auto" w:sz="4" w:space="0"/>
            </w:tcBorders>
            <w:noWrap/>
            <w:vAlign w:val="center"/>
          </w:tcPr>
          <w:p>
            <w:pPr>
              <w:widowControl/>
              <w:spacing w:line="0" w:lineRule="atLeast"/>
              <w:rPr>
                <w:rFonts w:ascii="新宋体" w:hAnsi="新宋体" w:eastAsia="新宋体" w:cs="新宋体"/>
                <w:color w:val="000000"/>
                <w:szCs w:val="21"/>
              </w:rPr>
            </w:pPr>
            <w:r>
              <w:rPr>
                <w:rFonts w:hint="eastAsia" w:ascii="新宋体" w:hAnsi="新宋体" w:eastAsia="新宋体" w:cs="新宋体"/>
                <w:color w:val="000000"/>
                <w:szCs w:val="21"/>
              </w:rPr>
              <w:t>向社会公众提供法律法规及相关政策的咨询意见。</w:t>
            </w:r>
          </w:p>
        </w:tc>
        <w:tc>
          <w:tcPr>
            <w:tcW w:w="1057" w:type="pct"/>
            <w:tcBorders>
              <w:top w:val="nil"/>
              <w:left w:val="nil"/>
              <w:bottom w:val="single" w:color="auto" w:sz="4" w:space="0"/>
              <w:right w:val="single" w:color="auto" w:sz="4" w:space="0"/>
            </w:tcBorders>
            <w:noWrap/>
            <w:vAlign w:val="center"/>
          </w:tcPr>
          <w:p>
            <w:pPr>
              <w:widowControl/>
              <w:spacing w:line="0" w:lineRule="atLeast"/>
              <w:rPr>
                <w:rFonts w:ascii="新宋体" w:hAnsi="新宋体" w:eastAsia="新宋体" w:cs="新宋体"/>
                <w:color w:val="000000"/>
                <w:szCs w:val="21"/>
              </w:rPr>
            </w:pPr>
            <w:r>
              <w:rPr>
                <w:rFonts w:hint="eastAsia" w:ascii="新宋体" w:hAnsi="新宋体" w:eastAsia="新宋体" w:cs="新宋体"/>
                <w:color w:val="000000"/>
                <w:szCs w:val="21"/>
              </w:rPr>
              <w:t>服务对象满意度≥96%。</w:t>
            </w:r>
            <w:r>
              <w:rPr>
                <w:rFonts w:ascii="新宋体" w:hAnsi="新宋体" w:eastAsia="新宋体" w:cs="新宋体"/>
                <w:color w:val="000000"/>
                <w:szCs w:val="21"/>
              </w:rPr>
              <w:t>　</w:t>
            </w:r>
          </w:p>
        </w:tc>
        <w:tc>
          <w:tcPr>
            <w:tcW w:w="578" w:type="pct"/>
            <w:tcBorders>
              <w:top w:val="nil"/>
              <w:left w:val="nil"/>
              <w:bottom w:val="single" w:color="auto" w:sz="4" w:space="0"/>
              <w:right w:val="single" w:color="auto" w:sz="4" w:space="0"/>
            </w:tcBorders>
            <w:noWrap/>
            <w:vAlign w:val="center"/>
          </w:tcPr>
          <w:p>
            <w:pPr>
              <w:autoSpaceDN w:val="0"/>
              <w:jc w:val="center"/>
              <w:textAlignment w:val="center"/>
              <w:rPr>
                <w:rFonts w:ascii="新宋体" w:hAnsi="新宋体" w:eastAsia="新宋体" w:cs="新宋体"/>
                <w:color w:val="000000"/>
                <w:szCs w:val="21"/>
              </w:rPr>
            </w:pPr>
            <w:r>
              <w:rPr>
                <w:rFonts w:hint="eastAsia" w:ascii="新宋体" w:hAnsi="新宋体" w:eastAsia="新宋体" w:cs="新宋体"/>
                <w:color w:val="000000"/>
                <w:szCs w:val="21"/>
              </w:rPr>
              <w:t>社会公众满意率达</w:t>
            </w:r>
          </w:p>
          <w:p>
            <w:pPr>
              <w:widowControl/>
              <w:jc w:val="left"/>
              <w:rPr>
                <w:rFonts w:ascii="新宋体" w:hAnsi="新宋体" w:eastAsia="新宋体" w:cs="新宋体"/>
                <w:color w:val="000000"/>
                <w:szCs w:val="21"/>
              </w:rPr>
            </w:pPr>
            <w:r>
              <w:rPr>
                <w:rFonts w:hint="eastAsia" w:ascii="新宋体" w:hAnsi="新宋体" w:eastAsia="新宋体" w:cs="新宋体"/>
                <w:color w:val="000000"/>
                <w:szCs w:val="21"/>
              </w:rPr>
              <w:t>98%</w:t>
            </w:r>
          </w:p>
        </w:tc>
        <w:tc>
          <w:tcPr>
            <w:tcW w:w="495" w:type="pct"/>
            <w:tcBorders>
              <w:top w:val="nil"/>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3</w:t>
            </w:r>
          </w:p>
        </w:tc>
        <w:tc>
          <w:tcPr>
            <w:tcW w:w="518" w:type="pct"/>
            <w:tcBorders>
              <w:top w:val="nil"/>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3</w:t>
            </w:r>
          </w:p>
        </w:tc>
        <w:tc>
          <w:tcPr>
            <w:tcW w:w="547" w:type="pct"/>
            <w:tcBorders>
              <w:top w:val="nil"/>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w:t>
            </w:r>
          </w:p>
        </w:tc>
      </w:tr>
      <w:tr>
        <w:tblPrEx>
          <w:tblCellMar>
            <w:top w:w="0" w:type="dxa"/>
            <w:left w:w="108" w:type="dxa"/>
            <w:bottom w:w="0" w:type="dxa"/>
            <w:right w:w="108" w:type="dxa"/>
          </w:tblCellMar>
        </w:tblPrEx>
        <w:trPr>
          <w:trHeight w:val="800" w:hRule="atLeast"/>
          <w:jc w:val="center"/>
        </w:trPr>
        <w:tc>
          <w:tcPr>
            <w:tcW w:w="267" w:type="pct"/>
            <w:vMerge w:val="continue"/>
            <w:tcBorders>
              <w:left w:val="single" w:color="auto" w:sz="4" w:space="0"/>
              <w:bottom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p>
        </w:tc>
        <w:tc>
          <w:tcPr>
            <w:tcW w:w="196" w:type="pct"/>
            <w:vMerge w:val="continue"/>
            <w:tcBorders>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p>
        </w:tc>
        <w:tc>
          <w:tcPr>
            <w:tcW w:w="285" w:type="pct"/>
            <w:vMerge w:val="continue"/>
            <w:tcBorders>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p>
        </w:tc>
        <w:tc>
          <w:tcPr>
            <w:tcW w:w="1057" w:type="pct"/>
            <w:tcBorders>
              <w:top w:val="nil"/>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向全县发布地震、火灾、台风、洪灾等各类自然灾害的预警信息。</w:t>
            </w:r>
          </w:p>
        </w:tc>
        <w:tc>
          <w:tcPr>
            <w:tcW w:w="1057" w:type="pct"/>
            <w:tcBorders>
              <w:top w:val="nil"/>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服务对象满意度≥96%。</w:t>
            </w:r>
          </w:p>
        </w:tc>
        <w:tc>
          <w:tcPr>
            <w:tcW w:w="578" w:type="pct"/>
            <w:tcBorders>
              <w:top w:val="nil"/>
              <w:left w:val="nil"/>
              <w:bottom w:val="single" w:color="auto" w:sz="4" w:space="0"/>
              <w:right w:val="single" w:color="auto" w:sz="4" w:space="0"/>
            </w:tcBorders>
            <w:noWrap/>
            <w:vAlign w:val="center"/>
          </w:tcPr>
          <w:p>
            <w:pPr>
              <w:autoSpaceDN w:val="0"/>
              <w:jc w:val="center"/>
              <w:textAlignment w:val="center"/>
              <w:rPr>
                <w:rFonts w:ascii="新宋体" w:hAnsi="新宋体" w:eastAsia="新宋体" w:cs="新宋体"/>
                <w:color w:val="000000"/>
                <w:szCs w:val="21"/>
              </w:rPr>
            </w:pPr>
            <w:r>
              <w:rPr>
                <w:rFonts w:hint="eastAsia" w:ascii="新宋体" w:hAnsi="新宋体" w:eastAsia="新宋体" w:cs="新宋体"/>
                <w:color w:val="000000"/>
                <w:szCs w:val="21"/>
              </w:rPr>
              <w:t>社会公众满意率达</w:t>
            </w:r>
          </w:p>
          <w:p>
            <w:pPr>
              <w:widowControl/>
              <w:jc w:val="left"/>
              <w:rPr>
                <w:rFonts w:ascii="新宋体" w:hAnsi="新宋体" w:eastAsia="新宋体" w:cs="新宋体"/>
                <w:color w:val="000000"/>
                <w:szCs w:val="21"/>
              </w:rPr>
            </w:pPr>
            <w:r>
              <w:rPr>
                <w:rFonts w:hint="eastAsia" w:ascii="新宋体" w:hAnsi="新宋体" w:eastAsia="新宋体" w:cs="新宋体"/>
                <w:color w:val="000000"/>
                <w:szCs w:val="21"/>
              </w:rPr>
              <w:t>98%</w:t>
            </w:r>
          </w:p>
        </w:tc>
        <w:tc>
          <w:tcPr>
            <w:tcW w:w="495" w:type="pct"/>
            <w:tcBorders>
              <w:top w:val="nil"/>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3</w:t>
            </w:r>
          </w:p>
        </w:tc>
        <w:tc>
          <w:tcPr>
            <w:tcW w:w="518" w:type="pct"/>
            <w:tcBorders>
              <w:top w:val="nil"/>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3</w:t>
            </w:r>
          </w:p>
        </w:tc>
        <w:tc>
          <w:tcPr>
            <w:tcW w:w="547" w:type="pct"/>
            <w:tcBorders>
              <w:top w:val="nil"/>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w:t>
            </w:r>
          </w:p>
        </w:tc>
      </w:tr>
      <w:tr>
        <w:tblPrEx>
          <w:tblCellMar>
            <w:top w:w="0" w:type="dxa"/>
            <w:left w:w="108" w:type="dxa"/>
            <w:bottom w:w="0" w:type="dxa"/>
            <w:right w:w="108" w:type="dxa"/>
          </w:tblCellMar>
        </w:tblPrEx>
        <w:trPr>
          <w:trHeight w:val="489" w:hRule="atLeast"/>
          <w:jc w:val="center"/>
        </w:trPr>
        <w:tc>
          <w:tcPr>
            <w:tcW w:w="3440" w:type="pct"/>
            <w:gridSpan w:val="6"/>
            <w:tcBorders>
              <w:top w:val="single" w:color="auto" w:sz="4" w:space="0"/>
              <w:left w:val="single" w:color="auto" w:sz="4" w:space="0"/>
              <w:bottom w:val="single" w:color="auto" w:sz="4" w:space="0"/>
              <w:right w:val="single" w:color="000000" w:sz="4" w:space="0"/>
            </w:tcBorders>
            <w:noWrap/>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总分</w:t>
            </w:r>
          </w:p>
        </w:tc>
        <w:tc>
          <w:tcPr>
            <w:tcW w:w="495" w:type="pct"/>
            <w:tcBorders>
              <w:top w:val="nil"/>
              <w:left w:val="nil"/>
              <w:bottom w:val="single" w:color="auto" w:sz="4" w:space="0"/>
              <w:right w:val="single" w:color="auto" w:sz="4" w:space="0"/>
            </w:tcBorders>
            <w:noWrap/>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100</w:t>
            </w:r>
          </w:p>
        </w:tc>
        <w:tc>
          <w:tcPr>
            <w:tcW w:w="518" w:type="pct"/>
            <w:tcBorders>
              <w:top w:val="nil"/>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100</w:t>
            </w:r>
          </w:p>
        </w:tc>
        <w:tc>
          <w:tcPr>
            <w:tcW w:w="547" w:type="pct"/>
            <w:tcBorders>
              <w:top w:val="nil"/>
              <w:left w:val="nil"/>
              <w:bottom w:val="single" w:color="auto" w:sz="4" w:space="0"/>
              <w:right w:val="single" w:color="auto" w:sz="4" w:space="0"/>
            </w:tcBorders>
            <w:noWrap/>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w:t>
            </w:r>
          </w:p>
        </w:tc>
      </w:tr>
    </w:tbl>
    <w:p>
      <w:pPr>
        <w:rPr>
          <w:rFonts w:eastAsia="仿宋_GB2312"/>
          <w:sz w:val="22"/>
        </w:rPr>
      </w:pPr>
      <w:r>
        <w:rPr>
          <w:rFonts w:eastAsia="仿宋_GB2312"/>
          <w:sz w:val="22"/>
        </w:rPr>
        <w:t>说明：</w:t>
      </w:r>
      <w:r>
        <w:rPr>
          <w:rFonts w:hint="eastAsia" w:eastAsia="仿宋_GB2312"/>
          <w:sz w:val="22"/>
        </w:rPr>
        <w:t>以上数据参照2022年部门决算报表中的“收入支出决算总表”(财决01表)。</w:t>
      </w:r>
    </w:p>
    <w:p>
      <w:pPr>
        <w:pStyle w:val="2"/>
      </w:pPr>
    </w:p>
    <w:p>
      <w:pPr>
        <w:rPr>
          <w:rFonts w:ascii="黑体" w:hAnsi="黑体" w:eastAsia="黑体" w:cs="黑体"/>
          <w:sz w:val="32"/>
          <w:szCs w:val="32"/>
        </w:rPr>
      </w:pPr>
      <w:r>
        <w:rPr>
          <w:rFonts w:eastAsia="仿宋_GB2312"/>
          <w:sz w:val="22"/>
          <w:szCs w:val="22"/>
        </w:rPr>
        <w:t>填表人：</w:t>
      </w:r>
      <w:r>
        <w:rPr>
          <w:rFonts w:hint="eastAsia" w:eastAsia="仿宋_GB2312"/>
          <w:sz w:val="22"/>
          <w:szCs w:val="22"/>
        </w:rPr>
        <w:t>赵梦雅</w:t>
      </w:r>
      <w:r>
        <w:rPr>
          <w:rFonts w:eastAsia="仿宋_GB2312"/>
          <w:sz w:val="22"/>
          <w:szCs w:val="22"/>
        </w:rPr>
        <w:t>填报日期：</w:t>
      </w:r>
      <w:r>
        <w:rPr>
          <w:rFonts w:hint="eastAsia" w:eastAsia="仿宋_GB2312"/>
          <w:sz w:val="22"/>
          <w:szCs w:val="22"/>
        </w:rPr>
        <w:t>2023年7月14日</w:t>
      </w:r>
      <w:r>
        <w:rPr>
          <w:rFonts w:eastAsia="仿宋_GB2312"/>
          <w:sz w:val="22"/>
          <w:szCs w:val="22"/>
        </w:rPr>
        <w:t>联系电话：</w:t>
      </w:r>
      <w:r>
        <w:rPr>
          <w:rFonts w:hint="eastAsia" w:eastAsia="仿宋_GB2312"/>
          <w:sz w:val="22"/>
          <w:szCs w:val="22"/>
        </w:rPr>
        <w:t>18390158809</w:t>
      </w:r>
      <w:r>
        <w:rPr>
          <w:rFonts w:eastAsia="仿宋_GB2312"/>
          <w:sz w:val="22"/>
          <w:szCs w:val="22"/>
        </w:rPr>
        <w:t>单位负责人签字：</w:t>
      </w:r>
      <w:r>
        <w:rPr>
          <w:rFonts w:eastAsia="仿宋_GB2312"/>
          <w:sz w:val="22"/>
          <w:szCs w:val="22"/>
        </w:rPr>
        <w:br w:type="page"/>
      </w:r>
      <w:r>
        <w:rPr>
          <w:rFonts w:hint="eastAsia" w:ascii="黑体" w:hAnsi="黑体" w:eastAsia="黑体" w:cs="黑体"/>
          <w:sz w:val="32"/>
          <w:szCs w:val="32"/>
        </w:rPr>
        <w:t>附件3</w:t>
      </w:r>
    </w:p>
    <w:p>
      <w:pPr>
        <w:jc w:val="center"/>
        <w:rPr>
          <w:rFonts w:eastAsia="方正小标宋_GBK"/>
          <w:sz w:val="52"/>
          <w:szCs w:val="52"/>
        </w:rPr>
      </w:pPr>
    </w:p>
    <w:p>
      <w:pPr>
        <w:jc w:val="center"/>
        <w:rPr>
          <w:rFonts w:ascii="微软雅黑" w:hAnsi="微软雅黑" w:eastAsia="微软雅黑" w:cs="微软雅黑"/>
          <w:sz w:val="44"/>
          <w:szCs w:val="44"/>
        </w:rPr>
      </w:pPr>
      <w:r>
        <w:rPr>
          <w:rFonts w:hint="eastAsia" w:ascii="微软雅黑" w:hAnsi="微软雅黑" w:eastAsia="微软雅黑" w:cs="微软雅黑"/>
          <w:sz w:val="44"/>
          <w:szCs w:val="44"/>
        </w:rPr>
        <w:t>2022年度华容县人民政府办公室部门（单位）整体支出绩效自评报告</w:t>
      </w:r>
    </w:p>
    <w:p>
      <w:pPr>
        <w:jc w:val="center"/>
        <w:rPr>
          <w:rFonts w:eastAsia="方正小标宋_GBK"/>
          <w:b/>
          <w:sz w:val="52"/>
          <w:szCs w:val="52"/>
        </w:rPr>
      </w:pPr>
    </w:p>
    <w:p>
      <w:pPr>
        <w:jc w:val="center"/>
        <w:rPr>
          <w:rFonts w:eastAsia="楷体_GB2312"/>
          <w:b/>
          <w:sz w:val="32"/>
          <w:szCs w:val="32"/>
        </w:rPr>
      </w:pPr>
    </w:p>
    <w:p>
      <w:pPr>
        <w:jc w:val="center"/>
        <w:rPr>
          <w:rFonts w:eastAsia="楷体_GB2312"/>
          <w:b/>
          <w:sz w:val="32"/>
          <w:szCs w:val="32"/>
        </w:rPr>
      </w:pPr>
    </w:p>
    <w:p>
      <w:pPr>
        <w:jc w:val="center"/>
        <w:rPr>
          <w:rFonts w:eastAsia="楷体_GB2312"/>
          <w:b/>
          <w:sz w:val="32"/>
          <w:szCs w:val="32"/>
        </w:rPr>
      </w:pPr>
    </w:p>
    <w:p>
      <w:pPr>
        <w:jc w:val="center"/>
        <w:rPr>
          <w:rFonts w:eastAsia="楷体_GB2312"/>
          <w:b/>
          <w:sz w:val="32"/>
          <w:szCs w:val="32"/>
        </w:rPr>
      </w:pPr>
    </w:p>
    <w:p>
      <w:pPr>
        <w:jc w:val="center"/>
        <w:rPr>
          <w:rFonts w:eastAsia="楷体_GB2312"/>
          <w:b/>
          <w:sz w:val="32"/>
          <w:szCs w:val="32"/>
        </w:rPr>
      </w:pPr>
    </w:p>
    <w:p>
      <w:pPr>
        <w:jc w:val="center"/>
        <w:rPr>
          <w:rFonts w:eastAsia="楷体_GB2312"/>
          <w:b/>
          <w:sz w:val="32"/>
          <w:szCs w:val="32"/>
        </w:rPr>
      </w:pPr>
    </w:p>
    <w:p>
      <w:pPr>
        <w:jc w:val="center"/>
        <w:rPr>
          <w:rFonts w:eastAsia="黑体"/>
          <w:sz w:val="32"/>
          <w:szCs w:val="32"/>
        </w:rPr>
      </w:pPr>
    </w:p>
    <w:p>
      <w:pPr>
        <w:jc w:val="center"/>
        <w:rPr>
          <w:rFonts w:eastAsia="黑体"/>
          <w:sz w:val="32"/>
          <w:szCs w:val="32"/>
        </w:rPr>
      </w:pPr>
    </w:p>
    <w:p>
      <w:pPr>
        <w:jc w:val="center"/>
        <w:rPr>
          <w:rFonts w:eastAsia="黑体"/>
          <w:sz w:val="32"/>
          <w:szCs w:val="32"/>
        </w:rPr>
      </w:pPr>
    </w:p>
    <w:p>
      <w:pPr>
        <w:jc w:val="center"/>
        <w:rPr>
          <w:rFonts w:eastAsia="黑体"/>
          <w:sz w:val="32"/>
          <w:szCs w:val="32"/>
        </w:rPr>
      </w:pPr>
    </w:p>
    <w:p>
      <w:pPr>
        <w:jc w:val="center"/>
        <w:rPr>
          <w:rFonts w:eastAsia="黑体"/>
          <w:sz w:val="32"/>
          <w:szCs w:val="32"/>
        </w:rPr>
      </w:pPr>
    </w:p>
    <w:p>
      <w:pPr>
        <w:jc w:val="center"/>
        <w:rPr>
          <w:rFonts w:eastAsia="黑体"/>
          <w:sz w:val="32"/>
          <w:szCs w:val="32"/>
        </w:rPr>
      </w:pPr>
    </w:p>
    <w:p>
      <w:pPr>
        <w:rPr>
          <w:rFonts w:eastAsia="黑体"/>
          <w:sz w:val="32"/>
          <w:szCs w:val="32"/>
        </w:rPr>
      </w:pPr>
    </w:p>
    <w:p>
      <w:pPr>
        <w:spacing w:line="600" w:lineRule="exact"/>
        <w:jc w:val="center"/>
        <w:rPr>
          <w:rFonts w:eastAsia="仿宋_GB2312"/>
          <w:sz w:val="32"/>
          <w:szCs w:val="32"/>
          <w:u w:val="single"/>
        </w:rPr>
      </w:pPr>
      <w:r>
        <w:rPr>
          <w:rFonts w:eastAsia="仿宋_GB2312"/>
          <w:sz w:val="32"/>
          <w:szCs w:val="32"/>
        </w:rPr>
        <w:t>部门（单位）名称：</w:t>
      </w:r>
      <w:r>
        <w:rPr>
          <w:rFonts w:hint="eastAsia" w:eastAsia="仿宋_GB2312"/>
          <w:sz w:val="32"/>
          <w:szCs w:val="32"/>
          <w:u w:val="single"/>
        </w:rPr>
        <w:t>华容县人</w:t>
      </w:r>
      <w:r>
        <w:rPr>
          <w:rFonts w:hint="eastAsia" w:ascii="宋体" w:hAnsi="宋体" w:cs="宋体"/>
          <w:sz w:val="32"/>
          <w:szCs w:val="32"/>
          <w:u w:val="single"/>
        </w:rPr>
        <w:t>民</w:t>
      </w:r>
      <w:r>
        <w:rPr>
          <w:rFonts w:hint="eastAsia" w:eastAsia="仿宋_GB2312"/>
          <w:sz w:val="32"/>
          <w:szCs w:val="32"/>
          <w:u w:val="single"/>
        </w:rPr>
        <w:t>政府办公室</w:t>
      </w:r>
    </w:p>
    <w:p>
      <w:pPr>
        <w:spacing w:line="600" w:lineRule="exact"/>
        <w:jc w:val="center"/>
        <w:rPr>
          <w:rFonts w:eastAsia="楷体_GB2312"/>
          <w:sz w:val="32"/>
          <w:szCs w:val="32"/>
        </w:rPr>
      </w:pPr>
      <w:r>
        <w:rPr>
          <w:rFonts w:hint="eastAsia" w:ascii="宋体" w:hAnsi="宋体" w:cs="宋体"/>
          <w:sz w:val="32"/>
          <w:szCs w:val="32"/>
        </w:rPr>
        <w:t>2023</w:t>
      </w:r>
      <w:r>
        <w:rPr>
          <w:rFonts w:eastAsia="楷体_GB2312"/>
          <w:sz w:val="32"/>
          <w:szCs w:val="32"/>
        </w:rPr>
        <w:t>年</w:t>
      </w:r>
      <w:r>
        <w:rPr>
          <w:rFonts w:hint="eastAsia" w:eastAsia="楷体_GB2312"/>
          <w:sz w:val="32"/>
          <w:szCs w:val="32"/>
        </w:rPr>
        <w:t>7</w:t>
      </w:r>
      <w:r>
        <w:rPr>
          <w:rFonts w:eastAsia="楷体_GB2312"/>
          <w:sz w:val="32"/>
          <w:szCs w:val="32"/>
        </w:rPr>
        <w:t>月</w:t>
      </w:r>
      <w:r>
        <w:rPr>
          <w:rFonts w:hint="eastAsia" w:eastAsia="楷体_GB2312"/>
          <w:sz w:val="32"/>
          <w:szCs w:val="32"/>
        </w:rPr>
        <w:t>14</w:t>
      </w:r>
      <w:r>
        <w:rPr>
          <w:rFonts w:eastAsia="楷体_GB2312"/>
          <w:sz w:val="32"/>
          <w:szCs w:val="32"/>
        </w:rPr>
        <w:t>日</w:t>
      </w:r>
    </w:p>
    <w:p>
      <w:pPr>
        <w:jc w:val="center"/>
        <w:rPr>
          <w:rFonts w:eastAsia="仿宋_GB2312"/>
          <w:sz w:val="32"/>
          <w:szCs w:val="32"/>
        </w:rPr>
        <w:sectPr>
          <w:footerReference r:id="rId3" w:type="default"/>
          <w:pgSz w:w="11906" w:h="16838"/>
          <w:pgMar w:top="1701" w:right="1417" w:bottom="1417" w:left="1417" w:header="851" w:footer="992" w:gutter="0"/>
          <w:cols w:space="0" w:num="1"/>
          <w:docGrid w:type="lines" w:linePitch="312" w:charSpace="0"/>
        </w:sectPr>
      </w:pPr>
    </w:p>
    <w:p>
      <w:pPr>
        <w:spacing w:line="610" w:lineRule="exact"/>
        <w:jc w:val="center"/>
        <w:rPr>
          <w:rFonts w:ascii="微软雅黑" w:hAnsi="微软雅黑" w:eastAsia="微软雅黑" w:cs="微软雅黑"/>
          <w:sz w:val="44"/>
          <w:szCs w:val="44"/>
        </w:rPr>
      </w:pPr>
      <w:r>
        <w:rPr>
          <w:rFonts w:hint="eastAsia" w:ascii="微软雅黑" w:hAnsi="微软雅黑" w:eastAsia="微软雅黑" w:cs="微软雅黑"/>
          <w:sz w:val="44"/>
          <w:szCs w:val="44"/>
        </w:rPr>
        <w:t>2022年度华容县人民政府办公室部门（单位）整体支出绩效自评报告</w:t>
      </w:r>
    </w:p>
    <w:p>
      <w:pPr>
        <w:spacing w:line="610" w:lineRule="exact"/>
        <w:ind w:firstLine="640" w:firstLineChars="200"/>
        <w:rPr>
          <w:rFonts w:eastAsia="仿宋_GB2312"/>
          <w:sz w:val="32"/>
          <w:szCs w:val="32"/>
        </w:rPr>
      </w:pPr>
    </w:p>
    <w:p>
      <w:pPr>
        <w:numPr>
          <w:ilvl w:val="0"/>
          <w:numId w:val="1"/>
        </w:numPr>
        <w:spacing w:line="610" w:lineRule="exact"/>
        <w:rPr>
          <w:rFonts w:eastAsia="黑体"/>
          <w:sz w:val="32"/>
          <w:szCs w:val="32"/>
        </w:rPr>
      </w:pPr>
      <w:r>
        <w:rPr>
          <w:rFonts w:eastAsia="黑体"/>
          <w:sz w:val="32"/>
          <w:szCs w:val="32"/>
        </w:rPr>
        <w:t>部门（单位）基本情况</w:t>
      </w:r>
    </w:p>
    <w:p>
      <w:pPr>
        <w:snapToGrid w:val="0"/>
        <w:spacing w:line="520" w:lineRule="exact"/>
        <w:ind w:firstLine="640" w:firstLineChars="200"/>
        <w:rPr>
          <w:rFonts w:ascii="仿宋" w:hAnsi="仿宋" w:eastAsia="仿宋"/>
          <w:sz w:val="32"/>
          <w:szCs w:val="32"/>
        </w:rPr>
      </w:pPr>
      <w:r>
        <w:rPr>
          <w:rFonts w:hint="eastAsia" w:ascii="仿宋" w:hAnsi="仿宋" w:eastAsia="仿宋"/>
          <w:sz w:val="32"/>
          <w:szCs w:val="32"/>
        </w:rPr>
        <w:t>（一）基本情况。</w:t>
      </w:r>
    </w:p>
    <w:p>
      <w:pPr>
        <w:snapToGrid w:val="0"/>
        <w:spacing w:line="520" w:lineRule="exact"/>
        <w:ind w:firstLine="640" w:firstLineChars="200"/>
        <w:rPr>
          <w:rFonts w:ascii="仿宋" w:hAnsi="仿宋" w:eastAsia="仿宋"/>
          <w:sz w:val="32"/>
          <w:szCs w:val="32"/>
        </w:rPr>
      </w:pPr>
      <w:r>
        <w:rPr>
          <w:rFonts w:hint="eastAsia" w:ascii="仿宋" w:hAnsi="仿宋" w:eastAsia="仿宋"/>
          <w:sz w:val="32"/>
          <w:szCs w:val="32"/>
        </w:rPr>
        <w:t>1．主要职能。</w:t>
      </w:r>
    </w:p>
    <w:p>
      <w:pPr>
        <w:snapToGrid w:val="0"/>
        <w:spacing w:line="520" w:lineRule="exact"/>
        <w:ind w:firstLine="640" w:firstLineChars="200"/>
        <w:rPr>
          <w:rFonts w:ascii="仿宋" w:hAnsi="仿宋" w:eastAsia="仿宋"/>
          <w:sz w:val="32"/>
          <w:szCs w:val="32"/>
        </w:rPr>
      </w:pPr>
      <w:r>
        <w:rPr>
          <w:rFonts w:hint="eastAsia" w:ascii="仿宋" w:hAnsi="仿宋" w:eastAsia="仿宋"/>
          <w:sz w:val="32"/>
          <w:szCs w:val="32"/>
        </w:rPr>
        <w:t>华容县人民政府办公室主要职能:</w:t>
      </w:r>
    </w:p>
    <w:p>
      <w:pPr>
        <w:ind w:firstLine="640" w:firstLineChars="200"/>
        <w:jc w:val="left"/>
        <w:rPr>
          <w:rFonts w:ascii="仿宋" w:hAnsi="仿宋" w:eastAsia="仿宋"/>
          <w:sz w:val="32"/>
          <w:szCs w:val="32"/>
        </w:rPr>
      </w:pPr>
      <w:r>
        <w:rPr>
          <w:rFonts w:hint="eastAsia" w:ascii="仿宋" w:hAnsi="仿宋" w:eastAsia="仿宋"/>
          <w:sz w:val="32"/>
          <w:szCs w:val="32"/>
        </w:rPr>
        <w:t>（1）协助县政府领导同志审核或组织起草以县政府、县政府办公室名义发布的公文。</w:t>
      </w:r>
    </w:p>
    <w:p>
      <w:pPr>
        <w:ind w:firstLine="640" w:firstLineChars="200"/>
        <w:jc w:val="left"/>
        <w:rPr>
          <w:rFonts w:ascii="仿宋" w:hAnsi="仿宋" w:eastAsia="仿宋"/>
          <w:sz w:val="32"/>
          <w:szCs w:val="32"/>
        </w:rPr>
      </w:pPr>
      <w:r>
        <w:rPr>
          <w:rFonts w:hint="eastAsia" w:ascii="仿宋" w:hAnsi="仿宋" w:eastAsia="仿宋"/>
          <w:sz w:val="32"/>
          <w:szCs w:val="32"/>
        </w:rPr>
        <w:t>（2）研究县政府各部门和各乡镇人民政府请示县政府的事项，提出审核意见，报县政府领导同志审批。</w:t>
      </w:r>
    </w:p>
    <w:p>
      <w:pPr>
        <w:ind w:firstLine="640" w:firstLineChars="200"/>
        <w:jc w:val="left"/>
        <w:rPr>
          <w:rFonts w:ascii="仿宋" w:hAnsi="仿宋" w:eastAsia="仿宋"/>
          <w:sz w:val="32"/>
          <w:szCs w:val="32"/>
        </w:rPr>
      </w:pPr>
      <w:r>
        <w:rPr>
          <w:rFonts w:hint="eastAsia" w:ascii="仿宋" w:hAnsi="仿宋" w:eastAsia="仿宋"/>
          <w:sz w:val="32"/>
          <w:szCs w:val="32"/>
        </w:rPr>
        <w:t>（3）负责县政府会议的组织和服务工作，协助实施会议决定事项。</w:t>
      </w:r>
    </w:p>
    <w:p>
      <w:pPr>
        <w:ind w:firstLine="640" w:firstLineChars="200"/>
        <w:jc w:val="left"/>
        <w:rPr>
          <w:rFonts w:ascii="仿宋" w:hAnsi="仿宋" w:eastAsia="仿宋"/>
          <w:sz w:val="32"/>
          <w:szCs w:val="32"/>
        </w:rPr>
      </w:pPr>
      <w:r>
        <w:rPr>
          <w:rFonts w:hint="eastAsia" w:ascii="仿宋" w:hAnsi="仿宋" w:eastAsia="仿宋"/>
          <w:sz w:val="32"/>
          <w:szCs w:val="32"/>
        </w:rPr>
        <w:t>（4）根据县政府领导同志的指示或工作需要，对有关问题进行协调，提出处理意见，报县政府领导同志决定。</w:t>
      </w:r>
    </w:p>
    <w:p>
      <w:pPr>
        <w:ind w:firstLine="640" w:firstLineChars="200"/>
        <w:jc w:val="left"/>
        <w:rPr>
          <w:rFonts w:ascii="仿宋" w:hAnsi="仿宋" w:eastAsia="仿宋"/>
          <w:sz w:val="32"/>
          <w:szCs w:val="32"/>
        </w:rPr>
      </w:pPr>
      <w:r>
        <w:rPr>
          <w:rFonts w:hint="eastAsia" w:ascii="仿宋" w:hAnsi="仿宋" w:eastAsia="仿宋"/>
          <w:sz w:val="32"/>
          <w:szCs w:val="32"/>
        </w:rPr>
        <w:t>（5）办理中央、省政府、市政府和县政府领导同志的批示，并督促落实。督促检查县政府各部门和各乡镇人民政府对县政府公文、县政府决定事项及县政府领导同志有关指示的贯彻落实情况，及时向县政府领导同志报告。负责组织对县政府系统年度工作目标的制定、进度督查和年度绩效评估工作。</w:t>
      </w:r>
    </w:p>
    <w:p>
      <w:pPr>
        <w:ind w:firstLine="640" w:firstLineChars="200"/>
        <w:jc w:val="left"/>
        <w:rPr>
          <w:rFonts w:ascii="仿宋" w:hAnsi="仿宋" w:eastAsia="仿宋"/>
          <w:sz w:val="32"/>
          <w:szCs w:val="32"/>
        </w:rPr>
      </w:pPr>
      <w:r>
        <w:rPr>
          <w:rFonts w:hint="eastAsia" w:ascii="仿宋" w:hAnsi="仿宋" w:eastAsia="仿宋"/>
          <w:sz w:val="32"/>
          <w:szCs w:val="32"/>
        </w:rPr>
        <w:t>（6）负责县政府值班工作，及时报告重要情况，传达和督促落实县政府领导同志指示。负责政府大事记工作。</w:t>
      </w:r>
    </w:p>
    <w:p>
      <w:pPr>
        <w:ind w:firstLine="640" w:firstLineChars="200"/>
        <w:jc w:val="left"/>
        <w:rPr>
          <w:rFonts w:ascii="仿宋" w:hAnsi="仿宋" w:eastAsia="仿宋"/>
          <w:sz w:val="32"/>
          <w:szCs w:val="32"/>
        </w:rPr>
      </w:pPr>
      <w:r>
        <w:rPr>
          <w:rFonts w:hint="eastAsia" w:ascii="仿宋" w:hAnsi="仿宋" w:eastAsia="仿宋"/>
          <w:sz w:val="32"/>
          <w:szCs w:val="32"/>
        </w:rPr>
        <w:t>（7）负责推进全县各工作部门和公共服务企事业单位热线资源的整合，指导推进全县公众服务平台的建设。负责监督检查并考核相关工作部门和公共服务企事业单位社会求助服务事项办理情况，承办、落实市12345热线管理办交办的工单。</w:t>
      </w:r>
    </w:p>
    <w:p>
      <w:pPr>
        <w:ind w:firstLine="640" w:firstLineChars="200"/>
        <w:jc w:val="left"/>
        <w:rPr>
          <w:rFonts w:ascii="仿宋" w:hAnsi="仿宋" w:eastAsia="仿宋"/>
          <w:sz w:val="32"/>
          <w:szCs w:val="32"/>
        </w:rPr>
      </w:pPr>
      <w:r>
        <w:rPr>
          <w:rFonts w:hint="eastAsia" w:ascii="仿宋" w:hAnsi="仿宋" w:eastAsia="仿宋"/>
          <w:sz w:val="32"/>
          <w:szCs w:val="32"/>
        </w:rPr>
        <w:t>（8）组织办理人大代表建议和政协委员提案。</w:t>
      </w:r>
    </w:p>
    <w:p>
      <w:pPr>
        <w:ind w:firstLine="640" w:firstLineChars="200"/>
        <w:jc w:val="left"/>
        <w:rPr>
          <w:rFonts w:ascii="仿宋" w:hAnsi="仿宋" w:eastAsia="仿宋"/>
          <w:sz w:val="32"/>
          <w:szCs w:val="32"/>
        </w:rPr>
      </w:pPr>
      <w:r>
        <w:rPr>
          <w:rFonts w:hint="eastAsia" w:ascii="仿宋" w:hAnsi="仿宋" w:eastAsia="仿宋"/>
          <w:sz w:val="32"/>
          <w:szCs w:val="32"/>
        </w:rPr>
        <w:t>（9）组织起草县政府重要综合性文件和重要会议文件；负责开展重大问题的调查研究、决策咨询和县政府重大决策部署落实情况的跟踪调研；整理报送经济社会发展的重要信息、动态；负责对全县政府系统调查研究和决策咨询工作进行业务指导。</w:t>
      </w:r>
    </w:p>
    <w:p>
      <w:pPr>
        <w:ind w:firstLine="640" w:firstLineChars="200"/>
        <w:jc w:val="left"/>
        <w:rPr>
          <w:rFonts w:ascii="仿宋" w:hAnsi="仿宋" w:eastAsia="仿宋"/>
          <w:sz w:val="32"/>
          <w:szCs w:val="32"/>
        </w:rPr>
      </w:pPr>
      <w:r>
        <w:rPr>
          <w:rFonts w:hint="eastAsia" w:ascii="仿宋" w:hAnsi="仿宋" w:eastAsia="仿宋"/>
          <w:sz w:val="32"/>
          <w:szCs w:val="32"/>
        </w:rPr>
        <w:t>（10）负责实施驻县金融管理部门、各类金融机构年度工作绩效评估，引导、协调和鼓励各类金融机构支持、服务全县经济社会发展。组织和协调引进各类金融机构在县设立机构（分支机构），负责小微金融机构的有关监管工作，负责推进全县资本市场建设与发展。负责组织协调金融突发事件应急处置工作，会同有关部门查处和打击非法金融机构和非法金融业务活动，会同有关部门推进全县社会信用体系建设和金融安全区创建，推进改善金融生态环境。</w:t>
      </w:r>
    </w:p>
    <w:p>
      <w:pPr>
        <w:ind w:firstLine="640" w:firstLineChars="200"/>
        <w:jc w:val="left"/>
        <w:rPr>
          <w:rFonts w:ascii="仿宋" w:hAnsi="仿宋" w:eastAsia="仿宋"/>
          <w:sz w:val="32"/>
          <w:szCs w:val="32"/>
        </w:rPr>
      </w:pPr>
      <w:r>
        <w:rPr>
          <w:rFonts w:hint="eastAsia" w:ascii="仿宋" w:hAnsi="仿宋" w:eastAsia="仿宋"/>
          <w:sz w:val="32"/>
          <w:szCs w:val="32"/>
        </w:rPr>
        <w:t>（11）负责县政府办公室机关安全保卫、应急管理、行政事务和接待工作。</w:t>
      </w:r>
    </w:p>
    <w:p>
      <w:pPr>
        <w:ind w:firstLine="640" w:firstLineChars="200"/>
        <w:jc w:val="left"/>
        <w:rPr>
          <w:rFonts w:ascii="仿宋" w:hAnsi="仿宋" w:eastAsia="仿宋"/>
          <w:sz w:val="32"/>
          <w:szCs w:val="32"/>
        </w:rPr>
      </w:pPr>
      <w:r>
        <w:rPr>
          <w:rFonts w:hint="eastAsia" w:ascii="仿宋" w:hAnsi="仿宋" w:eastAsia="仿宋"/>
          <w:sz w:val="32"/>
          <w:szCs w:val="32"/>
        </w:rPr>
        <w:t>（12）负责全县重点建设项目的全过程指导和监督工作。</w:t>
      </w:r>
    </w:p>
    <w:p>
      <w:pPr>
        <w:ind w:firstLine="640" w:firstLineChars="200"/>
        <w:jc w:val="left"/>
        <w:rPr>
          <w:rFonts w:ascii="仿宋" w:hAnsi="仿宋" w:eastAsia="仿宋"/>
          <w:sz w:val="32"/>
          <w:szCs w:val="32"/>
        </w:rPr>
      </w:pPr>
      <w:r>
        <w:rPr>
          <w:rFonts w:hint="eastAsia" w:ascii="仿宋" w:hAnsi="仿宋" w:eastAsia="仿宋"/>
          <w:sz w:val="32"/>
          <w:szCs w:val="32"/>
        </w:rPr>
        <w:t>（13）负责全县禁毒社会化建设工作的指导、协调、督促、考核、服务。</w:t>
      </w:r>
    </w:p>
    <w:p>
      <w:pPr>
        <w:snapToGrid w:val="0"/>
        <w:spacing w:line="520" w:lineRule="exact"/>
        <w:ind w:firstLine="640" w:firstLineChars="200"/>
        <w:rPr>
          <w:rFonts w:ascii="仿宋" w:hAnsi="仿宋" w:eastAsia="仿宋"/>
          <w:sz w:val="32"/>
          <w:szCs w:val="32"/>
        </w:rPr>
      </w:pPr>
      <w:r>
        <w:rPr>
          <w:rFonts w:hint="eastAsia" w:ascii="仿宋" w:hAnsi="仿宋" w:eastAsia="仿宋"/>
          <w:sz w:val="32"/>
          <w:szCs w:val="32"/>
        </w:rPr>
        <w:t>（14）完成县委和县政府交办的其他事项。</w:t>
      </w:r>
    </w:p>
    <w:p>
      <w:pPr>
        <w:snapToGrid w:val="0"/>
        <w:spacing w:line="520" w:lineRule="exact"/>
        <w:ind w:firstLine="640" w:firstLineChars="200"/>
        <w:rPr>
          <w:rFonts w:ascii="仿宋" w:hAnsi="仿宋" w:eastAsia="仿宋"/>
          <w:sz w:val="32"/>
          <w:szCs w:val="32"/>
        </w:rPr>
      </w:pPr>
      <w:r>
        <w:rPr>
          <w:rFonts w:hint="eastAsia" w:ascii="仿宋" w:hAnsi="仿宋" w:eastAsia="仿宋"/>
          <w:sz w:val="32"/>
          <w:szCs w:val="32"/>
        </w:rPr>
        <w:t>华容县经济研究中心主要职能:</w:t>
      </w:r>
    </w:p>
    <w:p>
      <w:pPr>
        <w:snapToGrid w:val="0"/>
        <w:spacing w:line="520" w:lineRule="exact"/>
        <w:ind w:firstLine="640" w:firstLineChars="200"/>
        <w:rPr>
          <w:rFonts w:ascii="仿宋" w:hAnsi="仿宋" w:eastAsia="仿宋"/>
          <w:sz w:val="32"/>
          <w:szCs w:val="32"/>
        </w:rPr>
      </w:pPr>
      <w:r>
        <w:rPr>
          <w:rFonts w:hint="eastAsia" w:ascii="仿宋" w:hAnsi="仿宋" w:eastAsia="仿宋"/>
          <w:sz w:val="32"/>
          <w:szCs w:val="32"/>
        </w:rPr>
        <w:t>（1）负责起草《政府工作报告》和县政府主要领导同志重要讲话、报告、文章。</w:t>
      </w:r>
    </w:p>
    <w:p>
      <w:pPr>
        <w:snapToGrid w:val="0"/>
        <w:spacing w:line="520" w:lineRule="exact"/>
        <w:ind w:firstLine="640" w:firstLineChars="200"/>
        <w:rPr>
          <w:rFonts w:ascii="仿宋" w:hAnsi="仿宋" w:eastAsia="仿宋"/>
          <w:sz w:val="32"/>
          <w:szCs w:val="32"/>
        </w:rPr>
      </w:pPr>
      <w:r>
        <w:rPr>
          <w:rFonts w:hint="eastAsia" w:ascii="仿宋" w:hAnsi="仿宋" w:eastAsia="仿宋"/>
          <w:sz w:val="32"/>
          <w:szCs w:val="32"/>
        </w:rPr>
        <w:t>（2）负责起草、审核县政府向上级党委、政府的重要汇报材料；协同有关方面起草、审核县政府的有关重要综合性文件。</w:t>
      </w:r>
    </w:p>
    <w:p>
      <w:pPr>
        <w:snapToGrid w:val="0"/>
        <w:spacing w:line="520" w:lineRule="exact"/>
        <w:ind w:firstLine="640" w:firstLineChars="200"/>
        <w:rPr>
          <w:rFonts w:ascii="仿宋" w:hAnsi="仿宋" w:eastAsia="仿宋"/>
          <w:sz w:val="32"/>
          <w:szCs w:val="32"/>
        </w:rPr>
      </w:pPr>
      <w:r>
        <w:rPr>
          <w:rFonts w:hint="eastAsia" w:ascii="仿宋" w:hAnsi="仿宋" w:eastAsia="仿宋"/>
          <w:sz w:val="32"/>
          <w:szCs w:val="32"/>
        </w:rPr>
        <w:t>（3）对涉及全县经济建设、社会发展和改革开放等全局性工作的重大课题组织调查研究，及时综合归纳，提出供县政府决策的参考方案和政策性建议。</w:t>
      </w:r>
    </w:p>
    <w:p>
      <w:pPr>
        <w:snapToGrid w:val="0"/>
        <w:spacing w:line="520" w:lineRule="exact"/>
        <w:ind w:firstLine="640" w:firstLineChars="200"/>
        <w:rPr>
          <w:rFonts w:ascii="仿宋" w:hAnsi="仿宋" w:eastAsia="仿宋"/>
          <w:sz w:val="32"/>
          <w:szCs w:val="32"/>
        </w:rPr>
      </w:pPr>
      <w:r>
        <w:rPr>
          <w:rFonts w:hint="eastAsia" w:ascii="仿宋" w:hAnsi="仿宋" w:eastAsia="仿宋"/>
          <w:sz w:val="32"/>
          <w:szCs w:val="32"/>
        </w:rPr>
        <w:t>（4）对县内外经济社会发展形势进行分析和研判，提出政策建议；对县域经济社会发展好做法、好经验及时归纳总结，积极宣传推介。</w:t>
      </w:r>
    </w:p>
    <w:p>
      <w:pPr>
        <w:snapToGrid w:val="0"/>
        <w:spacing w:line="520" w:lineRule="exact"/>
        <w:ind w:firstLine="640" w:firstLineChars="200"/>
        <w:rPr>
          <w:rFonts w:ascii="仿宋" w:hAnsi="仿宋" w:eastAsia="仿宋"/>
          <w:sz w:val="32"/>
          <w:szCs w:val="32"/>
        </w:rPr>
      </w:pPr>
      <w:r>
        <w:rPr>
          <w:rFonts w:hint="eastAsia" w:ascii="仿宋" w:hAnsi="仿宋" w:eastAsia="仿宋"/>
          <w:sz w:val="32"/>
          <w:szCs w:val="32"/>
        </w:rPr>
        <w:t>（5）收集、整理全县政务信息，及时向市政府研究室传报；收集、分析、整理和报送经济社会发展的重要信息、动态，为县政府决策提供参考建议。</w:t>
      </w:r>
    </w:p>
    <w:p>
      <w:pPr>
        <w:snapToGrid w:val="0"/>
        <w:spacing w:line="520" w:lineRule="exact"/>
        <w:ind w:firstLine="640" w:firstLineChars="200"/>
        <w:rPr>
          <w:rFonts w:ascii="仿宋" w:hAnsi="仿宋" w:eastAsia="仿宋"/>
          <w:sz w:val="32"/>
          <w:szCs w:val="32"/>
        </w:rPr>
      </w:pPr>
      <w:r>
        <w:rPr>
          <w:rFonts w:hint="eastAsia" w:ascii="仿宋" w:hAnsi="仿宋" w:eastAsia="仿宋"/>
          <w:sz w:val="32"/>
          <w:szCs w:val="32"/>
        </w:rPr>
        <w:t>（6）负责全县政府系统的情况综合、调查研究和信息工作指导。</w:t>
      </w:r>
    </w:p>
    <w:p>
      <w:pPr>
        <w:snapToGrid w:val="0"/>
        <w:spacing w:line="520" w:lineRule="exact"/>
        <w:ind w:firstLine="640" w:firstLineChars="200"/>
        <w:rPr>
          <w:rFonts w:ascii="仿宋" w:hAnsi="仿宋" w:eastAsia="仿宋"/>
          <w:sz w:val="32"/>
          <w:szCs w:val="32"/>
        </w:rPr>
      </w:pPr>
      <w:r>
        <w:rPr>
          <w:rFonts w:hint="eastAsia" w:ascii="仿宋" w:hAnsi="仿宋" w:eastAsia="仿宋"/>
          <w:sz w:val="32"/>
          <w:szCs w:val="32"/>
        </w:rPr>
        <w:t>（7）编发《政府通报》《工作通讯》《领导参阅》《信息参考》。</w:t>
      </w:r>
    </w:p>
    <w:p>
      <w:pPr>
        <w:snapToGrid w:val="0"/>
        <w:spacing w:line="520" w:lineRule="exact"/>
        <w:ind w:firstLine="640" w:firstLineChars="200"/>
        <w:rPr>
          <w:rFonts w:ascii="仿宋" w:hAnsi="仿宋" w:eastAsia="仿宋"/>
          <w:sz w:val="32"/>
          <w:szCs w:val="32"/>
        </w:rPr>
      </w:pPr>
      <w:r>
        <w:rPr>
          <w:rFonts w:hint="eastAsia" w:ascii="仿宋" w:hAnsi="仿宋" w:eastAsia="仿宋"/>
          <w:sz w:val="32"/>
          <w:szCs w:val="32"/>
        </w:rPr>
        <w:t>（8）承办县人民政府交办的其他事项。</w:t>
      </w:r>
    </w:p>
    <w:p>
      <w:pPr>
        <w:snapToGrid w:val="0"/>
        <w:spacing w:line="520" w:lineRule="exact"/>
        <w:ind w:firstLine="640" w:firstLineChars="200"/>
        <w:rPr>
          <w:rFonts w:ascii="仿宋" w:hAnsi="仿宋" w:eastAsia="仿宋"/>
          <w:sz w:val="32"/>
          <w:szCs w:val="32"/>
        </w:rPr>
      </w:pPr>
      <w:r>
        <w:rPr>
          <w:rFonts w:hint="eastAsia" w:ascii="仿宋" w:hAnsi="仿宋" w:eastAsia="仿宋"/>
          <w:sz w:val="32"/>
          <w:szCs w:val="32"/>
        </w:rPr>
        <w:t>2．机构情况。</w:t>
      </w:r>
    </w:p>
    <w:p>
      <w:pPr>
        <w:snapToGrid w:val="0"/>
        <w:spacing w:line="520" w:lineRule="exact"/>
        <w:ind w:firstLine="640" w:firstLineChars="200"/>
        <w:rPr>
          <w:rFonts w:ascii="仿宋" w:hAnsi="仿宋" w:eastAsia="仿宋"/>
          <w:sz w:val="32"/>
          <w:szCs w:val="32"/>
        </w:rPr>
      </w:pPr>
      <w:r>
        <w:rPr>
          <w:rFonts w:hint="eastAsia" w:ascii="仿宋" w:hAnsi="仿宋" w:eastAsia="仿宋"/>
          <w:sz w:val="32"/>
          <w:szCs w:val="32"/>
        </w:rPr>
        <w:t>华容县人民政府办公室含2个二级单位，华容县人民政府办公室和华容县经济研究中心。</w:t>
      </w:r>
    </w:p>
    <w:p>
      <w:pPr>
        <w:snapToGrid w:val="0"/>
        <w:spacing w:line="520" w:lineRule="exact"/>
        <w:ind w:firstLine="640" w:firstLineChars="200"/>
        <w:rPr>
          <w:rFonts w:ascii="仿宋" w:hAnsi="仿宋" w:eastAsia="仿宋"/>
          <w:sz w:val="32"/>
          <w:szCs w:val="32"/>
        </w:rPr>
      </w:pPr>
      <w:r>
        <w:rPr>
          <w:rFonts w:hint="eastAsia" w:ascii="仿宋" w:hAnsi="仿宋" w:eastAsia="仿宋"/>
          <w:sz w:val="32"/>
          <w:szCs w:val="32"/>
        </w:rPr>
        <w:t>3．人员情况。</w:t>
      </w:r>
    </w:p>
    <w:p>
      <w:pPr>
        <w:snapToGrid w:val="0"/>
        <w:spacing w:line="520" w:lineRule="exact"/>
        <w:ind w:firstLine="640" w:firstLineChars="200"/>
        <w:rPr>
          <w:rFonts w:ascii="仿宋" w:hAnsi="仿宋" w:eastAsia="仿宋"/>
          <w:sz w:val="32"/>
          <w:szCs w:val="32"/>
        </w:rPr>
      </w:pPr>
      <w:r>
        <w:rPr>
          <w:rFonts w:hint="eastAsia" w:ascii="仿宋" w:hAnsi="仿宋" w:eastAsia="仿宋"/>
          <w:sz w:val="32"/>
          <w:szCs w:val="32"/>
        </w:rPr>
        <w:t>华容县人民政府办公室共有编制81名，其中：政府办77</w:t>
      </w:r>
      <w:r>
        <w:rPr>
          <w:rFonts w:ascii="仿宋" w:hAnsi="仿宋" w:eastAsia="仿宋"/>
          <w:sz w:val="32"/>
          <w:szCs w:val="32"/>
        </w:rPr>
        <w:t>名，</w:t>
      </w:r>
      <w:r>
        <w:rPr>
          <w:rFonts w:hint="eastAsia" w:ascii="仿宋" w:hAnsi="仿宋" w:eastAsia="仿宋"/>
          <w:sz w:val="32"/>
          <w:szCs w:val="32"/>
        </w:rPr>
        <w:t>经研中心4名。年末实有人员81人，其中政府办77人，经研中心4人。</w:t>
      </w:r>
    </w:p>
    <w:p>
      <w:pPr>
        <w:snapToGrid w:val="0"/>
        <w:spacing w:line="520" w:lineRule="exact"/>
        <w:ind w:firstLine="640" w:firstLineChars="200"/>
        <w:rPr>
          <w:rFonts w:ascii="仿宋" w:hAnsi="仿宋" w:eastAsia="仿宋"/>
          <w:sz w:val="32"/>
          <w:szCs w:val="32"/>
        </w:rPr>
      </w:pPr>
      <w:r>
        <w:rPr>
          <w:rFonts w:hint="eastAsia" w:ascii="仿宋" w:hAnsi="仿宋" w:eastAsia="仿宋"/>
          <w:sz w:val="32"/>
          <w:szCs w:val="32"/>
        </w:rPr>
        <w:t>（二）当年取得的主要事业成效。</w:t>
      </w:r>
    </w:p>
    <w:p>
      <w:pPr>
        <w:spacing w:line="540" w:lineRule="exact"/>
        <w:ind w:firstLine="640" w:firstLineChars="200"/>
        <w:rPr>
          <w:rFonts w:ascii="仿宋" w:hAnsi="仿宋" w:eastAsia="仿宋"/>
          <w:sz w:val="32"/>
          <w:szCs w:val="32"/>
        </w:rPr>
      </w:pPr>
      <w:r>
        <w:rPr>
          <w:rFonts w:hint="eastAsia" w:ascii="仿宋" w:hAnsi="仿宋" w:eastAsia="仿宋"/>
          <w:sz w:val="32"/>
          <w:szCs w:val="32"/>
        </w:rPr>
        <w:t>本部门工作开展情况及主要事业成效:</w:t>
      </w:r>
    </w:p>
    <w:p>
      <w:pPr>
        <w:spacing w:line="540" w:lineRule="exact"/>
        <w:ind w:firstLine="640" w:firstLineChars="200"/>
        <w:rPr>
          <w:rFonts w:ascii="仿宋" w:hAnsi="仿宋" w:eastAsia="仿宋" w:cs="仿宋_GB2312"/>
          <w:sz w:val="32"/>
          <w:szCs w:val="32"/>
        </w:rPr>
      </w:pPr>
      <w:r>
        <w:rPr>
          <w:rFonts w:hint="eastAsia" w:ascii="仿宋" w:hAnsi="仿宋" w:eastAsia="仿宋" w:cs="楷体"/>
          <w:bCs/>
          <w:sz w:val="32"/>
          <w:szCs w:val="32"/>
        </w:rPr>
        <w:t>1.参谋辅政精准有效。</w:t>
      </w:r>
      <w:r>
        <w:rPr>
          <w:rFonts w:hint="eastAsia" w:ascii="仿宋" w:hAnsi="仿宋" w:eastAsia="仿宋" w:cs="仿宋_GB2312"/>
          <w:bCs/>
          <w:sz w:val="32"/>
          <w:szCs w:val="32"/>
        </w:rPr>
        <w:t>参谋服务方面：</w:t>
      </w:r>
      <w:r>
        <w:rPr>
          <w:rFonts w:hint="eastAsia" w:ascii="仿宋" w:hAnsi="仿宋" w:eastAsia="仿宋" w:cs="仿宋_GB2312"/>
          <w:sz w:val="32"/>
          <w:szCs w:val="32"/>
        </w:rPr>
        <w:t>组织开展文稿写作大比武、业务能力大练兵、外出学习大考察，高标准完成30余篇调研报告撰写，聘请两办业务能手为全办干部就公文办理、机要保密、公务接待、会务组织进行集中培训，先后组织到临湘、云溪等地学习办公室管理先进经验，进一步提升了办公室干部“三服务”水平。</w:t>
      </w:r>
      <w:r>
        <w:rPr>
          <w:rFonts w:hint="eastAsia" w:ascii="仿宋" w:hAnsi="仿宋" w:eastAsia="仿宋" w:cs="仿宋_GB2312"/>
          <w:bCs/>
          <w:sz w:val="32"/>
          <w:szCs w:val="32"/>
        </w:rPr>
        <w:t>文稿起草方面：</w:t>
      </w:r>
      <w:r>
        <w:rPr>
          <w:rFonts w:hint="eastAsia" w:ascii="仿宋" w:hAnsi="仿宋" w:eastAsia="仿宋" w:cs="仿宋_GB2312"/>
          <w:sz w:val="32"/>
          <w:szCs w:val="32"/>
        </w:rPr>
        <w:t>高质量完成领导讲话、报告、工作汇报、典型材料等各类文稿150余篇，《华容县三位一体构建芥菜产业发展新格局，为乡村振兴注入源源动力》在省政府办公厅《政务要情与交流》特刊刊登，《攻坚项目一线 服务县域发展》在市委市政府主刊《岳阳工作》刊登。</w:t>
      </w:r>
      <w:r>
        <w:rPr>
          <w:rFonts w:hint="eastAsia" w:ascii="仿宋" w:hAnsi="仿宋" w:eastAsia="仿宋" w:cs="仿宋_GB2312"/>
          <w:bCs/>
          <w:sz w:val="32"/>
          <w:szCs w:val="32"/>
        </w:rPr>
        <w:t>依法决策方面：</w:t>
      </w:r>
      <w:r>
        <w:rPr>
          <w:rFonts w:hint="eastAsia" w:ascii="仿宋" w:hAnsi="仿宋" w:eastAsia="仿宋"/>
          <w:sz w:val="32"/>
          <w:szCs w:val="32"/>
        </w:rPr>
        <w:t>积极为政府领导提供精准法律参谋服务，</w:t>
      </w:r>
      <w:r>
        <w:rPr>
          <w:rFonts w:hint="eastAsia" w:ascii="仿宋" w:hAnsi="仿宋" w:eastAsia="仿宋" w:cs="仿宋_GB2312"/>
          <w:sz w:val="32"/>
          <w:szCs w:val="32"/>
        </w:rPr>
        <w:t>共审查政府常务会议议题和会议纪要129个，提出法制审查意见130条，大多数意见都被采纳，特别是在“东湖水环境治理”涉法事项中，全力促成了以一元的价格成功收回股权，实现了公共利益与企业利益的共赢。</w:t>
      </w:r>
    </w:p>
    <w:p>
      <w:pPr>
        <w:spacing w:line="540" w:lineRule="exact"/>
        <w:ind w:firstLine="640" w:firstLineChars="200"/>
        <w:rPr>
          <w:rFonts w:ascii="仿宋" w:hAnsi="仿宋" w:eastAsia="仿宋" w:cs="仿宋_GB2312"/>
          <w:sz w:val="32"/>
          <w:szCs w:val="32"/>
        </w:rPr>
      </w:pPr>
      <w:r>
        <w:rPr>
          <w:rFonts w:hint="eastAsia" w:ascii="仿宋" w:hAnsi="仿宋" w:eastAsia="仿宋" w:cs="楷体"/>
          <w:bCs/>
          <w:sz w:val="32"/>
          <w:szCs w:val="32"/>
        </w:rPr>
        <w:t>2.综合协调精细有序。</w:t>
      </w:r>
      <w:r>
        <w:rPr>
          <w:rFonts w:hint="eastAsia" w:ascii="仿宋" w:hAnsi="仿宋" w:eastAsia="仿宋" w:cs="仿宋_GB2312"/>
          <w:bCs/>
          <w:sz w:val="32"/>
          <w:szCs w:val="32"/>
        </w:rPr>
        <w:t>一是严格值班。</w:t>
      </w:r>
      <w:r>
        <w:rPr>
          <w:rFonts w:hint="eastAsia" w:ascii="仿宋" w:hAnsi="仿宋" w:eastAsia="仿宋"/>
          <w:sz w:val="32"/>
          <w:szCs w:val="32"/>
        </w:rPr>
        <w:t>严格落实三级带班制度，圆满完成党的二十大、省运会、两会等特护期政府领导坐班接访安排工作。全年下发各类会议通知120个，均做到了零差错。</w:t>
      </w:r>
      <w:r>
        <w:rPr>
          <w:rFonts w:hint="eastAsia" w:ascii="仿宋" w:hAnsi="仿宋" w:eastAsia="仿宋" w:cs="仿宋_GB2312"/>
          <w:bCs/>
          <w:sz w:val="32"/>
          <w:szCs w:val="32"/>
        </w:rPr>
        <w:t>二是规范办文。</w:t>
      </w:r>
      <w:r>
        <w:rPr>
          <w:rFonts w:hint="eastAsia" w:ascii="仿宋" w:hAnsi="仿宋" w:eastAsia="仿宋" w:cs="仿宋_GB2312"/>
          <w:sz w:val="32"/>
          <w:szCs w:val="32"/>
        </w:rPr>
        <w:t>今年共审印各类文稿439份，办理上级来文2170份，处理涉密文件168份，均做到了</w:t>
      </w:r>
      <w:r>
        <w:rPr>
          <w:rFonts w:hint="eastAsia" w:ascii="仿宋" w:hAnsi="仿宋" w:eastAsia="仿宋"/>
          <w:sz w:val="32"/>
          <w:szCs w:val="32"/>
        </w:rPr>
        <w:t>精益求精，没有出现任何差错。在全市13县（市区）率先推行</w:t>
      </w:r>
      <w:r>
        <w:rPr>
          <w:rFonts w:hint="eastAsia" w:ascii="仿宋" w:hAnsi="仿宋" w:eastAsia="仿宋" w:cs="仿宋_GB2312"/>
          <w:sz w:val="32"/>
          <w:szCs w:val="32"/>
        </w:rPr>
        <w:t>协同办公系统，公文处理效能大大提升。</w:t>
      </w:r>
      <w:r>
        <w:rPr>
          <w:rFonts w:hint="eastAsia" w:ascii="仿宋" w:hAnsi="仿宋" w:eastAsia="仿宋" w:cs="仿宋_GB2312"/>
          <w:bCs/>
          <w:sz w:val="32"/>
          <w:szCs w:val="32"/>
        </w:rPr>
        <w:t>三是严谨办会。</w:t>
      </w:r>
      <w:r>
        <w:rPr>
          <w:rFonts w:hint="eastAsia" w:ascii="仿宋" w:hAnsi="仿宋" w:eastAsia="仿宋" w:cs="仿宋_GB2312"/>
          <w:sz w:val="32"/>
          <w:szCs w:val="32"/>
        </w:rPr>
        <w:t>坚持以“严、细、深、实、快”的工作要求来做好各类会议活动服务，全年共承办政府性会议66次。</w:t>
      </w:r>
      <w:r>
        <w:rPr>
          <w:rFonts w:hint="eastAsia" w:ascii="仿宋" w:hAnsi="仿宋" w:eastAsia="仿宋" w:cs="仿宋_GB2312"/>
          <w:bCs/>
          <w:sz w:val="32"/>
          <w:szCs w:val="32"/>
        </w:rPr>
        <w:t>四是创新服务。</w:t>
      </w:r>
      <w:r>
        <w:rPr>
          <w:rFonts w:hint="eastAsia" w:ascii="仿宋" w:hAnsi="仿宋" w:eastAsia="仿宋" w:cs="仿宋_GB2312"/>
          <w:sz w:val="32"/>
          <w:szCs w:val="32"/>
        </w:rPr>
        <w:t>创新建立周工作动态机制，共编印周工作动态34期。</w:t>
      </w:r>
    </w:p>
    <w:p>
      <w:pPr>
        <w:spacing w:line="540" w:lineRule="exact"/>
        <w:ind w:firstLine="640" w:firstLineChars="200"/>
        <w:rPr>
          <w:rFonts w:ascii="仿宋" w:hAnsi="仿宋" w:eastAsia="仿宋" w:cs="仿宋_GB2312"/>
          <w:color w:val="FF0000"/>
          <w:sz w:val="32"/>
          <w:szCs w:val="32"/>
        </w:rPr>
      </w:pPr>
      <w:r>
        <w:rPr>
          <w:rFonts w:hint="eastAsia" w:ascii="仿宋" w:hAnsi="仿宋" w:eastAsia="仿宋" w:cs="楷体"/>
          <w:bCs/>
          <w:sz w:val="32"/>
          <w:szCs w:val="32"/>
        </w:rPr>
        <w:t xml:space="preserve"> 3.督办落实高质高效。</w:t>
      </w:r>
      <w:r>
        <w:rPr>
          <w:rFonts w:hint="eastAsia" w:ascii="仿宋" w:hAnsi="仿宋" w:eastAsia="仿宋"/>
          <w:bCs/>
          <w:sz w:val="32"/>
          <w:szCs w:val="32"/>
        </w:rPr>
        <w:t>一是数字赋能抓落实。</w:t>
      </w:r>
      <w:r>
        <w:rPr>
          <w:rFonts w:hint="eastAsia" w:ascii="仿宋" w:hAnsi="仿宋" w:eastAsia="仿宋" w:cs="仿宋_GB2312"/>
          <w:sz w:val="32"/>
          <w:szCs w:val="32"/>
        </w:rPr>
        <w:t>推进“华容智慧政府大脑平台”建设，实现政府工作目标全覆盖、过程全留痕、结果全应用，工作进度可视化、评价数据化。</w:t>
      </w:r>
      <w:r>
        <w:rPr>
          <w:rFonts w:hint="eastAsia" w:ascii="仿宋" w:hAnsi="仿宋" w:eastAsia="仿宋"/>
          <w:bCs/>
          <w:sz w:val="32"/>
          <w:szCs w:val="32"/>
        </w:rPr>
        <w:t>二是突出重点抓落实。</w:t>
      </w:r>
      <w:r>
        <w:rPr>
          <w:rFonts w:hint="eastAsia" w:ascii="仿宋" w:hAnsi="仿宋" w:eastAsia="仿宋" w:cs="仿宋_GB2312"/>
          <w:sz w:val="32"/>
          <w:szCs w:val="32"/>
        </w:rPr>
        <w:t>全年共办理领导批办交办事项64件次，下发交办函、督办函42个，印发政务通报和督查通报22期。</w:t>
      </w:r>
      <w:r>
        <w:rPr>
          <w:rFonts w:hint="eastAsia" w:ascii="仿宋" w:hAnsi="仿宋" w:eastAsia="仿宋"/>
          <w:bCs/>
          <w:sz w:val="32"/>
          <w:szCs w:val="32"/>
        </w:rPr>
        <w:t>三是紧盯难点抓落实。</w:t>
      </w:r>
      <w:r>
        <w:rPr>
          <w:rFonts w:hint="eastAsia" w:ascii="仿宋" w:hAnsi="仿宋" w:eastAsia="仿宋" w:cs="仿宋_GB2312"/>
          <w:sz w:val="32"/>
          <w:szCs w:val="32"/>
        </w:rPr>
        <w:t>紧紧围绕全县难点工作强化督查督办，开展了疫情防控、环保专项整治、自建房专项整治、违建墓地整治、抗旱减灾、交通问题顽瘴痼疾集中整治等事项的专项督查。</w:t>
      </w:r>
    </w:p>
    <w:p>
      <w:pPr>
        <w:widowControl/>
        <w:spacing w:line="570" w:lineRule="exact"/>
        <w:ind w:firstLine="640" w:firstLineChars="200"/>
        <w:rPr>
          <w:rFonts w:ascii="仿宋" w:hAnsi="仿宋" w:eastAsia="仿宋" w:cs="仿宋_GB2312"/>
          <w:color w:val="FF0000"/>
          <w:sz w:val="32"/>
          <w:szCs w:val="32"/>
        </w:rPr>
      </w:pPr>
      <w:r>
        <w:rPr>
          <w:rFonts w:hint="eastAsia" w:ascii="仿宋" w:hAnsi="仿宋" w:eastAsia="仿宋" w:cs="楷体"/>
          <w:bCs/>
          <w:sz w:val="32"/>
          <w:szCs w:val="32"/>
        </w:rPr>
        <w:t>4.服务大局有力有为。</w:t>
      </w:r>
      <w:r>
        <w:rPr>
          <w:rFonts w:hint="eastAsia" w:ascii="仿宋" w:hAnsi="仿宋" w:eastAsia="仿宋" w:cs="仿宋_GB2312"/>
          <w:bCs/>
          <w:sz w:val="32"/>
          <w:szCs w:val="32"/>
        </w:rPr>
        <w:t>一是全力攻坚克难</w:t>
      </w:r>
      <w:r>
        <w:rPr>
          <w:rFonts w:ascii="仿宋" w:hAnsi="仿宋" w:eastAsia="仿宋" w:cs="仿宋_GB2312"/>
          <w:bCs/>
          <w:sz w:val="32"/>
          <w:szCs w:val="32"/>
        </w:rPr>
        <w:t>。</w:t>
      </w:r>
      <w:r>
        <w:rPr>
          <w:rFonts w:hint="eastAsia" w:ascii="仿宋" w:hAnsi="仿宋" w:eastAsia="仿宋" w:cs="仿宋_GB2312"/>
          <w:sz w:val="32"/>
          <w:szCs w:val="32"/>
        </w:rPr>
        <w:t>高效高质</w:t>
      </w:r>
      <w:r>
        <w:rPr>
          <w:rFonts w:ascii="仿宋" w:hAnsi="仿宋" w:eastAsia="仿宋" w:cs="仿宋_GB2312"/>
          <w:sz w:val="32"/>
          <w:szCs w:val="32"/>
        </w:rPr>
        <w:t>完成</w:t>
      </w:r>
      <w:r>
        <w:rPr>
          <w:rFonts w:hint="eastAsia" w:ascii="仿宋" w:hAnsi="仿宋" w:eastAsia="仿宋" w:cs="仿宋_GB2312"/>
          <w:sz w:val="32"/>
          <w:szCs w:val="32"/>
        </w:rPr>
        <w:t>了</w:t>
      </w:r>
      <w:r>
        <w:rPr>
          <w:rFonts w:ascii="仿宋" w:hAnsi="仿宋" w:eastAsia="仿宋" w:cs="仿宋_GB2312"/>
          <w:sz w:val="32"/>
          <w:szCs w:val="32"/>
        </w:rPr>
        <w:t>芥菜标准化腌制池建设</w:t>
      </w:r>
      <w:r>
        <w:rPr>
          <w:rFonts w:hint="eastAsia" w:ascii="仿宋" w:hAnsi="仿宋" w:eastAsia="仿宋" w:cs="仿宋_GB2312"/>
          <w:sz w:val="32"/>
          <w:szCs w:val="32"/>
        </w:rPr>
        <w:t>、</w:t>
      </w:r>
      <w:r>
        <w:rPr>
          <w:rFonts w:ascii="仿宋" w:hAnsi="仿宋" w:eastAsia="仿宋" w:cs="仿宋_GB2312"/>
          <w:sz w:val="32"/>
          <w:szCs w:val="32"/>
        </w:rPr>
        <w:t>生态环境保护反馈问题销号</w:t>
      </w:r>
      <w:r>
        <w:rPr>
          <w:rFonts w:hint="eastAsia" w:ascii="仿宋" w:hAnsi="仿宋" w:eastAsia="仿宋" w:cs="仿宋_GB2312"/>
          <w:sz w:val="32"/>
          <w:szCs w:val="32"/>
        </w:rPr>
        <w:t>、</w:t>
      </w:r>
      <w:r>
        <w:rPr>
          <w:rFonts w:ascii="仿宋" w:hAnsi="仿宋" w:eastAsia="仿宋" w:cs="仿宋_GB2312"/>
          <w:sz w:val="32"/>
          <w:szCs w:val="32"/>
        </w:rPr>
        <w:t>房地产问题楼盘矛盾化解</w:t>
      </w:r>
      <w:r>
        <w:rPr>
          <w:rFonts w:hint="eastAsia" w:ascii="仿宋" w:hAnsi="仿宋" w:eastAsia="仿宋" w:cs="仿宋_GB2312"/>
          <w:sz w:val="32"/>
          <w:szCs w:val="32"/>
        </w:rPr>
        <w:t>、</w:t>
      </w:r>
      <w:r>
        <w:rPr>
          <w:rFonts w:ascii="仿宋" w:hAnsi="仿宋" w:eastAsia="仿宋" w:cs="仿宋_GB2312"/>
          <w:sz w:val="32"/>
          <w:szCs w:val="32"/>
        </w:rPr>
        <w:t>“三资”改革</w:t>
      </w:r>
      <w:r>
        <w:rPr>
          <w:rFonts w:hint="eastAsia" w:ascii="仿宋" w:hAnsi="仿宋" w:eastAsia="仿宋" w:cs="仿宋_GB2312"/>
          <w:sz w:val="32"/>
          <w:szCs w:val="32"/>
        </w:rPr>
        <w:t>等工作任务。</w:t>
      </w:r>
      <w:r>
        <w:rPr>
          <w:rFonts w:hint="eastAsia" w:ascii="仿宋" w:hAnsi="仿宋" w:eastAsia="仿宋" w:cs="仿宋_GB2312"/>
          <w:bCs/>
          <w:sz w:val="32"/>
          <w:szCs w:val="32"/>
        </w:rPr>
        <w:t>二是创优金融服务。</w:t>
      </w:r>
      <w:r>
        <w:rPr>
          <w:rFonts w:hint="eastAsia" w:ascii="仿宋" w:hAnsi="仿宋" w:eastAsia="仿宋" w:cs="仿宋_GB2312"/>
          <w:sz w:val="32"/>
          <w:szCs w:val="32"/>
        </w:rPr>
        <w:t>积极部署企业上市“金芙蓉”跃升行动，助力恒兴建材完成了上市计划的专项审计和验资程序。积极创新“党建+诚信金融”服务模式，12月21日，我县金融“活水”浇灌乡村振兴“良田”的典型经验做法获得了省政府督查激励通报表扬。</w:t>
      </w:r>
      <w:r>
        <w:rPr>
          <w:rFonts w:hint="eastAsia" w:ascii="仿宋" w:hAnsi="仿宋" w:eastAsia="仿宋" w:cs="仿宋_GB2312"/>
          <w:bCs/>
          <w:sz w:val="32"/>
          <w:szCs w:val="32"/>
        </w:rPr>
        <w:t>三是严抓禁毒工作。</w:t>
      </w:r>
      <w:r>
        <w:rPr>
          <w:rFonts w:hint="eastAsia" w:ascii="仿宋" w:hAnsi="仿宋" w:eastAsia="仿宋" w:cs="仿宋_GB2312"/>
          <w:sz w:val="32"/>
          <w:szCs w:val="32"/>
        </w:rPr>
        <w:t>预防教育以“禁毒宣传进万家”为主线，开展了五大行动，入户宣传率达到了95%以上，社戒社康人员管控率保持在100%，成功举办全市禁毒工作现场推进会，今年有望连续三年进入全市先进行列。</w:t>
      </w:r>
      <w:r>
        <w:rPr>
          <w:rFonts w:hint="eastAsia" w:ascii="仿宋" w:hAnsi="仿宋" w:eastAsia="仿宋" w:cs="仿宋_GB2312"/>
          <w:bCs/>
          <w:sz w:val="32"/>
          <w:szCs w:val="32"/>
        </w:rPr>
        <w:t>四是规范项目管理。</w:t>
      </w:r>
      <w:r>
        <w:rPr>
          <w:rFonts w:hint="eastAsia" w:ascii="仿宋" w:hAnsi="仿宋" w:eastAsia="仿宋" w:cs="仿宋_GB2312"/>
          <w:sz w:val="32"/>
          <w:szCs w:val="32"/>
        </w:rPr>
        <w:t>在全市率先出台《华容县清廉项目建设管理暂行办法》《关于进一步明确华容县清廉项目建设管理重点工作任务的通知》等文件，组织开展“十三五”项目清理，国能岳阳电厂、铁水联运等12个省市重点建设项目超额完成年度投资计划，全年共审查项目107个，按政策核减资金8300万元，切实提高了财政资金有效利用率。</w:t>
      </w:r>
      <w:r>
        <w:rPr>
          <w:rFonts w:hint="eastAsia" w:ascii="仿宋" w:hAnsi="仿宋" w:eastAsia="仿宋" w:cs="仿宋_GB2312"/>
          <w:bCs/>
          <w:sz w:val="32"/>
          <w:szCs w:val="32"/>
        </w:rPr>
        <w:t>五是优化营商环境。</w:t>
      </w:r>
      <w:r>
        <w:rPr>
          <w:rFonts w:hint="eastAsia" w:ascii="仿宋" w:hAnsi="仿宋" w:eastAsia="仿宋" w:cs="仿宋_GB2312"/>
          <w:sz w:val="32"/>
          <w:szCs w:val="32"/>
        </w:rPr>
        <w:t>精准出台《华容县优化营商环境四十条》，对3项清单、18项207个改革举措以及3次“企业家沙龙”活动和“入企访企敲门行动”中反映的53个问题严格执行“四四表单”交办督办制度，办结率和满意率达100%。创新开通的“华容营商直通车”网上平台共受理解决企业群众诉求问题53个。</w:t>
      </w:r>
      <w:r>
        <w:rPr>
          <w:rFonts w:hint="eastAsia" w:ascii="仿宋" w:hAnsi="仿宋" w:eastAsia="仿宋" w:cs="仿宋_GB2312"/>
          <w:bCs/>
          <w:sz w:val="32"/>
          <w:szCs w:val="32"/>
        </w:rPr>
        <w:t>六是做好帮扶助力。</w:t>
      </w:r>
      <w:r>
        <w:rPr>
          <w:rFonts w:hint="eastAsia" w:ascii="仿宋" w:hAnsi="仿宋" w:eastAsia="仿宋" w:cs="仿宋_GB2312"/>
          <w:sz w:val="32"/>
          <w:szCs w:val="32"/>
        </w:rPr>
        <w:t>积极帮扶驻点村桃花山村新建三栋旅游民宿树屋，进一步壮大了集体经济。积极向组织推荐干部到保靖县挂职锻炼，选派干部任职治河社区第一书记，为基层党建提供人才支持。</w:t>
      </w:r>
    </w:p>
    <w:p>
      <w:pPr>
        <w:pStyle w:val="13"/>
        <w:widowControl/>
        <w:spacing w:line="610" w:lineRule="exact"/>
        <w:ind w:firstLine="640"/>
        <w:rPr>
          <w:rFonts w:ascii="Times New Roman" w:hAnsi="Times New Roman" w:eastAsia="黑体"/>
          <w:sz w:val="32"/>
          <w:szCs w:val="32"/>
        </w:rPr>
      </w:pPr>
      <w:r>
        <w:rPr>
          <w:rFonts w:ascii="Times New Roman" w:hAnsi="Times New Roman" w:eastAsia="黑体"/>
          <w:sz w:val="32"/>
          <w:szCs w:val="32"/>
        </w:rPr>
        <w:t>二、基本支出情况</w:t>
      </w:r>
    </w:p>
    <w:p>
      <w:pPr>
        <w:snapToGrid w:val="0"/>
        <w:spacing w:line="560" w:lineRule="exact"/>
        <w:ind w:firstLine="640" w:firstLineChars="200"/>
        <w:rPr>
          <w:rFonts w:ascii="仿宋" w:hAnsi="仿宋" w:eastAsia="仿宋" w:cs="仿宋"/>
          <w:color w:val="000000"/>
          <w:sz w:val="32"/>
          <w:szCs w:val="32"/>
        </w:rPr>
      </w:pPr>
      <w:r>
        <w:rPr>
          <w:rFonts w:hint="eastAsia" w:ascii="仿宋" w:hAnsi="仿宋" w:eastAsia="仿宋" w:cs="宋体"/>
          <w:sz w:val="32"/>
          <w:szCs w:val="32"/>
        </w:rPr>
        <w:t>2022年基</w:t>
      </w:r>
      <w:r>
        <w:rPr>
          <w:rFonts w:hint="eastAsia" w:ascii="仿宋" w:hAnsi="仿宋" w:eastAsia="仿宋"/>
          <w:sz w:val="32"/>
          <w:szCs w:val="32"/>
        </w:rPr>
        <w:t>本支出</w:t>
      </w:r>
      <w:r>
        <w:rPr>
          <w:rFonts w:hint="eastAsia" w:ascii="仿宋_GB2312" w:hAnsi="仿宋" w:eastAsia="仿宋_GB2312"/>
          <w:sz w:val="32"/>
          <w:szCs w:val="32"/>
        </w:rPr>
        <w:t>1513.79</w:t>
      </w:r>
      <w:r>
        <w:rPr>
          <w:rFonts w:hint="eastAsia" w:ascii="仿宋" w:hAnsi="仿宋" w:eastAsia="仿宋"/>
          <w:sz w:val="32"/>
          <w:szCs w:val="32"/>
        </w:rPr>
        <w:t>万元，其中</w:t>
      </w:r>
      <w:r>
        <w:rPr>
          <w:rFonts w:hint="eastAsia" w:ascii="仿宋" w:hAnsi="仿宋" w:eastAsia="仿宋" w:cs="仿宋"/>
          <w:color w:val="000000"/>
          <w:sz w:val="32"/>
          <w:szCs w:val="32"/>
        </w:rPr>
        <w:t>三公经费</w:t>
      </w:r>
      <w:r>
        <w:rPr>
          <w:rFonts w:hint="eastAsia" w:ascii="仿宋_GB2312" w:hAnsi="仿宋" w:eastAsia="仿宋_GB2312" w:cs="仿宋"/>
          <w:color w:val="000000"/>
          <w:sz w:val="32"/>
          <w:szCs w:val="32"/>
        </w:rPr>
        <w:t>10.51</w:t>
      </w:r>
      <w:r>
        <w:rPr>
          <w:rFonts w:hint="eastAsia" w:ascii="仿宋" w:hAnsi="仿宋" w:eastAsia="仿宋" w:cs="仿宋"/>
          <w:color w:val="000000"/>
          <w:sz w:val="32"/>
          <w:szCs w:val="32"/>
        </w:rPr>
        <w:t>万元（全部是公务接待）。</w:t>
      </w:r>
      <w:r>
        <w:rPr>
          <w:rFonts w:hint="eastAsia" w:ascii="仿宋" w:hAnsi="仿宋" w:eastAsia="仿宋"/>
          <w:sz w:val="32"/>
          <w:szCs w:val="32"/>
        </w:rPr>
        <w:t>本年支出决算数比上年支出决算数减少</w:t>
      </w:r>
      <w:r>
        <w:rPr>
          <w:rFonts w:hint="eastAsia" w:ascii="仿宋_GB2312" w:hAnsi="仿宋" w:eastAsia="仿宋_GB2312"/>
          <w:sz w:val="32"/>
          <w:szCs w:val="32"/>
        </w:rPr>
        <w:t>22.39</w:t>
      </w:r>
      <w:r>
        <w:rPr>
          <w:rFonts w:hint="eastAsia" w:ascii="仿宋" w:hAnsi="仿宋" w:eastAsia="仿宋"/>
          <w:sz w:val="32"/>
          <w:szCs w:val="32"/>
        </w:rPr>
        <w:t>万元，减少了</w:t>
      </w:r>
      <w:r>
        <w:rPr>
          <w:rFonts w:hint="eastAsia" w:ascii="仿宋_GB2312" w:hAnsi="仿宋" w:eastAsia="仿宋_GB2312"/>
          <w:sz w:val="32"/>
          <w:szCs w:val="32"/>
        </w:rPr>
        <w:t>68.05</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cs="仿宋"/>
          <w:bCs/>
          <w:sz w:val="32"/>
          <w:szCs w:val="32"/>
        </w:rPr>
        <w:t>主要原因是认真贯彻落实中央八项规定精神和厉行节约要求，从严控制三公经费开支）</w:t>
      </w:r>
      <w:r>
        <w:rPr>
          <w:rFonts w:hint="eastAsia" w:ascii="仿宋" w:hAnsi="仿宋" w:eastAsia="仿宋"/>
          <w:sz w:val="32"/>
          <w:szCs w:val="32"/>
        </w:rPr>
        <w:t>。</w:t>
      </w:r>
      <w:r>
        <w:rPr>
          <w:rFonts w:hint="eastAsia" w:ascii="仿宋" w:hAnsi="仿宋" w:eastAsia="仿宋" w:cs="仿宋"/>
          <w:color w:val="000000"/>
          <w:sz w:val="32"/>
          <w:szCs w:val="32"/>
        </w:rPr>
        <w:t>公务接待</w:t>
      </w:r>
      <w:r>
        <w:rPr>
          <w:rFonts w:hint="eastAsia" w:ascii="仿宋_GB2312" w:hAnsi="仿宋" w:eastAsia="仿宋_GB2312" w:cs="仿宋"/>
          <w:color w:val="000000"/>
          <w:sz w:val="32"/>
          <w:szCs w:val="32"/>
        </w:rPr>
        <w:t>102</w:t>
      </w:r>
      <w:r>
        <w:rPr>
          <w:rFonts w:hint="eastAsia" w:ascii="仿宋" w:hAnsi="仿宋" w:eastAsia="仿宋" w:cs="仿宋"/>
          <w:color w:val="000000"/>
          <w:sz w:val="32"/>
          <w:szCs w:val="32"/>
        </w:rPr>
        <w:t>批次，公务接待</w:t>
      </w:r>
      <w:r>
        <w:rPr>
          <w:rFonts w:hint="eastAsia" w:ascii="仿宋_GB2312" w:hAnsi="仿宋" w:eastAsia="仿宋_GB2312" w:cs="仿宋"/>
          <w:color w:val="000000"/>
          <w:sz w:val="32"/>
          <w:szCs w:val="32"/>
        </w:rPr>
        <w:t>784</w:t>
      </w:r>
      <w:r>
        <w:rPr>
          <w:rFonts w:hint="eastAsia" w:ascii="仿宋" w:hAnsi="仿宋" w:eastAsia="仿宋" w:cs="仿宋"/>
          <w:color w:val="000000"/>
          <w:sz w:val="32"/>
          <w:szCs w:val="32"/>
        </w:rPr>
        <w:t>人。</w:t>
      </w:r>
      <w:r>
        <w:rPr>
          <w:rFonts w:hint="eastAsia" w:ascii="仿宋" w:hAnsi="仿宋" w:eastAsia="仿宋"/>
          <w:sz w:val="32"/>
          <w:szCs w:val="32"/>
        </w:rPr>
        <w:t>2022年三公经费人均支出</w:t>
      </w:r>
      <w:r>
        <w:rPr>
          <w:rFonts w:hint="eastAsia" w:ascii="仿宋_GB2312" w:hAnsi="仿宋" w:eastAsia="仿宋_GB2312"/>
          <w:sz w:val="32"/>
          <w:szCs w:val="32"/>
        </w:rPr>
        <w:t>134.07</w:t>
      </w:r>
      <w:r>
        <w:rPr>
          <w:rFonts w:hint="eastAsia" w:ascii="仿宋" w:hAnsi="仿宋" w:eastAsia="仿宋"/>
          <w:sz w:val="32"/>
          <w:szCs w:val="32"/>
        </w:rPr>
        <w:t>元。无</w:t>
      </w:r>
      <w:r>
        <w:rPr>
          <w:rFonts w:hint="eastAsia" w:ascii="仿宋" w:hAnsi="仿宋" w:eastAsia="仿宋" w:cs="仿宋"/>
          <w:color w:val="000000"/>
          <w:sz w:val="32"/>
          <w:szCs w:val="32"/>
        </w:rPr>
        <w:t>动用上年结转用于三公经费的情况。单位厉行节约，保障了机构人员工资、社保和福利的及时发放，保障了机构的正常运转。</w:t>
      </w:r>
    </w:p>
    <w:p>
      <w:pPr>
        <w:pStyle w:val="13"/>
        <w:widowControl/>
        <w:numPr>
          <w:ilvl w:val="0"/>
          <w:numId w:val="2"/>
        </w:numPr>
        <w:spacing w:line="610" w:lineRule="exact"/>
        <w:ind w:firstLineChars="0"/>
        <w:rPr>
          <w:rFonts w:ascii="Times New Roman" w:hAnsi="Times New Roman" w:eastAsia="黑体"/>
          <w:sz w:val="32"/>
          <w:szCs w:val="32"/>
        </w:rPr>
      </w:pPr>
      <w:r>
        <w:rPr>
          <w:rFonts w:ascii="Times New Roman" w:hAnsi="Times New Roman" w:eastAsia="黑体"/>
          <w:sz w:val="32"/>
          <w:szCs w:val="32"/>
        </w:rPr>
        <w:t>项目支出情况</w:t>
      </w:r>
    </w:p>
    <w:p>
      <w:pPr>
        <w:widowControl/>
        <w:spacing w:line="560" w:lineRule="exact"/>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2022年项目支出</w:t>
      </w:r>
      <w:r>
        <w:rPr>
          <w:rFonts w:hint="eastAsia" w:ascii="仿宋_GB2312" w:hAnsi="仿宋" w:eastAsia="仿宋_GB2312"/>
          <w:sz w:val="32"/>
          <w:szCs w:val="32"/>
        </w:rPr>
        <w:t>448.74</w:t>
      </w:r>
      <w:r>
        <w:rPr>
          <w:rFonts w:hint="eastAsia" w:ascii="仿宋" w:hAnsi="仿宋" w:eastAsia="仿宋" w:cs="仿宋"/>
          <w:color w:val="000000"/>
          <w:sz w:val="32"/>
          <w:szCs w:val="32"/>
        </w:rPr>
        <w:t>万元，其中禁毒项目55.00万元、金融工作支出64.00万元。项目指标下达及时，支付按进度完成，项目资金支付都是按照预算执行，实行专款专用，项目实施完成后，达到了预期经济效益及社会效益，圆满的完成了各项任务。</w:t>
      </w:r>
    </w:p>
    <w:p>
      <w:pPr>
        <w:widowControl/>
        <w:spacing w:line="610" w:lineRule="exact"/>
        <w:ind w:firstLine="640" w:firstLineChars="200"/>
        <w:rPr>
          <w:rFonts w:eastAsia="黑体"/>
          <w:sz w:val="32"/>
          <w:szCs w:val="32"/>
        </w:rPr>
      </w:pPr>
      <w:r>
        <w:rPr>
          <w:rFonts w:hint="eastAsia" w:eastAsia="黑体"/>
          <w:sz w:val="32"/>
          <w:szCs w:val="32"/>
        </w:rPr>
        <w:t>四</w:t>
      </w:r>
      <w:r>
        <w:rPr>
          <w:rFonts w:eastAsia="黑体"/>
          <w:sz w:val="32"/>
          <w:szCs w:val="32"/>
        </w:rPr>
        <w:t>、部门整体支出绩效情况</w:t>
      </w:r>
    </w:p>
    <w:p>
      <w:pPr>
        <w:widowControl/>
        <w:spacing w:line="560" w:lineRule="exact"/>
        <w:ind w:firstLine="640" w:firstLineChars="200"/>
        <w:rPr>
          <w:rFonts w:ascii="仿宋" w:hAnsi="仿宋" w:eastAsia="仿宋"/>
          <w:sz w:val="32"/>
          <w:szCs w:val="32"/>
        </w:rPr>
      </w:pPr>
      <w:r>
        <w:rPr>
          <w:rFonts w:hint="eastAsia" w:ascii="仿宋" w:hAnsi="仿宋" w:eastAsia="仿宋"/>
          <w:sz w:val="32"/>
          <w:szCs w:val="32"/>
        </w:rPr>
        <w:t>2022年，根据年初工作规划和重点工作，围绕县委、县政府的工作部署，积极履行职责，强化管理，较好地完成了年度工作目标，同时加强预算收支的管理，建立健全内部管理制度，严格内部管理流程，部门整体支出管理得到了提升。本单位2022年度实际支出</w:t>
      </w:r>
      <w:r>
        <w:rPr>
          <w:rFonts w:hint="eastAsia" w:ascii="仿宋_GB2312" w:hAnsi="仿宋" w:eastAsia="仿宋_GB2312"/>
          <w:sz w:val="32"/>
          <w:szCs w:val="32"/>
        </w:rPr>
        <w:t>1962.53</w:t>
      </w:r>
      <w:r>
        <w:rPr>
          <w:rFonts w:hint="eastAsia" w:ascii="仿宋" w:hAnsi="仿宋" w:eastAsia="仿宋"/>
          <w:sz w:val="32"/>
          <w:szCs w:val="32"/>
        </w:rPr>
        <w:t>万元，2022年度部门整体支出绩效情况如下：</w:t>
      </w:r>
    </w:p>
    <w:p>
      <w:pPr>
        <w:spacing w:line="560" w:lineRule="exact"/>
        <w:ind w:firstLine="640" w:firstLineChars="200"/>
        <w:rPr>
          <w:rFonts w:ascii="仿宋" w:hAnsi="仿宋" w:eastAsia="仿宋"/>
          <w:sz w:val="32"/>
          <w:szCs w:val="32"/>
        </w:rPr>
      </w:pPr>
      <w:r>
        <w:rPr>
          <w:rFonts w:ascii="仿宋" w:hAnsi="仿宋" w:eastAsia="仿宋"/>
          <w:sz w:val="32"/>
          <w:szCs w:val="32"/>
        </w:rPr>
        <w:t>1.本年预算配置控制较好，财政供养人员控制在预算编制以内，实际在职人员数</w:t>
      </w:r>
      <w:r>
        <w:rPr>
          <w:rFonts w:hint="eastAsia" w:ascii="仿宋" w:hAnsi="仿宋" w:eastAsia="仿宋"/>
          <w:sz w:val="32"/>
          <w:szCs w:val="32"/>
        </w:rPr>
        <w:t>在</w:t>
      </w:r>
      <w:r>
        <w:rPr>
          <w:rFonts w:ascii="仿宋" w:hAnsi="仿宋" w:eastAsia="仿宋"/>
          <w:sz w:val="32"/>
          <w:szCs w:val="32"/>
        </w:rPr>
        <w:t>编制数</w:t>
      </w:r>
      <w:r>
        <w:rPr>
          <w:rFonts w:hint="eastAsia" w:ascii="仿宋" w:hAnsi="仿宋" w:eastAsia="仿宋"/>
          <w:sz w:val="32"/>
          <w:szCs w:val="32"/>
        </w:rPr>
        <w:t>以下</w:t>
      </w:r>
      <w:r>
        <w:rPr>
          <w:rFonts w:ascii="仿宋" w:hAnsi="仿宋" w:eastAsia="仿宋"/>
          <w:sz w:val="32"/>
          <w:szCs w:val="32"/>
        </w:rPr>
        <w:t>；</w:t>
      </w:r>
      <w:r>
        <w:rPr>
          <w:rFonts w:hint="eastAsia" w:ascii="仿宋" w:hAnsi="仿宋" w:eastAsia="仿宋"/>
          <w:sz w:val="32"/>
          <w:szCs w:val="32"/>
        </w:rPr>
        <w:t>严控</w:t>
      </w:r>
      <w:r>
        <w:rPr>
          <w:rFonts w:ascii="仿宋" w:hAnsi="仿宋" w:eastAsia="仿宋"/>
          <w:sz w:val="32"/>
          <w:szCs w:val="32"/>
        </w:rPr>
        <w:t>“三公”经费支出</w:t>
      </w:r>
      <w:r>
        <w:rPr>
          <w:rFonts w:hint="eastAsia" w:ascii="仿宋" w:hAnsi="仿宋" w:eastAsia="仿宋"/>
          <w:sz w:val="32"/>
          <w:szCs w:val="32"/>
        </w:rPr>
        <w:t>，</w:t>
      </w:r>
      <w:r>
        <w:rPr>
          <w:rFonts w:ascii="仿宋" w:hAnsi="仿宋" w:eastAsia="仿宋"/>
          <w:sz w:val="32"/>
          <w:szCs w:val="32"/>
        </w:rPr>
        <w:t>总额较上年有减少。</w:t>
      </w:r>
    </w:p>
    <w:p>
      <w:pPr>
        <w:spacing w:line="560" w:lineRule="exact"/>
        <w:ind w:firstLine="640" w:firstLineChars="200"/>
        <w:rPr>
          <w:rFonts w:ascii="仿宋" w:hAnsi="仿宋" w:eastAsia="仿宋"/>
          <w:sz w:val="32"/>
          <w:szCs w:val="32"/>
        </w:rPr>
      </w:pPr>
      <w:r>
        <w:rPr>
          <w:rFonts w:ascii="仿宋" w:hAnsi="仿宋" w:eastAsia="仿宋"/>
          <w:sz w:val="32"/>
          <w:szCs w:val="32"/>
        </w:rPr>
        <w:t>2.预算管理方面，制定了切实有效的内部财务、资产内部管理制度，执行总体较为有效。</w:t>
      </w:r>
    </w:p>
    <w:p>
      <w:pPr>
        <w:widowControl/>
        <w:spacing w:line="560" w:lineRule="exact"/>
        <w:ind w:firstLine="640" w:firstLineChars="200"/>
        <w:rPr>
          <w:rFonts w:ascii="仿宋" w:hAnsi="仿宋" w:eastAsia="仿宋"/>
          <w:sz w:val="32"/>
          <w:szCs w:val="32"/>
        </w:rPr>
      </w:pPr>
      <w:r>
        <w:rPr>
          <w:rFonts w:hint="eastAsia" w:ascii="仿宋" w:hAnsi="仿宋" w:eastAsia="仿宋"/>
          <w:sz w:val="32"/>
          <w:szCs w:val="32"/>
        </w:rPr>
        <w:t>通过对2022年的</w:t>
      </w:r>
      <w:r>
        <w:rPr>
          <w:rFonts w:ascii="仿宋" w:hAnsi="仿宋" w:eastAsia="仿宋"/>
          <w:sz w:val="32"/>
          <w:szCs w:val="32"/>
        </w:rPr>
        <w:t>运行成本、管理效率、履职效能、社会效应、可持续发展能力和服务对象满意度等方面</w:t>
      </w:r>
      <w:r>
        <w:rPr>
          <w:rFonts w:hint="eastAsia" w:ascii="仿宋" w:hAnsi="仿宋" w:eastAsia="仿宋"/>
          <w:sz w:val="32"/>
          <w:szCs w:val="32"/>
        </w:rPr>
        <w:t>综合考评， 2022年，较好地完成了年度工作目标，部门整体支出绩效评价为优。</w:t>
      </w:r>
    </w:p>
    <w:p>
      <w:pPr>
        <w:pStyle w:val="13"/>
        <w:widowControl/>
        <w:spacing w:line="610" w:lineRule="exact"/>
        <w:ind w:firstLine="640"/>
        <w:rPr>
          <w:rFonts w:ascii="Times New Roman" w:hAnsi="Times New Roman" w:eastAsia="黑体"/>
          <w:sz w:val="32"/>
          <w:szCs w:val="32"/>
        </w:rPr>
      </w:pPr>
      <w:r>
        <w:rPr>
          <w:rFonts w:hint="eastAsia" w:ascii="Times New Roman" w:hAnsi="Times New Roman" w:eastAsia="黑体"/>
          <w:sz w:val="32"/>
          <w:szCs w:val="32"/>
        </w:rPr>
        <w:t>五</w:t>
      </w:r>
      <w:r>
        <w:rPr>
          <w:rFonts w:ascii="Times New Roman" w:hAnsi="Times New Roman" w:eastAsia="黑体"/>
          <w:sz w:val="32"/>
          <w:szCs w:val="32"/>
        </w:rPr>
        <w:t>、存在的问题及原因分析</w:t>
      </w:r>
    </w:p>
    <w:p>
      <w:pPr>
        <w:pStyle w:val="6"/>
        <w:shd w:val="clear" w:color="auto" w:fill="FFFFFF"/>
        <w:spacing w:before="0" w:beforeAutospacing="0" w:after="0" w:afterAutospacing="0" w:line="540" w:lineRule="exact"/>
        <w:ind w:firstLine="640" w:firstLineChars="200"/>
        <w:jc w:val="both"/>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工作机制有待进一步完善，由于在平时工作中未加强绩效监控工作的重视，绩效监控工作容易滞后，未形成对绩效目标进行监控的习惯。</w:t>
      </w:r>
    </w:p>
    <w:p>
      <w:pPr>
        <w:pStyle w:val="6"/>
        <w:shd w:val="clear" w:color="auto" w:fill="FFFFFF"/>
        <w:spacing w:before="0" w:beforeAutospacing="0" w:after="0" w:afterAutospacing="0" w:line="540" w:lineRule="exact"/>
        <w:ind w:firstLine="640" w:firstLineChars="200"/>
        <w:jc w:val="both"/>
        <w:rPr>
          <w:rFonts w:ascii="仿宋" w:hAnsi="仿宋" w:eastAsia="仿宋"/>
          <w:sz w:val="32"/>
          <w:szCs w:val="32"/>
        </w:rPr>
      </w:pPr>
      <w:r>
        <w:rPr>
          <w:rFonts w:hint="eastAsia" w:ascii="仿宋" w:hAnsi="仿宋" w:eastAsia="仿宋"/>
          <w:sz w:val="32"/>
          <w:szCs w:val="32"/>
        </w:rPr>
        <w:t>2、</w:t>
      </w:r>
      <w:r>
        <w:rPr>
          <w:rFonts w:ascii="仿宋" w:hAnsi="仿宋" w:eastAsia="仿宋"/>
          <w:sz w:val="32"/>
          <w:szCs w:val="32"/>
        </w:rPr>
        <w:t>单位各</w:t>
      </w:r>
      <w:r>
        <w:rPr>
          <w:rFonts w:hint="eastAsia" w:ascii="仿宋" w:hAnsi="仿宋" w:eastAsia="仿宋"/>
          <w:sz w:val="32"/>
          <w:szCs w:val="32"/>
        </w:rPr>
        <w:t>科室</w:t>
      </w:r>
      <w:r>
        <w:rPr>
          <w:rFonts w:ascii="仿宋" w:hAnsi="仿宋" w:eastAsia="仿宋"/>
          <w:sz w:val="32"/>
          <w:szCs w:val="32"/>
        </w:rPr>
        <w:t>衔接不及时，无法及时监控预算绩效目标实施情况。</w:t>
      </w:r>
    </w:p>
    <w:p>
      <w:pPr>
        <w:widowControl/>
        <w:spacing w:line="610" w:lineRule="exact"/>
        <w:ind w:firstLine="640" w:firstLineChars="200"/>
        <w:rPr>
          <w:rFonts w:eastAsia="黑体"/>
          <w:sz w:val="32"/>
          <w:szCs w:val="32"/>
        </w:rPr>
      </w:pPr>
      <w:r>
        <w:rPr>
          <w:rFonts w:hint="eastAsia" w:eastAsia="黑体"/>
          <w:sz w:val="32"/>
          <w:szCs w:val="32"/>
        </w:rPr>
        <w:t>六</w:t>
      </w:r>
      <w:r>
        <w:rPr>
          <w:rFonts w:eastAsia="黑体"/>
          <w:sz w:val="32"/>
          <w:szCs w:val="32"/>
        </w:rPr>
        <w:t>、下一步改进措施</w:t>
      </w:r>
    </w:p>
    <w:p>
      <w:pPr>
        <w:pStyle w:val="6"/>
        <w:shd w:val="clear" w:color="auto" w:fill="FFFFFF"/>
        <w:spacing w:before="0" w:beforeAutospacing="0" w:after="0" w:afterAutospacing="0" w:line="540" w:lineRule="exact"/>
        <w:ind w:firstLine="640" w:firstLineChars="200"/>
        <w:jc w:val="both"/>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、在平时工作中进一步加强对绩效目标监控的重视，定期对预算执行情况进行监督，做到及时监控，及时控制，避免疏忽。</w:t>
      </w:r>
    </w:p>
    <w:p>
      <w:pPr>
        <w:pStyle w:val="6"/>
        <w:shd w:val="clear" w:color="auto" w:fill="FFFFFF"/>
        <w:spacing w:before="0" w:beforeAutospacing="0" w:after="0" w:afterAutospacing="0" w:line="540" w:lineRule="exact"/>
        <w:ind w:firstLine="640" w:firstLineChars="200"/>
        <w:jc w:val="both"/>
        <w:rPr>
          <w:rFonts w:ascii="仿宋" w:hAnsi="仿宋" w:eastAsia="仿宋"/>
          <w:sz w:val="32"/>
          <w:szCs w:val="32"/>
        </w:rPr>
      </w:pPr>
      <w:r>
        <w:rPr>
          <w:rFonts w:hint="eastAsia" w:ascii="仿宋" w:hAnsi="仿宋" w:eastAsia="仿宋"/>
          <w:sz w:val="32"/>
          <w:szCs w:val="32"/>
        </w:rPr>
        <w:t>2</w:t>
      </w:r>
      <w:r>
        <w:rPr>
          <w:rFonts w:ascii="仿宋" w:hAnsi="仿宋" w:eastAsia="仿宋"/>
          <w:sz w:val="32"/>
          <w:szCs w:val="32"/>
        </w:rPr>
        <w:t>、加强各</w:t>
      </w:r>
      <w:r>
        <w:rPr>
          <w:rFonts w:hint="eastAsia" w:ascii="仿宋" w:hAnsi="仿宋" w:eastAsia="仿宋"/>
          <w:sz w:val="32"/>
          <w:szCs w:val="32"/>
        </w:rPr>
        <w:t>科室</w:t>
      </w:r>
      <w:r>
        <w:rPr>
          <w:rFonts w:ascii="仿宋" w:hAnsi="仿宋" w:eastAsia="仿宋"/>
          <w:sz w:val="32"/>
          <w:szCs w:val="32"/>
        </w:rPr>
        <w:t>衔接，使预算绩效目标实施进度得到及时反馈，便于及时汇总监控。</w:t>
      </w:r>
    </w:p>
    <w:p>
      <w:pPr>
        <w:widowControl/>
        <w:spacing w:line="610" w:lineRule="exact"/>
        <w:ind w:firstLine="640" w:firstLineChars="200"/>
        <w:rPr>
          <w:rFonts w:eastAsia="仿宋_GB2312"/>
          <w:sz w:val="32"/>
          <w:szCs w:val="32"/>
        </w:rPr>
      </w:pPr>
      <w:r>
        <w:rPr>
          <w:rFonts w:hint="eastAsia" w:eastAsia="黑体"/>
          <w:sz w:val="32"/>
          <w:szCs w:val="32"/>
        </w:rPr>
        <w:t>七</w:t>
      </w:r>
      <w:r>
        <w:rPr>
          <w:rFonts w:eastAsia="黑体"/>
          <w:sz w:val="32"/>
          <w:szCs w:val="32"/>
        </w:rPr>
        <w:t>、其他需要说明的情况</w:t>
      </w:r>
    </w:p>
    <w:p>
      <w:pPr>
        <w:widowControl/>
        <w:spacing w:line="560" w:lineRule="exact"/>
        <w:ind w:firstLine="640" w:firstLineChars="200"/>
        <w:rPr>
          <w:rFonts w:eastAsia="仿宋_GB2312"/>
          <w:sz w:val="32"/>
          <w:szCs w:val="32"/>
        </w:rPr>
      </w:pPr>
      <w:r>
        <w:rPr>
          <w:rFonts w:hint="eastAsia" w:eastAsia="仿宋_GB2312"/>
          <w:sz w:val="32"/>
          <w:szCs w:val="32"/>
        </w:rPr>
        <w:t>无。</w:t>
      </w:r>
    </w:p>
    <w:p>
      <w:pPr>
        <w:spacing w:line="560" w:lineRule="exact"/>
        <w:jc w:val="left"/>
        <w:outlineLvl w:val="0"/>
        <w:rPr>
          <w:rFonts w:ascii="仿宋_GB2312" w:eastAsia="仿宋_GB2312"/>
          <w:sz w:val="32"/>
          <w:szCs w:val="32"/>
        </w:rPr>
        <w:sectPr>
          <w:pgSz w:w="11906" w:h="16838"/>
          <w:pgMar w:top="1984" w:right="1701" w:bottom="1984" w:left="1701" w:header="851" w:footer="992" w:gutter="0"/>
          <w:cols w:space="0" w:num="1"/>
          <w:docGrid w:type="lines" w:linePitch="312" w:charSpace="0"/>
        </w:sectPr>
      </w:pPr>
    </w:p>
    <w:p>
      <w:pPr>
        <w:spacing w:line="560" w:lineRule="exact"/>
        <w:rPr>
          <w:rFonts w:ascii="黑体" w:hAnsi="黑体" w:eastAsia="黑体"/>
          <w:sz w:val="32"/>
          <w:szCs w:val="32"/>
        </w:rPr>
      </w:pPr>
      <w:r>
        <w:rPr>
          <w:rFonts w:hint="eastAsia" w:ascii="黑体" w:hAnsi="黑体" w:eastAsia="黑体"/>
          <w:sz w:val="32"/>
          <w:szCs w:val="32"/>
        </w:rPr>
        <w:t>附件4</w:t>
      </w:r>
    </w:p>
    <w:p>
      <w:pPr>
        <w:widowControl/>
        <w:spacing w:beforeLines="50" w:afterLines="100" w:line="600" w:lineRule="exact"/>
        <w:jc w:val="center"/>
        <w:rPr>
          <w:rFonts w:ascii="微软雅黑" w:hAnsi="微软雅黑" w:eastAsia="微软雅黑" w:cs="微软雅黑"/>
          <w:color w:val="000000"/>
          <w:sz w:val="44"/>
          <w:szCs w:val="44"/>
        </w:rPr>
      </w:pPr>
      <w:r>
        <w:rPr>
          <w:rFonts w:hint="eastAsia" w:ascii="微软雅黑" w:hAnsi="微软雅黑" w:eastAsia="微软雅黑" w:cs="微软雅黑"/>
          <w:color w:val="000000"/>
          <w:sz w:val="44"/>
          <w:szCs w:val="44"/>
        </w:rPr>
        <w:t>项目支出绩效评价评分表（共性）</w:t>
      </w:r>
    </w:p>
    <w:tbl>
      <w:tblPr>
        <w:tblStyle w:val="7"/>
        <w:tblW w:w="9820" w:type="dxa"/>
        <w:jc w:val="center"/>
        <w:tblLayout w:type="fixed"/>
        <w:tblCellMar>
          <w:top w:w="0" w:type="dxa"/>
          <w:left w:w="108" w:type="dxa"/>
          <w:bottom w:w="0" w:type="dxa"/>
          <w:right w:w="108" w:type="dxa"/>
        </w:tblCellMar>
      </w:tblPr>
      <w:tblGrid>
        <w:gridCol w:w="702"/>
        <w:gridCol w:w="540"/>
        <w:gridCol w:w="703"/>
        <w:gridCol w:w="540"/>
        <w:gridCol w:w="803"/>
        <w:gridCol w:w="550"/>
        <w:gridCol w:w="2407"/>
        <w:gridCol w:w="2772"/>
        <w:gridCol w:w="803"/>
      </w:tblGrid>
      <w:tr>
        <w:tblPrEx>
          <w:tblCellMar>
            <w:top w:w="0" w:type="dxa"/>
            <w:left w:w="108" w:type="dxa"/>
            <w:bottom w:w="0" w:type="dxa"/>
            <w:right w:w="108" w:type="dxa"/>
          </w:tblCellMar>
        </w:tblPrEx>
        <w:trPr>
          <w:trHeight w:val="582" w:hRule="atLeast"/>
          <w:tblHeader/>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一级</w:t>
            </w:r>
          </w:p>
          <w:p>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40" w:type="dxa"/>
            <w:tcBorders>
              <w:top w:val="single" w:color="000000" w:sz="4" w:space="0"/>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703" w:type="dxa"/>
            <w:tcBorders>
              <w:top w:val="single" w:color="000000" w:sz="4" w:space="0"/>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二级</w:t>
            </w:r>
          </w:p>
          <w:p>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40" w:type="dxa"/>
            <w:tcBorders>
              <w:top w:val="single" w:color="000000" w:sz="4" w:space="0"/>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803" w:type="dxa"/>
            <w:tcBorders>
              <w:top w:val="single" w:color="000000" w:sz="4" w:space="0"/>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三级</w:t>
            </w:r>
          </w:p>
          <w:p>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50" w:type="dxa"/>
            <w:tcBorders>
              <w:top w:val="single" w:color="000000" w:sz="4" w:space="0"/>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2407" w:type="dxa"/>
            <w:tcBorders>
              <w:top w:val="single" w:color="000000" w:sz="4" w:space="0"/>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具体指标</w:t>
            </w:r>
          </w:p>
        </w:tc>
        <w:tc>
          <w:tcPr>
            <w:tcW w:w="2772" w:type="dxa"/>
            <w:tcBorders>
              <w:top w:val="single" w:color="000000" w:sz="4" w:space="0"/>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评价标准</w:t>
            </w:r>
          </w:p>
        </w:tc>
        <w:tc>
          <w:tcPr>
            <w:tcW w:w="803" w:type="dxa"/>
            <w:tcBorders>
              <w:top w:val="single" w:color="auto" w:sz="4" w:space="0"/>
              <w:left w:val="single" w:color="auto" w:sz="4" w:space="0"/>
              <w:bottom w:val="single" w:color="auto" w:sz="4" w:space="0"/>
              <w:right w:val="single" w:color="auto" w:sz="4" w:space="0"/>
            </w:tcBorders>
            <w:shd w:val="clear" w:color="auto" w:fill="FFFFFF"/>
            <w:noWrap/>
            <w:vAlign w:val="center"/>
          </w:tcPr>
          <w:p>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自评</w:t>
            </w:r>
          </w:p>
          <w:p>
            <w:pPr>
              <w:widowControl/>
              <w:spacing w:line="240" w:lineRule="exact"/>
              <w:jc w:val="center"/>
              <w:rPr>
                <w:rFonts w:ascii="仿宋_GB2312" w:hAnsi="宋体" w:eastAsia="仿宋_GB2312" w:cs="宋体"/>
                <w:b/>
                <w:bCs/>
                <w:kern w:val="0"/>
                <w:sz w:val="24"/>
              </w:rPr>
            </w:pPr>
            <w:r>
              <w:rPr>
                <w:rFonts w:hint="eastAsia" w:ascii="仿宋_GB2312" w:hAnsi="宋体" w:eastAsia="仿宋_GB2312" w:cs="宋体"/>
                <w:b/>
                <w:bCs/>
                <w:kern w:val="0"/>
                <w:sz w:val="18"/>
                <w:szCs w:val="18"/>
              </w:rPr>
              <w:t>得分</w:t>
            </w:r>
          </w:p>
        </w:tc>
      </w:tr>
      <w:tr>
        <w:tblPrEx>
          <w:tblCellMar>
            <w:top w:w="0" w:type="dxa"/>
            <w:left w:w="108" w:type="dxa"/>
            <w:bottom w:w="0" w:type="dxa"/>
            <w:right w:w="108" w:type="dxa"/>
          </w:tblCellMar>
        </w:tblPrEx>
        <w:trPr>
          <w:trHeight w:val="967" w:hRule="atLeast"/>
          <w:jc w:val="center"/>
        </w:trPr>
        <w:tc>
          <w:tcPr>
            <w:tcW w:w="702" w:type="dxa"/>
            <w:vMerge w:val="restart"/>
            <w:tcBorders>
              <w:top w:val="nil"/>
              <w:left w:val="single" w:color="000000" w:sz="4" w:space="0"/>
              <w:bottom w:val="single" w:color="000000" w:sz="4" w:space="0"/>
              <w:right w:val="single" w:color="000000" w:sz="4" w:space="0"/>
            </w:tcBorders>
            <w:noWrap/>
            <w:textDirection w:val="tbLrV"/>
            <w:vAlign w:val="center"/>
          </w:tcPr>
          <w:p>
            <w:pPr>
              <w:widowControl/>
              <w:spacing w:line="240" w:lineRule="exact"/>
              <w:ind w:left="113" w:right="113"/>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项目决策</w:t>
            </w:r>
          </w:p>
        </w:tc>
        <w:tc>
          <w:tcPr>
            <w:tcW w:w="540" w:type="dxa"/>
            <w:vMerge w:val="restart"/>
            <w:tcBorders>
              <w:top w:val="nil"/>
              <w:left w:val="single" w:color="000000" w:sz="4" w:space="0"/>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20</w:t>
            </w:r>
          </w:p>
        </w:tc>
        <w:tc>
          <w:tcPr>
            <w:tcW w:w="703" w:type="dxa"/>
            <w:tcBorders>
              <w:top w:val="nil"/>
              <w:left w:val="nil"/>
              <w:bottom w:val="single" w:color="000000" w:sz="4" w:space="0"/>
              <w:right w:val="single" w:color="000000" w:sz="4" w:space="0"/>
            </w:tcBorders>
            <w:noWrap/>
            <w:textDirection w:val="tbRlV"/>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项目目标</w:t>
            </w:r>
          </w:p>
        </w:tc>
        <w:tc>
          <w:tcPr>
            <w:tcW w:w="540"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803"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目标</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内容</w:t>
            </w:r>
          </w:p>
        </w:tc>
        <w:tc>
          <w:tcPr>
            <w:tcW w:w="550"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设立了项目绩效目标；目标明确；目标细化；目标量化</w:t>
            </w:r>
          </w:p>
        </w:tc>
        <w:tc>
          <w:tcPr>
            <w:tcW w:w="2772" w:type="dxa"/>
            <w:tcBorders>
              <w:top w:val="nil"/>
              <w:left w:val="nil"/>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①设有目标（1分）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②目标明确（1分）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③目标细化（1分）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④目标量化（1分）</w:t>
            </w:r>
          </w:p>
        </w:tc>
        <w:tc>
          <w:tcPr>
            <w:tcW w:w="803" w:type="dxa"/>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4</w:t>
            </w:r>
          </w:p>
        </w:tc>
      </w:tr>
      <w:tr>
        <w:tblPrEx>
          <w:tblCellMar>
            <w:top w:w="0" w:type="dxa"/>
            <w:left w:w="108" w:type="dxa"/>
            <w:bottom w:w="0" w:type="dxa"/>
            <w:right w:w="108" w:type="dxa"/>
          </w:tblCellMar>
        </w:tblPrEx>
        <w:trPr>
          <w:trHeight w:val="1277" w:hRule="atLeast"/>
          <w:jc w:val="center"/>
        </w:trPr>
        <w:tc>
          <w:tcPr>
            <w:tcW w:w="702" w:type="dxa"/>
            <w:vMerge w:val="continue"/>
            <w:tcBorders>
              <w:top w:val="nil"/>
              <w:left w:val="single" w:color="000000" w:sz="4" w:space="0"/>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textDirection w:val="tbRlV"/>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决策过程</w:t>
            </w:r>
          </w:p>
        </w:tc>
        <w:tc>
          <w:tcPr>
            <w:tcW w:w="540" w:type="dxa"/>
            <w:vMerge w:val="restart"/>
            <w:tcBorders>
              <w:top w:val="nil"/>
              <w:left w:val="single" w:color="000000" w:sz="4" w:space="0"/>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803"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决策</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依据</w:t>
            </w:r>
          </w:p>
        </w:tc>
        <w:tc>
          <w:tcPr>
            <w:tcW w:w="550"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有关法律法规的明确规定；某一经济社会发展规划；某部门年度工作计划；某一实际问题和需求</w:t>
            </w:r>
          </w:p>
        </w:tc>
        <w:tc>
          <w:tcPr>
            <w:tcW w:w="2772" w:type="dxa"/>
            <w:tcBorders>
              <w:top w:val="nil"/>
              <w:left w:val="nil"/>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①符合法律法规（1分）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②符合经济社会发展规划（1分）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③部门年度工作计划（1分）</w:t>
            </w:r>
          </w:p>
          <w:p>
            <w:pPr>
              <w:widowControl/>
              <w:spacing w:line="240" w:lineRule="exact"/>
              <w:jc w:val="left"/>
              <w:rPr>
                <w:rFonts w:ascii="仿宋_GB2312" w:hAnsi="宋体" w:eastAsia="仿宋_GB2312" w:cs="宋体"/>
                <w:spacing w:val="-6"/>
                <w:kern w:val="0"/>
                <w:sz w:val="18"/>
                <w:szCs w:val="18"/>
              </w:rPr>
            </w:pPr>
            <w:r>
              <w:rPr>
                <w:rFonts w:hint="eastAsia" w:ascii="仿宋_GB2312" w:hAnsi="宋体" w:eastAsia="仿宋_GB2312" w:cs="宋体"/>
                <w:spacing w:val="-6"/>
                <w:kern w:val="0"/>
                <w:sz w:val="18"/>
                <w:szCs w:val="18"/>
              </w:rPr>
              <w:t>④针对某一实际问题和需求（1分）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以上③需提供佐证资料。</w:t>
            </w:r>
          </w:p>
        </w:tc>
        <w:tc>
          <w:tcPr>
            <w:tcW w:w="803" w:type="dxa"/>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4</w:t>
            </w:r>
          </w:p>
        </w:tc>
      </w:tr>
      <w:tr>
        <w:tblPrEx>
          <w:tblCellMar>
            <w:top w:w="0" w:type="dxa"/>
            <w:left w:w="108" w:type="dxa"/>
            <w:bottom w:w="0" w:type="dxa"/>
            <w:right w:w="108" w:type="dxa"/>
          </w:tblCellMar>
        </w:tblPrEx>
        <w:trPr>
          <w:trHeight w:val="983" w:hRule="atLeast"/>
          <w:jc w:val="center"/>
        </w:trPr>
        <w:tc>
          <w:tcPr>
            <w:tcW w:w="702" w:type="dxa"/>
            <w:vMerge w:val="continue"/>
            <w:tcBorders>
              <w:top w:val="nil"/>
              <w:left w:val="single" w:color="000000" w:sz="4" w:space="0"/>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决策</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程序</w:t>
            </w:r>
          </w:p>
        </w:tc>
        <w:tc>
          <w:tcPr>
            <w:tcW w:w="550"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项目符合申报条件；申报、批复程序符合相关管理办法；项目调整履行了相应手续</w:t>
            </w:r>
          </w:p>
        </w:tc>
        <w:tc>
          <w:tcPr>
            <w:tcW w:w="2772" w:type="dxa"/>
            <w:tcBorders>
              <w:top w:val="nil"/>
              <w:left w:val="nil"/>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①符合申报条件（2分）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②项目申报、批复程序符合管理办法（1分）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spacing w:val="-6"/>
                <w:kern w:val="0"/>
                <w:sz w:val="18"/>
                <w:szCs w:val="18"/>
              </w:rPr>
              <w:t>③项目调整履行了相应手续（1分）</w:t>
            </w:r>
          </w:p>
        </w:tc>
        <w:tc>
          <w:tcPr>
            <w:tcW w:w="803" w:type="dxa"/>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4</w:t>
            </w:r>
          </w:p>
        </w:tc>
      </w:tr>
      <w:tr>
        <w:tblPrEx>
          <w:tblCellMar>
            <w:top w:w="0" w:type="dxa"/>
            <w:left w:w="108" w:type="dxa"/>
            <w:bottom w:w="0" w:type="dxa"/>
            <w:right w:w="108" w:type="dxa"/>
          </w:tblCellMar>
        </w:tblPrEx>
        <w:trPr>
          <w:trHeight w:val="967" w:hRule="atLeast"/>
          <w:jc w:val="center"/>
        </w:trPr>
        <w:tc>
          <w:tcPr>
            <w:tcW w:w="702" w:type="dxa"/>
            <w:vMerge w:val="continue"/>
            <w:tcBorders>
              <w:top w:val="nil"/>
              <w:left w:val="single" w:color="000000" w:sz="4" w:space="0"/>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textDirection w:val="tbRlV"/>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资金分配</w:t>
            </w:r>
          </w:p>
        </w:tc>
        <w:tc>
          <w:tcPr>
            <w:tcW w:w="540" w:type="dxa"/>
            <w:vMerge w:val="restart"/>
            <w:tcBorders>
              <w:top w:val="nil"/>
              <w:left w:val="single" w:color="000000" w:sz="4" w:space="0"/>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803"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分配</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办法</w:t>
            </w:r>
          </w:p>
        </w:tc>
        <w:tc>
          <w:tcPr>
            <w:tcW w:w="550"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根据需要制定的相关资金管理办法；管理办法中有明确资金分配办法；资金分配因素全面、合理</w:t>
            </w:r>
          </w:p>
        </w:tc>
        <w:tc>
          <w:tcPr>
            <w:tcW w:w="2772" w:type="dxa"/>
            <w:tcBorders>
              <w:top w:val="nil"/>
              <w:left w:val="nil"/>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①有相应的资金管理办法（1分）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②办法健全、规范（1分）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③因素全面合理（1分）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3</w:t>
            </w:r>
          </w:p>
        </w:tc>
      </w:tr>
      <w:tr>
        <w:tblPrEx>
          <w:tblCellMar>
            <w:top w:w="0" w:type="dxa"/>
            <w:left w:w="108" w:type="dxa"/>
            <w:bottom w:w="0" w:type="dxa"/>
            <w:right w:w="108" w:type="dxa"/>
          </w:tblCellMar>
        </w:tblPrEx>
        <w:trPr>
          <w:trHeight w:val="758" w:hRule="atLeast"/>
          <w:jc w:val="center"/>
        </w:trPr>
        <w:tc>
          <w:tcPr>
            <w:tcW w:w="702" w:type="dxa"/>
            <w:vMerge w:val="continue"/>
            <w:tcBorders>
              <w:top w:val="nil"/>
              <w:left w:val="single" w:color="000000" w:sz="4" w:space="0"/>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分配</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结果</w:t>
            </w:r>
          </w:p>
        </w:tc>
        <w:tc>
          <w:tcPr>
            <w:tcW w:w="550"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nil"/>
              <w:left w:val="nil"/>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资金分配符合相关管理办法；分配结果公平合理</w:t>
            </w:r>
          </w:p>
        </w:tc>
        <w:tc>
          <w:tcPr>
            <w:tcW w:w="2772" w:type="dxa"/>
            <w:tcBorders>
              <w:top w:val="nil"/>
              <w:left w:val="nil"/>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①符合分配办法（2分）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②分配公平合理（3分）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spacing w:val="-6"/>
                <w:kern w:val="0"/>
                <w:sz w:val="18"/>
                <w:szCs w:val="18"/>
              </w:rPr>
              <w:t>此项需提供相应的资金分配方案。</w:t>
            </w:r>
          </w:p>
        </w:tc>
        <w:tc>
          <w:tcPr>
            <w:tcW w:w="803" w:type="dxa"/>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3</w:t>
            </w:r>
          </w:p>
        </w:tc>
      </w:tr>
      <w:tr>
        <w:tblPrEx>
          <w:tblCellMar>
            <w:top w:w="0" w:type="dxa"/>
            <w:left w:w="108" w:type="dxa"/>
            <w:bottom w:w="0" w:type="dxa"/>
            <w:right w:w="108" w:type="dxa"/>
          </w:tblCellMar>
        </w:tblPrEx>
        <w:trPr>
          <w:trHeight w:val="438" w:hRule="atLeast"/>
          <w:jc w:val="center"/>
        </w:trPr>
        <w:tc>
          <w:tcPr>
            <w:tcW w:w="702" w:type="dxa"/>
            <w:vMerge w:val="restart"/>
            <w:tcBorders>
              <w:top w:val="nil"/>
              <w:left w:val="single" w:color="000000" w:sz="4" w:space="0"/>
              <w:right w:val="single" w:color="000000" w:sz="4" w:space="0"/>
            </w:tcBorders>
            <w:noWrap/>
            <w:textDirection w:val="tbLrV"/>
            <w:vAlign w:val="center"/>
          </w:tcPr>
          <w:p>
            <w:pPr>
              <w:widowControl/>
              <w:spacing w:line="240" w:lineRule="exact"/>
              <w:ind w:left="113" w:right="113" w:firstLine="2520" w:firstLineChars="1400"/>
              <w:rPr>
                <w:rFonts w:ascii="仿宋_GB2312" w:hAnsi="宋体" w:eastAsia="仿宋_GB2312" w:cs="宋体"/>
                <w:kern w:val="0"/>
                <w:sz w:val="18"/>
                <w:szCs w:val="18"/>
              </w:rPr>
            </w:pPr>
            <w:r>
              <w:rPr>
                <w:rFonts w:hint="eastAsia" w:ascii="仿宋_GB2312" w:hAnsi="宋体" w:eastAsia="仿宋_GB2312" w:cs="宋体"/>
                <w:kern w:val="0"/>
                <w:sz w:val="18"/>
                <w:szCs w:val="18"/>
              </w:rPr>
              <w:t>项目管理</w:t>
            </w:r>
          </w:p>
        </w:tc>
        <w:tc>
          <w:tcPr>
            <w:tcW w:w="540" w:type="dxa"/>
            <w:vMerge w:val="restart"/>
            <w:tcBorders>
              <w:top w:val="nil"/>
              <w:left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25</w:t>
            </w:r>
          </w:p>
          <w:p/>
        </w:tc>
        <w:tc>
          <w:tcPr>
            <w:tcW w:w="703" w:type="dxa"/>
            <w:vMerge w:val="restart"/>
            <w:tcBorders>
              <w:top w:val="nil"/>
              <w:left w:val="single" w:color="000000" w:sz="4" w:space="0"/>
              <w:bottom w:val="single" w:color="000000" w:sz="4" w:space="0"/>
              <w:right w:val="single" w:color="000000" w:sz="4" w:space="0"/>
            </w:tcBorders>
            <w:noWrap/>
            <w:textDirection w:val="tbRlV"/>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资金到位</w:t>
            </w:r>
          </w:p>
        </w:tc>
        <w:tc>
          <w:tcPr>
            <w:tcW w:w="540" w:type="dxa"/>
            <w:vMerge w:val="restart"/>
            <w:tcBorders>
              <w:top w:val="nil"/>
              <w:left w:val="single" w:color="000000" w:sz="4" w:space="0"/>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803"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到位率</w:t>
            </w:r>
          </w:p>
        </w:tc>
        <w:tc>
          <w:tcPr>
            <w:tcW w:w="550"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实际到位/计划到位*100%</w:t>
            </w:r>
          </w:p>
        </w:tc>
        <w:tc>
          <w:tcPr>
            <w:tcW w:w="2772" w:type="dxa"/>
            <w:tcBorders>
              <w:top w:val="nil"/>
              <w:left w:val="nil"/>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根据项目资金的实际到位率计算得分（3分）</w:t>
            </w:r>
          </w:p>
        </w:tc>
        <w:tc>
          <w:tcPr>
            <w:tcW w:w="803" w:type="dxa"/>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3</w:t>
            </w:r>
          </w:p>
        </w:tc>
      </w:tr>
      <w:tr>
        <w:tblPrEx>
          <w:tblCellMar>
            <w:top w:w="0" w:type="dxa"/>
            <w:left w:w="108" w:type="dxa"/>
            <w:bottom w:w="0" w:type="dxa"/>
            <w:right w:w="108" w:type="dxa"/>
          </w:tblCellMar>
        </w:tblPrEx>
        <w:trPr>
          <w:trHeight w:val="744" w:hRule="atLeast"/>
          <w:jc w:val="center"/>
        </w:trPr>
        <w:tc>
          <w:tcPr>
            <w:tcW w:w="702" w:type="dxa"/>
            <w:vMerge w:val="continue"/>
            <w:tcBorders>
              <w:left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到位</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时效</w:t>
            </w:r>
          </w:p>
        </w:tc>
        <w:tc>
          <w:tcPr>
            <w:tcW w:w="550"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2</w:t>
            </w:r>
          </w:p>
        </w:tc>
        <w:tc>
          <w:tcPr>
            <w:tcW w:w="2407" w:type="dxa"/>
            <w:tcBorders>
              <w:top w:val="nil"/>
              <w:left w:val="nil"/>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资金及时到位；若未及时到位，是否影响项目进度</w:t>
            </w:r>
          </w:p>
        </w:tc>
        <w:tc>
          <w:tcPr>
            <w:tcW w:w="2772" w:type="dxa"/>
            <w:tcBorders>
              <w:top w:val="nil"/>
              <w:left w:val="nil"/>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①到位及时（2分）</w:t>
            </w:r>
          </w:p>
          <w:p>
            <w:pPr>
              <w:widowControl/>
              <w:spacing w:line="240" w:lineRule="exact"/>
              <w:jc w:val="left"/>
              <w:rPr>
                <w:rFonts w:ascii="仿宋_GB2312" w:hAnsi="宋体" w:eastAsia="仿宋_GB2312" w:cs="宋体"/>
                <w:spacing w:val="-10"/>
                <w:kern w:val="0"/>
                <w:sz w:val="18"/>
                <w:szCs w:val="18"/>
              </w:rPr>
            </w:pPr>
            <w:r>
              <w:rPr>
                <w:rFonts w:hint="eastAsia" w:ascii="仿宋_GB2312" w:hAnsi="宋体" w:eastAsia="仿宋_GB2312" w:cs="宋体"/>
                <w:spacing w:val="-10"/>
                <w:kern w:val="0"/>
                <w:sz w:val="18"/>
                <w:szCs w:val="18"/>
              </w:rPr>
              <w:t>②不及时但未影响项目进度 （1分）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spacing w:val="-6"/>
                <w:kern w:val="0"/>
                <w:sz w:val="18"/>
                <w:szCs w:val="18"/>
              </w:rPr>
              <w:t>③不及时并影响项目进度（0.5分）</w:t>
            </w:r>
          </w:p>
        </w:tc>
        <w:tc>
          <w:tcPr>
            <w:tcW w:w="803" w:type="dxa"/>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2</w:t>
            </w:r>
          </w:p>
        </w:tc>
      </w:tr>
      <w:tr>
        <w:tblPrEx>
          <w:tblCellMar>
            <w:top w:w="0" w:type="dxa"/>
            <w:left w:w="108" w:type="dxa"/>
            <w:bottom w:w="0" w:type="dxa"/>
            <w:right w:w="108" w:type="dxa"/>
          </w:tblCellMar>
        </w:tblPrEx>
        <w:trPr>
          <w:trHeight w:val="1168" w:hRule="atLeast"/>
          <w:jc w:val="center"/>
        </w:trPr>
        <w:tc>
          <w:tcPr>
            <w:tcW w:w="702" w:type="dxa"/>
            <w:vMerge w:val="continue"/>
            <w:tcBorders>
              <w:left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textDirection w:val="tbRlV"/>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资金管理</w:t>
            </w:r>
          </w:p>
        </w:tc>
        <w:tc>
          <w:tcPr>
            <w:tcW w:w="540" w:type="dxa"/>
            <w:vMerge w:val="restart"/>
            <w:tcBorders>
              <w:top w:val="nil"/>
              <w:left w:val="single" w:color="000000" w:sz="4" w:space="0"/>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10</w:t>
            </w:r>
          </w:p>
        </w:tc>
        <w:tc>
          <w:tcPr>
            <w:tcW w:w="803"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资金</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使用</w:t>
            </w:r>
          </w:p>
        </w:tc>
        <w:tc>
          <w:tcPr>
            <w:tcW w:w="550"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7</w:t>
            </w:r>
          </w:p>
        </w:tc>
        <w:tc>
          <w:tcPr>
            <w:tcW w:w="2407" w:type="dxa"/>
            <w:tcBorders>
              <w:top w:val="nil"/>
              <w:left w:val="nil"/>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支出依据合规，无虚列项目支出情况；无截留挤占挪用情况；无超标准开支情况；无超预算情况</w:t>
            </w:r>
          </w:p>
        </w:tc>
        <w:tc>
          <w:tcPr>
            <w:tcW w:w="2772" w:type="dxa"/>
            <w:tcBorders>
              <w:top w:val="nil"/>
              <w:left w:val="nil"/>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 xml:space="preserve">①虚列套取扣4-7分 </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②依据不合规扣2分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③截留、挤占、挪用扣3-6分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④超标准开支扣2-5分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⑤超预算扣2-5分</w:t>
            </w:r>
          </w:p>
        </w:tc>
        <w:tc>
          <w:tcPr>
            <w:tcW w:w="803" w:type="dxa"/>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7</w:t>
            </w:r>
          </w:p>
        </w:tc>
      </w:tr>
      <w:tr>
        <w:tblPrEx>
          <w:tblCellMar>
            <w:top w:w="0" w:type="dxa"/>
            <w:left w:w="108" w:type="dxa"/>
            <w:bottom w:w="0" w:type="dxa"/>
            <w:right w:w="108" w:type="dxa"/>
          </w:tblCellMar>
        </w:tblPrEx>
        <w:trPr>
          <w:trHeight w:val="871" w:hRule="atLeast"/>
          <w:jc w:val="center"/>
        </w:trPr>
        <w:tc>
          <w:tcPr>
            <w:tcW w:w="702" w:type="dxa"/>
            <w:vMerge w:val="continue"/>
            <w:tcBorders>
              <w:left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财务</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管理</w:t>
            </w:r>
          </w:p>
        </w:tc>
        <w:tc>
          <w:tcPr>
            <w:tcW w:w="550"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资金管理、费用支出等制度健全；制度执行严格；会计核算规范</w:t>
            </w:r>
          </w:p>
        </w:tc>
        <w:tc>
          <w:tcPr>
            <w:tcW w:w="2772" w:type="dxa"/>
            <w:tcBorders>
              <w:top w:val="nil"/>
              <w:left w:val="nil"/>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①财务制度健全（1分）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②严格执行制度（1分）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③会计核算规范（1分）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3</w:t>
            </w:r>
          </w:p>
        </w:tc>
      </w:tr>
      <w:tr>
        <w:tblPrEx>
          <w:tblCellMar>
            <w:top w:w="0" w:type="dxa"/>
            <w:left w:w="108" w:type="dxa"/>
            <w:bottom w:w="0" w:type="dxa"/>
            <w:right w:w="108" w:type="dxa"/>
          </w:tblCellMar>
        </w:tblPrEx>
        <w:trPr>
          <w:trHeight w:val="532" w:hRule="atLeast"/>
          <w:jc w:val="center"/>
        </w:trPr>
        <w:tc>
          <w:tcPr>
            <w:tcW w:w="702" w:type="dxa"/>
            <w:vMerge w:val="continue"/>
            <w:tcBorders>
              <w:left w:val="single" w:color="000000" w:sz="4" w:space="0"/>
              <w:right w:val="single" w:color="000000" w:sz="4" w:space="0"/>
            </w:tcBorders>
            <w:shd w:val="clear" w:color="auto" w:fill="auto"/>
            <w:noWrap/>
            <w:textDirection w:val="tbRlV"/>
            <w:vAlign w:val="center"/>
          </w:tcPr>
          <w:p>
            <w:pPr>
              <w:widowControl/>
              <w:spacing w:line="240" w:lineRule="exact"/>
              <w:jc w:val="center"/>
              <w:rPr>
                <w:rFonts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noWrap/>
            <w:vAlign w:val="center"/>
          </w:tcPr>
          <w:p/>
        </w:tc>
        <w:tc>
          <w:tcPr>
            <w:tcW w:w="703" w:type="dxa"/>
            <w:vMerge w:val="restart"/>
            <w:tcBorders>
              <w:top w:val="nil"/>
              <w:left w:val="single" w:color="000000" w:sz="4" w:space="0"/>
              <w:bottom w:val="single" w:color="000000" w:sz="4" w:space="0"/>
              <w:right w:val="single" w:color="000000" w:sz="4" w:space="0"/>
            </w:tcBorders>
            <w:shd w:val="clear" w:color="auto" w:fill="auto"/>
            <w:noWrap/>
            <w:textDirection w:val="tbRlV"/>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组织实施</w:t>
            </w:r>
          </w:p>
        </w:tc>
        <w:tc>
          <w:tcPr>
            <w:tcW w:w="540" w:type="dxa"/>
            <w:vMerge w:val="restar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10</w:t>
            </w:r>
          </w:p>
        </w:tc>
        <w:tc>
          <w:tcPr>
            <w:tcW w:w="803"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组织</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机构</w:t>
            </w:r>
          </w:p>
        </w:tc>
        <w:tc>
          <w:tcPr>
            <w:tcW w:w="550"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1</w:t>
            </w:r>
          </w:p>
        </w:tc>
        <w:tc>
          <w:tcPr>
            <w:tcW w:w="2407"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机构健全、分工明确</w:t>
            </w:r>
          </w:p>
        </w:tc>
        <w:tc>
          <w:tcPr>
            <w:tcW w:w="2772" w:type="dxa"/>
            <w:tcBorders>
              <w:top w:val="nil"/>
              <w:left w:val="nil"/>
              <w:bottom w:val="single" w:color="000000" w:sz="4" w:space="0"/>
              <w:right w:val="single" w:color="000000" w:sz="4" w:space="0"/>
            </w:tcBorders>
            <w:shd w:val="clear" w:color="auto" w:fill="auto"/>
            <w:noWrap/>
            <w:vAlign w:val="center"/>
          </w:tcPr>
          <w:p>
            <w:pPr>
              <w:widowControl/>
              <w:numPr>
                <w:ilvl w:val="0"/>
                <w:numId w:val="3"/>
              </w:numPr>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构健全、分工明确  （1分）</w:t>
            </w:r>
          </w:p>
        </w:tc>
        <w:tc>
          <w:tcPr>
            <w:tcW w:w="803" w:type="dxa"/>
            <w:tcBorders>
              <w:top w:val="nil"/>
              <w:left w:val="single" w:color="auto" w:sz="4" w:space="0"/>
              <w:bottom w:val="single" w:color="auto" w:sz="4" w:space="0"/>
              <w:right w:val="single" w:color="auto" w:sz="4" w:space="0"/>
            </w:tcBorders>
            <w:shd w:val="clear" w:color="auto" w:fill="FFFFFF"/>
            <w:noWrap/>
            <w:vAlign w:val="center"/>
          </w:tcPr>
          <w:p>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1</w:t>
            </w:r>
          </w:p>
        </w:tc>
      </w:tr>
      <w:tr>
        <w:tblPrEx>
          <w:tblCellMar>
            <w:top w:w="0" w:type="dxa"/>
            <w:left w:w="108" w:type="dxa"/>
            <w:bottom w:w="0" w:type="dxa"/>
            <w:right w:w="108" w:type="dxa"/>
          </w:tblCellMar>
        </w:tblPrEx>
        <w:trPr>
          <w:trHeight w:val="730" w:hRule="atLeast"/>
          <w:jc w:val="center"/>
        </w:trPr>
        <w:tc>
          <w:tcPr>
            <w:tcW w:w="702" w:type="dxa"/>
            <w:vMerge w:val="continue"/>
            <w:tcBorders>
              <w:left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支撑</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条件</w:t>
            </w:r>
          </w:p>
        </w:tc>
        <w:tc>
          <w:tcPr>
            <w:tcW w:w="550"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1</w:t>
            </w:r>
          </w:p>
        </w:tc>
        <w:tc>
          <w:tcPr>
            <w:tcW w:w="2407"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项目实施单位是否提供或具备了必备的人员、场地和设备等条件</w:t>
            </w:r>
          </w:p>
        </w:tc>
        <w:tc>
          <w:tcPr>
            <w:tcW w:w="2772"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具备人员、场地、设备条件（1分）</w:t>
            </w:r>
          </w:p>
        </w:tc>
        <w:tc>
          <w:tcPr>
            <w:tcW w:w="803" w:type="dxa"/>
            <w:tcBorders>
              <w:top w:val="nil"/>
              <w:left w:val="single" w:color="auto" w:sz="4" w:space="0"/>
              <w:bottom w:val="single" w:color="auto" w:sz="4" w:space="0"/>
              <w:right w:val="single" w:color="auto" w:sz="4" w:space="0"/>
            </w:tcBorders>
            <w:shd w:val="clear" w:color="auto" w:fill="FFFFFF"/>
            <w:noWrap/>
            <w:vAlign w:val="center"/>
          </w:tcPr>
          <w:p>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1</w:t>
            </w:r>
          </w:p>
        </w:tc>
      </w:tr>
      <w:tr>
        <w:tblPrEx>
          <w:tblCellMar>
            <w:top w:w="0" w:type="dxa"/>
            <w:left w:w="108" w:type="dxa"/>
            <w:bottom w:w="0" w:type="dxa"/>
            <w:right w:w="108" w:type="dxa"/>
          </w:tblCellMar>
        </w:tblPrEx>
        <w:trPr>
          <w:trHeight w:val="730" w:hRule="atLeast"/>
          <w:jc w:val="center"/>
        </w:trPr>
        <w:tc>
          <w:tcPr>
            <w:tcW w:w="702" w:type="dxa"/>
            <w:vMerge w:val="continue"/>
            <w:tcBorders>
              <w:left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项目</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实施</w:t>
            </w:r>
          </w:p>
        </w:tc>
        <w:tc>
          <w:tcPr>
            <w:tcW w:w="550"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项目按计划开工；按计划进度开展；按计划完工</w:t>
            </w:r>
          </w:p>
        </w:tc>
        <w:tc>
          <w:tcPr>
            <w:tcW w:w="2772"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①按计划开工（1分）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②按计划开展（1分）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③按计划完工（1分）</w:t>
            </w:r>
          </w:p>
        </w:tc>
        <w:tc>
          <w:tcPr>
            <w:tcW w:w="803" w:type="dxa"/>
            <w:tcBorders>
              <w:top w:val="nil"/>
              <w:left w:val="single" w:color="auto" w:sz="4" w:space="0"/>
              <w:bottom w:val="single" w:color="auto" w:sz="4" w:space="0"/>
              <w:right w:val="single" w:color="auto" w:sz="4" w:space="0"/>
            </w:tcBorders>
            <w:shd w:val="clear" w:color="auto" w:fill="FFFFFF"/>
            <w:noWrap/>
            <w:vAlign w:val="center"/>
          </w:tcPr>
          <w:p>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3</w:t>
            </w:r>
          </w:p>
        </w:tc>
      </w:tr>
      <w:tr>
        <w:tblPrEx>
          <w:tblCellMar>
            <w:top w:w="0" w:type="dxa"/>
            <w:left w:w="108" w:type="dxa"/>
            <w:bottom w:w="0" w:type="dxa"/>
            <w:right w:w="108" w:type="dxa"/>
          </w:tblCellMar>
        </w:tblPrEx>
        <w:trPr>
          <w:trHeight w:val="745" w:hRule="atLeast"/>
          <w:jc w:val="center"/>
        </w:trPr>
        <w:tc>
          <w:tcPr>
            <w:tcW w:w="702" w:type="dxa"/>
            <w:vMerge w:val="continue"/>
            <w:tcBorders>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管理</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制度</w:t>
            </w:r>
          </w:p>
        </w:tc>
        <w:tc>
          <w:tcPr>
            <w:tcW w:w="550"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项目管理制度健全；严格执行相关管理制度</w:t>
            </w:r>
          </w:p>
        </w:tc>
        <w:tc>
          <w:tcPr>
            <w:tcW w:w="2772"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①管理制度健全（2分）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②制度执行严格（3分）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shd w:val="clear" w:color="auto" w:fill="FFFFFF"/>
            <w:noWrap/>
            <w:vAlign w:val="center"/>
          </w:tcPr>
          <w:p>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5</w:t>
            </w:r>
          </w:p>
        </w:tc>
      </w:tr>
      <w:tr>
        <w:tblPrEx>
          <w:tblCellMar>
            <w:top w:w="0" w:type="dxa"/>
            <w:left w:w="108" w:type="dxa"/>
            <w:bottom w:w="0" w:type="dxa"/>
            <w:right w:w="108" w:type="dxa"/>
          </w:tblCellMar>
        </w:tblPrEx>
        <w:trPr>
          <w:trHeight w:val="874" w:hRule="atLeast"/>
          <w:jc w:val="center"/>
        </w:trPr>
        <w:tc>
          <w:tcPr>
            <w:tcW w:w="702" w:type="dxa"/>
            <w:vMerge w:val="restart"/>
            <w:tcBorders>
              <w:top w:val="single" w:color="auto" w:sz="4" w:space="0"/>
              <w:left w:val="single" w:color="000000" w:sz="4" w:space="0"/>
              <w:bottom w:val="single" w:color="000000" w:sz="4" w:space="0"/>
              <w:right w:val="single" w:color="000000" w:sz="4" w:space="0"/>
            </w:tcBorders>
            <w:shd w:val="clear" w:color="auto" w:fill="auto"/>
            <w:noWrap/>
            <w:textDirection w:val="tbRlV"/>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项目绩效</w:t>
            </w:r>
          </w:p>
        </w:tc>
        <w:tc>
          <w:tcPr>
            <w:tcW w:w="540" w:type="dxa"/>
            <w:vMerge w:val="restart"/>
            <w:tcBorders>
              <w:top w:val="single" w:color="auto" w:sz="4" w:space="0"/>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55</w:t>
            </w:r>
          </w:p>
        </w:tc>
        <w:tc>
          <w:tcPr>
            <w:tcW w:w="703" w:type="dxa"/>
            <w:vMerge w:val="restart"/>
            <w:tcBorders>
              <w:top w:val="single" w:color="auto" w:sz="4" w:space="0"/>
              <w:left w:val="single" w:color="000000" w:sz="4" w:space="0"/>
              <w:bottom w:val="single" w:color="000000" w:sz="4" w:space="0"/>
              <w:right w:val="single" w:color="000000" w:sz="4" w:space="0"/>
            </w:tcBorders>
            <w:shd w:val="clear" w:color="auto" w:fill="auto"/>
            <w:noWrap/>
            <w:textDirection w:val="tbRlV"/>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项目产出</w:t>
            </w:r>
          </w:p>
        </w:tc>
        <w:tc>
          <w:tcPr>
            <w:tcW w:w="540" w:type="dxa"/>
            <w:vMerge w:val="restart"/>
            <w:tcBorders>
              <w:top w:val="single" w:color="auto" w:sz="4" w:space="0"/>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15</w:t>
            </w:r>
          </w:p>
        </w:tc>
        <w:tc>
          <w:tcPr>
            <w:tcW w:w="803" w:type="dxa"/>
            <w:tcBorders>
              <w:top w:val="single" w:color="auto" w:sz="4" w:space="0"/>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产出</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数量</w:t>
            </w:r>
          </w:p>
        </w:tc>
        <w:tc>
          <w:tcPr>
            <w:tcW w:w="550" w:type="dxa"/>
            <w:tcBorders>
              <w:top w:val="single" w:color="auto" w:sz="4" w:space="0"/>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single" w:color="auto" w:sz="4" w:space="0"/>
              <w:left w:val="nil"/>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目标完成率=目标完成数/预定目标数×100%</w:t>
            </w:r>
          </w:p>
        </w:tc>
        <w:tc>
          <w:tcPr>
            <w:tcW w:w="2772" w:type="dxa"/>
            <w:tcBorders>
              <w:top w:val="single" w:color="auto" w:sz="4" w:space="0"/>
              <w:left w:val="nil"/>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完成绩效目标100%得5分，未完成100%的同比例扣减。</w:t>
            </w:r>
          </w:p>
        </w:tc>
        <w:tc>
          <w:tcPr>
            <w:tcW w:w="803" w:type="dxa"/>
            <w:tcBorders>
              <w:top w:val="single" w:color="auto" w:sz="4" w:space="0"/>
              <w:left w:val="single" w:color="auto" w:sz="4" w:space="0"/>
              <w:bottom w:val="single" w:color="auto" w:sz="4" w:space="0"/>
              <w:right w:val="single" w:color="auto" w:sz="4" w:space="0"/>
            </w:tcBorders>
            <w:shd w:val="clear" w:color="auto" w:fill="FFFFFF"/>
            <w:noWrap/>
            <w:vAlign w:val="center"/>
          </w:tcPr>
          <w:p>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5</w:t>
            </w:r>
          </w:p>
        </w:tc>
      </w:tr>
      <w:tr>
        <w:tblPrEx>
          <w:tblCellMar>
            <w:top w:w="0" w:type="dxa"/>
            <w:left w:w="108" w:type="dxa"/>
            <w:bottom w:w="0" w:type="dxa"/>
            <w:right w:w="108" w:type="dxa"/>
          </w:tblCellMar>
        </w:tblPrEx>
        <w:trPr>
          <w:trHeight w:val="987"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产出</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质量</w:t>
            </w:r>
          </w:p>
        </w:tc>
        <w:tc>
          <w:tcPr>
            <w:tcW w:w="550"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目标完成质量=实际达到的效果/预定目标×100%</w:t>
            </w:r>
          </w:p>
        </w:tc>
        <w:tc>
          <w:tcPr>
            <w:tcW w:w="2772"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项目产出质量达到绩效目标100%得4分，未完成100%的同比例扣减。</w:t>
            </w:r>
          </w:p>
        </w:tc>
        <w:tc>
          <w:tcPr>
            <w:tcW w:w="803" w:type="dxa"/>
            <w:tcBorders>
              <w:top w:val="nil"/>
              <w:left w:val="single" w:color="auto" w:sz="4" w:space="0"/>
              <w:bottom w:val="single" w:color="auto" w:sz="4" w:space="0"/>
              <w:right w:val="single" w:color="auto" w:sz="4" w:space="0"/>
            </w:tcBorders>
            <w:shd w:val="clear" w:color="auto" w:fill="FFFFFF"/>
            <w:noWrap/>
            <w:vAlign w:val="center"/>
          </w:tcPr>
          <w:p>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4</w:t>
            </w:r>
          </w:p>
        </w:tc>
      </w:tr>
      <w:tr>
        <w:tblPrEx>
          <w:tblCellMar>
            <w:top w:w="0" w:type="dxa"/>
            <w:left w:w="108" w:type="dxa"/>
            <w:bottom w:w="0" w:type="dxa"/>
            <w:right w:w="108" w:type="dxa"/>
          </w:tblCellMar>
        </w:tblPrEx>
        <w:trPr>
          <w:trHeight w:val="986"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产出</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时效</w:t>
            </w:r>
          </w:p>
        </w:tc>
        <w:tc>
          <w:tcPr>
            <w:tcW w:w="550"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项目资金使用的预定目标是否如期完成，未完成的理由是否充分</w:t>
            </w:r>
          </w:p>
        </w:tc>
        <w:tc>
          <w:tcPr>
            <w:tcW w:w="2772"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项目产出时效达到绩效目标得3分，未如期完成且无充分理由的扣3分。</w:t>
            </w:r>
          </w:p>
        </w:tc>
        <w:tc>
          <w:tcPr>
            <w:tcW w:w="803" w:type="dxa"/>
            <w:tcBorders>
              <w:top w:val="nil"/>
              <w:left w:val="single" w:color="auto" w:sz="4" w:space="0"/>
              <w:bottom w:val="single" w:color="auto" w:sz="4" w:space="0"/>
              <w:right w:val="single" w:color="auto" w:sz="4" w:space="0"/>
            </w:tcBorders>
            <w:shd w:val="clear" w:color="auto" w:fill="FFFFFF"/>
            <w:noWrap/>
            <w:vAlign w:val="center"/>
          </w:tcPr>
          <w:p>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3</w:t>
            </w:r>
          </w:p>
        </w:tc>
      </w:tr>
      <w:tr>
        <w:tblPrEx>
          <w:tblCellMar>
            <w:top w:w="0" w:type="dxa"/>
            <w:left w:w="108" w:type="dxa"/>
            <w:bottom w:w="0" w:type="dxa"/>
            <w:right w:w="108" w:type="dxa"/>
          </w:tblCellMar>
        </w:tblPrEx>
        <w:trPr>
          <w:trHeight w:val="972"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产出</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成本</w:t>
            </w:r>
          </w:p>
        </w:tc>
        <w:tc>
          <w:tcPr>
            <w:tcW w:w="550"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项目产出成本是否按绩效目标控制</w:t>
            </w:r>
          </w:p>
        </w:tc>
        <w:tc>
          <w:tcPr>
            <w:tcW w:w="2772"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项目产出成本按绩效目标控制得3分，未完成的，按超支比例扣减。</w:t>
            </w:r>
          </w:p>
        </w:tc>
        <w:tc>
          <w:tcPr>
            <w:tcW w:w="803" w:type="dxa"/>
            <w:tcBorders>
              <w:top w:val="nil"/>
              <w:left w:val="single" w:color="auto" w:sz="4" w:space="0"/>
              <w:bottom w:val="single" w:color="auto" w:sz="4" w:space="0"/>
              <w:right w:val="single" w:color="auto" w:sz="4" w:space="0"/>
            </w:tcBorders>
            <w:shd w:val="clear" w:color="auto" w:fill="FFFFFF"/>
            <w:noWrap/>
            <w:vAlign w:val="center"/>
          </w:tcPr>
          <w:p>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3</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shd w:val="clear" w:color="auto" w:fill="auto"/>
            <w:noWrap/>
            <w:textDirection w:val="tbRlV"/>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项目效果</w:t>
            </w:r>
          </w:p>
        </w:tc>
        <w:tc>
          <w:tcPr>
            <w:tcW w:w="540" w:type="dxa"/>
            <w:vMerge w:val="restar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40</w:t>
            </w:r>
          </w:p>
        </w:tc>
        <w:tc>
          <w:tcPr>
            <w:tcW w:w="803"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经济</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项目实施对经济发展所带来的直接或间接影响情况。</w:t>
            </w:r>
          </w:p>
        </w:tc>
        <w:tc>
          <w:tcPr>
            <w:tcW w:w="2772"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完成绩效目标设定的经济效益得8分，未完成的，按完成情况酌情扣分。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ign w:val="center"/>
          </w:tcPr>
          <w:p>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8</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社会</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项目实施对社会发展所带来的直接或间接影响情况。</w:t>
            </w:r>
          </w:p>
        </w:tc>
        <w:tc>
          <w:tcPr>
            <w:tcW w:w="2772"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完成绩效目标设定的社会效益得8分，未完成的，按完成情况酌情扣分。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ign w:val="center"/>
          </w:tcPr>
          <w:p>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8</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生态</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项目实施对生态环境所带来的直接或间接影响情况。</w:t>
            </w:r>
          </w:p>
        </w:tc>
        <w:tc>
          <w:tcPr>
            <w:tcW w:w="2772"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完成绩效目标设定的积极的环境效益得8分，未完成的，按完成情况酌情扣分。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ign w:val="center"/>
          </w:tcPr>
          <w:p>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8</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可持续</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影响</w:t>
            </w:r>
          </w:p>
        </w:tc>
        <w:tc>
          <w:tcPr>
            <w:tcW w:w="550"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项目后续运行及成效发挥的可持续影响情况。</w:t>
            </w:r>
          </w:p>
        </w:tc>
        <w:tc>
          <w:tcPr>
            <w:tcW w:w="2772"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完成绩效设定目标的得8分，未完成的，按完成情况酌情扣分。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ign w:val="center"/>
          </w:tcPr>
          <w:p>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8</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服务</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对象</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满意度</w:t>
            </w:r>
          </w:p>
        </w:tc>
        <w:tc>
          <w:tcPr>
            <w:tcW w:w="550"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服务对象满意率=项目区被调查人数中表示满意的人数(户数)/ 被调查人数(户数)×100%</w:t>
            </w:r>
          </w:p>
        </w:tc>
        <w:tc>
          <w:tcPr>
            <w:tcW w:w="2772" w:type="dxa"/>
            <w:tcBorders>
              <w:top w:val="nil"/>
              <w:left w:val="nil"/>
              <w:bottom w:val="single" w:color="000000" w:sz="4" w:space="0"/>
              <w:right w:val="nil"/>
            </w:tcBorders>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满意率达90%（含）以上的得8分，80%（含）-90%得6分，70%（含）-80%得4分，60%（含）-70%得2分，60%以下不得分。</w:t>
            </w:r>
          </w:p>
        </w:tc>
        <w:tc>
          <w:tcPr>
            <w:tcW w:w="803" w:type="dxa"/>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24"/>
              </w:rPr>
            </w:pPr>
            <w:r>
              <w:rPr>
                <w:rFonts w:hint="eastAsia" w:ascii="宋体" w:hAnsi="宋体" w:cs="宋体"/>
                <w:kern w:val="0"/>
                <w:sz w:val="24"/>
              </w:rPr>
              <w:t>8</w:t>
            </w:r>
          </w:p>
        </w:tc>
      </w:tr>
      <w:tr>
        <w:tblPrEx>
          <w:tblCellMar>
            <w:top w:w="0" w:type="dxa"/>
            <w:left w:w="108" w:type="dxa"/>
            <w:bottom w:w="0" w:type="dxa"/>
            <w:right w:w="108" w:type="dxa"/>
          </w:tblCellMar>
        </w:tblPrEx>
        <w:trPr>
          <w:trHeight w:val="860" w:hRule="atLeast"/>
          <w:jc w:val="center"/>
        </w:trPr>
        <w:tc>
          <w:tcPr>
            <w:tcW w:w="702" w:type="dxa"/>
            <w:tcBorders>
              <w:top w:val="nil"/>
              <w:left w:val="single" w:color="000000" w:sz="4" w:space="0"/>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总分</w:t>
            </w:r>
          </w:p>
        </w:tc>
        <w:tc>
          <w:tcPr>
            <w:tcW w:w="540"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703"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b/>
                <w:bCs/>
                <w:kern w:val="0"/>
                <w:sz w:val="18"/>
                <w:szCs w:val="18"/>
              </w:rPr>
            </w:pPr>
          </w:p>
        </w:tc>
        <w:tc>
          <w:tcPr>
            <w:tcW w:w="540"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803"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b/>
                <w:bCs/>
                <w:kern w:val="0"/>
                <w:sz w:val="18"/>
                <w:szCs w:val="18"/>
              </w:rPr>
            </w:pPr>
          </w:p>
        </w:tc>
        <w:tc>
          <w:tcPr>
            <w:tcW w:w="550"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2407"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b/>
                <w:bCs/>
                <w:kern w:val="0"/>
                <w:sz w:val="18"/>
                <w:szCs w:val="18"/>
              </w:rPr>
            </w:pPr>
          </w:p>
        </w:tc>
        <w:tc>
          <w:tcPr>
            <w:tcW w:w="2772" w:type="dxa"/>
            <w:tcBorders>
              <w:top w:val="nil"/>
              <w:left w:val="nil"/>
              <w:bottom w:val="single" w:color="000000" w:sz="4" w:space="0"/>
              <w:right w:val="nil"/>
            </w:tcBorders>
            <w:noWrap/>
            <w:vAlign w:val="center"/>
          </w:tcPr>
          <w:p>
            <w:pPr>
              <w:widowControl/>
              <w:spacing w:line="240" w:lineRule="exact"/>
              <w:jc w:val="center"/>
              <w:rPr>
                <w:rFonts w:ascii="仿宋_GB2312" w:hAnsi="宋体" w:eastAsia="仿宋_GB2312" w:cs="宋体"/>
                <w:b/>
                <w:bCs/>
                <w:kern w:val="0"/>
                <w:sz w:val="18"/>
                <w:szCs w:val="18"/>
              </w:rPr>
            </w:pPr>
          </w:p>
        </w:tc>
        <w:tc>
          <w:tcPr>
            <w:tcW w:w="803" w:type="dxa"/>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b/>
                <w:bCs/>
                <w:kern w:val="0"/>
                <w:sz w:val="24"/>
              </w:rPr>
            </w:pPr>
            <w:r>
              <w:rPr>
                <w:rFonts w:hint="eastAsia" w:ascii="宋体" w:hAnsi="宋体" w:cs="宋体"/>
                <w:b/>
                <w:bCs/>
                <w:kern w:val="0"/>
                <w:sz w:val="24"/>
              </w:rPr>
              <w:t>98</w:t>
            </w:r>
          </w:p>
        </w:tc>
      </w:tr>
    </w:tbl>
    <w:p>
      <w:pPr>
        <w:adjustRightInd w:val="0"/>
        <w:snapToGrid w:val="0"/>
        <w:spacing w:beforeLines="50"/>
        <w:ind w:left="840" w:hanging="840" w:hangingChars="400"/>
        <w:contextualSpacing/>
        <w:rPr>
          <w:rFonts w:ascii="仿宋_GB2312" w:eastAsia="仿宋_GB2312"/>
        </w:rPr>
      </w:pPr>
      <w:r>
        <w:rPr>
          <w:rFonts w:hint="eastAsia" w:ascii="仿宋_GB2312" w:eastAsia="仿宋_GB2312"/>
        </w:rPr>
        <w:t>备注：1、部门（单位）根据项目实际，在《项目支出绩效评价指标评分表（共性）》上进一步完善、量化、细化个性指标，形成本项目的指标体系。</w:t>
      </w:r>
    </w:p>
    <w:p>
      <w:pPr>
        <w:adjustRightInd w:val="0"/>
        <w:snapToGrid w:val="0"/>
        <w:spacing w:beforeLines="50"/>
        <w:ind w:firstLine="630" w:firstLineChars="300"/>
        <w:contextualSpacing/>
        <w:rPr>
          <w:rFonts w:eastAsia="仿宋_GB2312"/>
          <w:sz w:val="32"/>
        </w:rPr>
      </w:pPr>
      <w:r>
        <w:rPr>
          <w:rFonts w:hint="eastAsia" w:ascii="仿宋_GB2312" w:eastAsia="仿宋_GB2312"/>
        </w:rPr>
        <w:t>2、一个一级项目一张表。</w:t>
      </w:r>
    </w:p>
    <w:p/>
    <w:p>
      <w:pPr>
        <w:pStyle w:val="2"/>
        <w:sectPr>
          <w:pgSz w:w="11906" w:h="16838"/>
          <w:pgMar w:top="1701" w:right="1417" w:bottom="1417" w:left="1417" w:header="851" w:footer="992" w:gutter="0"/>
          <w:cols w:space="0" w:num="1"/>
          <w:docGrid w:type="lines" w:linePitch="312" w:charSpace="0"/>
        </w:sectPr>
      </w:pPr>
    </w:p>
    <w:p>
      <w:pPr>
        <w:jc w:val="left"/>
        <w:outlineLvl w:val="0"/>
        <w:rPr>
          <w:rFonts w:eastAsia="黑体"/>
          <w:sz w:val="32"/>
          <w:szCs w:val="32"/>
        </w:rPr>
      </w:pPr>
      <w:r>
        <w:rPr>
          <w:rFonts w:hint="eastAsia" w:ascii="黑体" w:hAnsi="黑体" w:eastAsia="黑体" w:cs="黑体"/>
          <w:sz w:val="32"/>
          <w:szCs w:val="32"/>
        </w:rPr>
        <w:t>附件5</w:t>
      </w:r>
    </w:p>
    <w:p>
      <w:pPr>
        <w:widowControl/>
        <w:spacing w:line="600" w:lineRule="exact"/>
        <w:jc w:val="center"/>
        <w:rPr>
          <w:rFonts w:ascii="微软雅黑" w:hAnsi="微软雅黑" w:eastAsia="微软雅黑" w:cs="微软雅黑"/>
          <w:color w:val="000000"/>
          <w:sz w:val="44"/>
          <w:szCs w:val="44"/>
        </w:rPr>
      </w:pPr>
      <w:r>
        <w:rPr>
          <w:rFonts w:hint="eastAsia" w:ascii="微软雅黑" w:hAnsi="微软雅黑" w:eastAsia="微软雅黑" w:cs="微软雅黑"/>
          <w:color w:val="000000"/>
          <w:sz w:val="44"/>
          <w:szCs w:val="44"/>
        </w:rPr>
        <w:t>2022年度项目支出绩效自评表</w:t>
      </w:r>
    </w:p>
    <w:tbl>
      <w:tblPr>
        <w:tblStyle w:val="7"/>
        <w:tblW w:w="9851" w:type="dxa"/>
        <w:jc w:val="center"/>
        <w:tblLayout w:type="autofit"/>
        <w:tblCellMar>
          <w:top w:w="0" w:type="dxa"/>
          <w:left w:w="108" w:type="dxa"/>
          <w:bottom w:w="0" w:type="dxa"/>
          <w:right w:w="108" w:type="dxa"/>
        </w:tblCellMar>
      </w:tblPr>
      <w:tblGrid>
        <w:gridCol w:w="1080"/>
        <w:gridCol w:w="1080"/>
        <w:gridCol w:w="1080"/>
        <w:gridCol w:w="1224"/>
        <w:gridCol w:w="1134"/>
        <w:gridCol w:w="1134"/>
        <w:gridCol w:w="828"/>
        <w:gridCol w:w="873"/>
        <w:gridCol w:w="1418"/>
      </w:tblGrid>
      <w:tr>
        <w:tblPrEx>
          <w:tblCellMar>
            <w:top w:w="0" w:type="dxa"/>
            <w:left w:w="108" w:type="dxa"/>
            <w:bottom w:w="0" w:type="dxa"/>
            <w:right w:w="108" w:type="dxa"/>
          </w:tblCellMar>
        </w:tblPrEx>
        <w:trPr>
          <w:jc w:val="center"/>
        </w:trPr>
        <w:tc>
          <w:tcPr>
            <w:tcW w:w="1080" w:type="dxa"/>
            <w:tcBorders>
              <w:top w:val="single" w:color="auto" w:sz="4" w:space="0"/>
              <w:left w:val="single" w:color="auto" w:sz="4" w:space="0"/>
              <w:bottom w:val="single" w:color="auto" w:sz="4" w:space="0"/>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项目支</w:t>
            </w:r>
          </w:p>
          <w:p>
            <w:pPr>
              <w:widowControl/>
              <w:spacing w:line="260" w:lineRule="exact"/>
              <w:jc w:val="center"/>
              <w:rPr>
                <w:rFonts w:eastAsia="仿宋_GB2312"/>
                <w:color w:val="000000"/>
                <w:sz w:val="20"/>
                <w:szCs w:val="20"/>
              </w:rPr>
            </w:pPr>
            <w:r>
              <w:rPr>
                <w:rFonts w:eastAsia="仿宋_GB2312"/>
                <w:color w:val="000000"/>
                <w:sz w:val="20"/>
                <w:szCs w:val="20"/>
              </w:rPr>
              <w:t>出名称</w:t>
            </w:r>
          </w:p>
        </w:tc>
        <w:tc>
          <w:tcPr>
            <w:tcW w:w="8771" w:type="dxa"/>
            <w:gridSpan w:val="8"/>
            <w:tcBorders>
              <w:top w:val="single" w:color="auto" w:sz="4" w:space="0"/>
              <w:left w:val="nil"/>
              <w:bottom w:val="single" w:color="auto" w:sz="4" w:space="0"/>
              <w:right w:val="single" w:color="auto" w:sz="4" w:space="0"/>
            </w:tcBorders>
            <w:noWrap/>
            <w:vAlign w:val="center"/>
          </w:tcPr>
          <w:p>
            <w:pPr>
              <w:widowControl/>
              <w:spacing w:line="260" w:lineRule="exact"/>
              <w:jc w:val="center"/>
              <w:rPr>
                <w:rFonts w:ascii="仿宋" w:hAnsi="仿宋" w:eastAsia="仿宋"/>
                <w:color w:val="000000"/>
                <w:sz w:val="20"/>
                <w:szCs w:val="20"/>
              </w:rPr>
            </w:pPr>
            <w:r>
              <w:rPr>
                <w:rFonts w:hint="eastAsia" w:ascii="仿宋" w:hAnsi="仿宋" w:eastAsia="仿宋" w:cs="宋体"/>
                <w:color w:val="000000"/>
                <w:sz w:val="20"/>
                <w:szCs w:val="20"/>
              </w:rPr>
              <w:t>禁毒</w:t>
            </w:r>
            <w:r>
              <w:rPr>
                <w:rFonts w:hint="eastAsia" w:ascii="仿宋" w:hAnsi="仿宋" w:eastAsia="仿宋" w:cs="___WRD_EMBED_SUB_40"/>
                <w:color w:val="000000"/>
                <w:sz w:val="20"/>
                <w:szCs w:val="20"/>
              </w:rPr>
              <w:t>项目</w:t>
            </w:r>
          </w:p>
        </w:tc>
      </w:tr>
      <w:tr>
        <w:tblPrEx>
          <w:tblCellMar>
            <w:top w:w="0" w:type="dxa"/>
            <w:left w:w="108" w:type="dxa"/>
            <w:bottom w:w="0" w:type="dxa"/>
            <w:right w:w="108" w:type="dxa"/>
          </w:tblCellMar>
        </w:tblPrEx>
        <w:trPr>
          <w:jc w:val="center"/>
        </w:trPr>
        <w:tc>
          <w:tcPr>
            <w:tcW w:w="1080" w:type="dxa"/>
            <w:tcBorders>
              <w:top w:val="nil"/>
              <w:left w:val="single" w:color="auto" w:sz="4" w:space="0"/>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主管部门</w:t>
            </w:r>
          </w:p>
        </w:tc>
        <w:tc>
          <w:tcPr>
            <w:tcW w:w="4518" w:type="dxa"/>
            <w:gridSpan w:val="4"/>
            <w:tcBorders>
              <w:top w:val="single" w:color="auto" w:sz="4" w:space="0"/>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1134" w:type="dxa"/>
            <w:tcBorders>
              <w:top w:val="single" w:color="auto" w:sz="4" w:space="0"/>
              <w:left w:val="nil"/>
              <w:bottom w:val="single" w:color="auto" w:sz="4" w:space="0"/>
              <w:right w:val="single" w:color="000000"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实施单位</w:t>
            </w:r>
          </w:p>
        </w:tc>
        <w:tc>
          <w:tcPr>
            <w:tcW w:w="3119" w:type="dxa"/>
            <w:gridSpan w:val="3"/>
            <w:tcBorders>
              <w:top w:val="single" w:color="auto" w:sz="4" w:space="0"/>
              <w:left w:val="nil"/>
              <w:bottom w:val="single" w:color="auto" w:sz="4" w:space="0"/>
              <w:right w:val="single" w:color="auto" w:sz="4" w:space="0"/>
            </w:tcBorders>
            <w:noWrap/>
            <w:vAlign w:val="center"/>
          </w:tcPr>
          <w:p>
            <w:pPr>
              <w:widowControl/>
              <w:spacing w:line="260" w:lineRule="exact"/>
              <w:jc w:val="left"/>
              <w:rPr>
                <w:rFonts w:ascii="仿宋" w:hAnsi="仿宋" w:eastAsia="仿宋"/>
                <w:sz w:val="20"/>
                <w:szCs w:val="20"/>
              </w:rPr>
            </w:pPr>
            <w:r>
              <w:rPr>
                <w:rFonts w:hint="eastAsia" w:ascii="仿宋" w:hAnsi="仿宋" w:eastAsia="仿宋"/>
                <w:sz w:val="20"/>
                <w:szCs w:val="20"/>
              </w:rPr>
              <w:t>华容县人民政府办公室</w:t>
            </w: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000000" w:sz="4" w:space="0"/>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项目资金</w:t>
            </w:r>
            <w:r>
              <w:rPr>
                <w:rFonts w:eastAsia="仿宋_GB2312"/>
                <w:color w:val="000000"/>
                <w:sz w:val="20"/>
                <w:szCs w:val="20"/>
              </w:rPr>
              <w:br w:type="textWrapping"/>
            </w:r>
            <w:r>
              <w:rPr>
                <w:rFonts w:eastAsia="仿宋_GB2312"/>
                <w:color w:val="000000"/>
                <w:sz w:val="20"/>
                <w:szCs w:val="20"/>
              </w:rPr>
              <w:t>（万元）</w:t>
            </w:r>
          </w:p>
        </w:tc>
        <w:tc>
          <w:tcPr>
            <w:tcW w:w="2160" w:type="dxa"/>
            <w:gridSpan w:val="2"/>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1224" w:type="dxa"/>
            <w:tcBorders>
              <w:top w:val="nil"/>
              <w:left w:val="nil"/>
              <w:bottom w:val="single" w:color="auto" w:sz="4" w:space="0"/>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年初</w:t>
            </w:r>
          </w:p>
          <w:p>
            <w:pPr>
              <w:widowControl/>
              <w:spacing w:line="260" w:lineRule="exact"/>
              <w:jc w:val="center"/>
              <w:rPr>
                <w:rFonts w:eastAsia="仿宋_GB2312"/>
                <w:color w:val="000000"/>
                <w:sz w:val="20"/>
                <w:szCs w:val="20"/>
              </w:rPr>
            </w:pPr>
            <w:r>
              <w:rPr>
                <w:rFonts w:eastAsia="仿宋_GB2312"/>
                <w:color w:val="000000"/>
                <w:sz w:val="20"/>
                <w:szCs w:val="20"/>
              </w:rPr>
              <w:t>预算数</w:t>
            </w:r>
          </w:p>
        </w:tc>
        <w:tc>
          <w:tcPr>
            <w:tcW w:w="1134" w:type="dxa"/>
            <w:tcBorders>
              <w:top w:val="nil"/>
              <w:left w:val="nil"/>
              <w:bottom w:val="single" w:color="auto" w:sz="4" w:space="0"/>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全年</w:t>
            </w:r>
          </w:p>
          <w:p>
            <w:pPr>
              <w:widowControl/>
              <w:spacing w:line="260" w:lineRule="exact"/>
              <w:jc w:val="center"/>
              <w:rPr>
                <w:rFonts w:eastAsia="仿宋_GB2312"/>
                <w:color w:val="000000"/>
                <w:sz w:val="20"/>
                <w:szCs w:val="20"/>
              </w:rPr>
            </w:pPr>
            <w:r>
              <w:rPr>
                <w:rFonts w:eastAsia="仿宋_GB2312"/>
                <w:color w:val="000000"/>
                <w:sz w:val="20"/>
                <w:szCs w:val="20"/>
              </w:rPr>
              <w:t>预算数</w:t>
            </w:r>
          </w:p>
        </w:tc>
        <w:tc>
          <w:tcPr>
            <w:tcW w:w="1134" w:type="dxa"/>
            <w:tcBorders>
              <w:top w:val="nil"/>
              <w:left w:val="nil"/>
              <w:bottom w:val="single" w:color="auto" w:sz="4" w:space="0"/>
              <w:right w:val="single" w:color="auto" w:sz="4" w:space="0"/>
            </w:tcBorders>
            <w:noWrap/>
            <w:vAlign w:val="center"/>
          </w:tcPr>
          <w:p>
            <w:pPr>
              <w:spacing w:line="260" w:lineRule="exact"/>
              <w:jc w:val="center"/>
              <w:rPr>
                <w:rFonts w:eastAsia="仿宋_GB2312"/>
                <w:sz w:val="20"/>
                <w:szCs w:val="20"/>
              </w:rPr>
            </w:pPr>
            <w:r>
              <w:rPr>
                <w:rFonts w:eastAsia="仿宋_GB2312"/>
                <w:sz w:val="20"/>
                <w:szCs w:val="20"/>
              </w:rPr>
              <w:t>全年</w:t>
            </w:r>
          </w:p>
          <w:p>
            <w:pPr>
              <w:spacing w:line="260" w:lineRule="exact"/>
              <w:jc w:val="center"/>
              <w:rPr>
                <w:rFonts w:eastAsia="仿宋_GB2312"/>
                <w:sz w:val="20"/>
                <w:szCs w:val="20"/>
              </w:rPr>
            </w:pPr>
            <w:r>
              <w:rPr>
                <w:rFonts w:eastAsia="仿宋_GB2312"/>
                <w:sz w:val="20"/>
                <w:szCs w:val="20"/>
              </w:rPr>
              <w:t>执行数</w:t>
            </w:r>
          </w:p>
        </w:tc>
        <w:tc>
          <w:tcPr>
            <w:tcW w:w="828" w:type="dxa"/>
            <w:tcBorders>
              <w:top w:val="nil"/>
              <w:left w:val="nil"/>
              <w:bottom w:val="single" w:color="auto" w:sz="4" w:space="0"/>
              <w:right w:val="single" w:color="auto" w:sz="4" w:space="0"/>
            </w:tcBorders>
            <w:noWrap/>
            <w:vAlign w:val="center"/>
          </w:tcPr>
          <w:p>
            <w:pPr>
              <w:spacing w:line="260" w:lineRule="exact"/>
              <w:jc w:val="center"/>
              <w:rPr>
                <w:rFonts w:eastAsia="仿宋_GB2312"/>
                <w:sz w:val="20"/>
                <w:szCs w:val="20"/>
              </w:rPr>
            </w:pPr>
            <w:r>
              <w:rPr>
                <w:rFonts w:eastAsia="仿宋_GB2312"/>
                <w:sz w:val="20"/>
                <w:szCs w:val="20"/>
              </w:rPr>
              <w:t>分值</w:t>
            </w:r>
          </w:p>
        </w:tc>
        <w:tc>
          <w:tcPr>
            <w:tcW w:w="873" w:type="dxa"/>
            <w:tcBorders>
              <w:top w:val="nil"/>
              <w:left w:val="nil"/>
              <w:bottom w:val="single" w:color="auto" w:sz="4" w:space="0"/>
              <w:right w:val="single" w:color="auto" w:sz="4" w:space="0"/>
            </w:tcBorders>
            <w:noWrap/>
            <w:vAlign w:val="center"/>
          </w:tcPr>
          <w:p>
            <w:pPr>
              <w:spacing w:line="260" w:lineRule="exact"/>
              <w:jc w:val="center"/>
              <w:rPr>
                <w:rFonts w:eastAsia="仿宋_GB2312"/>
                <w:sz w:val="20"/>
                <w:szCs w:val="20"/>
              </w:rPr>
            </w:pPr>
            <w:r>
              <w:rPr>
                <w:rFonts w:eastAsia="仿宋_GB2312"/>
                <w:sz w:val="20"/>
                <w:szCs w:val="20"/>
              </w:rPr>
              <w:t>执行率</w:t>
            </w:r>
          </w:p>
        </w:tc>
        <w:tc>
          <w:tcPr>
            <w:tcW w:w="1418" w:type="dxa"/>
            <w:tcBorders>
              <w:top w:val="nil"/>
              <w:left w:val="nil"/>
              <w:bottom w:val="single" w:color="auto" w:sz="4" w:space="0"/>
              <w:right w:val="single" w:color="auto" w:sz="4" w:space="0"/>
            </w:tcBorders>
            <w:noWrap/>
            <w:vAlign w:val="center"/>
          </w:tcPr>
          <w:p>
            <w:pPr>
              <w:spacing w:line="260" w:lineRule="exact"/>
              <w:jc w:val="center"/>
              <w:rPr>
                <w:rFonts w:eastAsia="仿宋_GB2312"/>
                <w:sz w:val="20"/>
                <w:szCs w:val="20"/>
              </w:rPr>
            </w:pPr>
            <w:r>
              <w:rPr>
                <w:rFonts w:eastAsia="仿宋_GB2312"/>
                <w:sz w:val="20"/>
                <w:szCs w:val="20"/>
              </w:rPr>
              <w:t>得分</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2160" w:type="dxa"/>
            <w:gridSpan w:val="2"/>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年度资金总额</w:t>
            </w: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hint="eastAsia" w:eastAsia="仿宋_GB2312"/>
                <w:color w:val="000000"/>
                <w:sz w:val="20"/>
                <w:szCs w:val="20"/>
              </w:rPr>
              <w:t>0</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hint="eastAsia" w:eastAsia="仿宋_GB2312"/>
                <w:color w:val="000000"/>
                <w:sz w:val="20"/>
                <w:szCs w:val="20"/>
              </w:rPr>
              <w:t>55.00</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hint="eastAsia" w:eastAsia="仿宋_GB2312"/>
                <w:color w:val="000000"/>
                <w:sz w:val="20"/>
                <w:szCs w:val="20"/>
              </w:rPr>
              <w:t>55.00</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10</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hint="eastAsia" w:eastAsia="仿宋_GB2312"/>
                <w:color w:val="000000"/>
                <w:sz w:val="20"/>
                <w:szCs w:val="20"/>
              </w:rPr>
              <w:t>100%</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hint="eastAsia" w:eastAsia="仿宋_GB2312"/>
                <w:color w:val="000000"/>
                <w:sz w:val="20"/>
                <w:szCs w:val="20"/>
              </w:rPr>
              <w:t>10</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2160" w:type="dxa"/>
            <w:gridSpan w:val="2"/>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其中：当年财政拨款</w:t>
            </w: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hint="eastAsia" w:eastAsia="仿宋_GB2312"/>
                <w:color w:val="000000"/>
                <w:sz w:val="20"/>
                <w:szCs w:val="20"/>
              </w:rPr>
              <w:t>0</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hint="eastAsia" w:eastAsia="仿宋_GB2312"/>
                <w:color w:val="000000"/>
                <w:sz w:val="20"/>
                <w:szCs w:val="20"/>
              </w:rPr>
              <w:t>55.00</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hint="eastAsia" w:eastAsia="仿宋_GB2312"/>
                <w:color w:val="000000"/>
                <w:sz w:val="20"/>
                <w:szCs w:val="20"/>
              </w:rPr>
              <w:t>55.00</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hint="eastAsia" w:eastAsia="仿宋_GB2312"/>
                <w:color w:val="000000"/>
                <w:sz w:val="20"/>
                <w:szCs w:val="20"/>
              </w:rPr>
              <w:t>100%</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2160" w:type="dxa"/>
            <w:gridSpan w:val="2"/>
            <w:tcBorders>
              <w:top w:val="nil"/>
              <w:left w:val="nil"/>
              <w:bottom w:val="single" w:color="auto" w:sz="4" w:space="0"/>
              <w:right w:val="single" w:color="auto" w:sz="4" w:space="0"/>
            </w:tcBorders>
            <w:noWrap/>
            <w:vAlign w:val="center"/>
          </w:tcPr>
          <w:p>
            <w:pPr>
              <w:widowControl/>
              <w:spacing w:line="260" w:lineRule="exact"/>
              <w:ind w:firstLine="600" w:firstLineChars="300"/>
              <w:jc w:val="left"/>
              <w:rPr>
                <w:rFonts w:eastAsia="仿宋_GB2312"/>
                <w:color w:val="000000"/>
                <w:sz w:val="20"/>
                <w:szCs w:val="20"/>
              </w:rPr>
            </w:pPr>
            <w:r>
              <w:rPr>
                <w:rFonts w:eastAsia="仿宋_GB2312"/>
                <w:color w:val="000000"/>
                <w:sz w:val="20"/>
                <w:szCs w:val="20"/>
              </w:rPr>
              <w:t>上年结转资金</w:t>
            </w: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2160" w:type="dxa"/>
            <w:gridSpan w:val="2"/>
            <w:tcBorders>
              <w:top w:val="nil"/>
              <w:left w:val="nil"/>
              <w:bottom w:val="single" w:color="auto" w:sz="4" w:space="0"/>
              <w:right w:val="single" w:color="auto" w:sz="4" w:space="0"/>
            </w:tcBorders>
            <w:noWrap/>
            <w:vAlign w:val="center"/>
          </w:tcPr>
          <w:p>
            <w:pPr>
              <w:widowControl/>
              <w:spacing w:line="260" w:lineRule="exact"/>
              <w:ind w:firstLine="600" w:firstLineChars="300"/>
              <w:jc w:val="left"/>
              <w:rPr>
                <w:rFonts w:eastAsia="仿宋_GB2312"/>
                <w:color w:val="000000"/>
                <w:sz w:val="20"/>
                <w:szCs w:val="20"/>
              </w:rPr>
            </w:pPr>
            <w:r>
              <w:rPr>
                <w:rFonts w:eastAsia="仿宋_GB2312"/>
                <w:color w:val="000000"/>
                <w:sz w:val="20"/>
                <w:szCs w:val="20"/>
              </w:rPr>
              <w:t>其他资金</w:t>
            </w: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000000" w:sz="4" w:space="0"/>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年度总体目标</w:t>
            </w:r>
          </w:p>
        </w:tc>
        <w:tc>
          <w:tcPr>
            <w:tcW w:w="4518" w:type="dxa"/>
            <w:gridSpan w:val="4"/>
            <w:tcBorders>
              <w:top w:val="single" w:color="auto" w:sz="4" w:space="0"/>
              <w:left w:val="nil"/>
              <w:bottom w:val="single" w:color="auto" w:sz="4" w:space="0"/>
              <w:right w:val="single" w:color="000000"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预期目标</w:t>
            </w:r>
          </w:p>
        </w:tc>
        <w:tc>
          <w:tcPr>
            <w:tcW w:w="4253" w:type="dxa"/>
            <w:gridSpan w:val="4"/>
            <w:tcBorders>
              <w:top w:val="single" w:color="auto" w:sz="4" w:space="0"/>
              <w:left w:val="nil"/>
              <w:bottom w:val="single" w:color="auto" w:sz="4" w:space="0"/>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实际完成情况　</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4518" w:type="dxa"/>
            <w:gridSpan w:val="4"/>
            <w:tcBorders>
              <w:top w:val="single" w:color="auto" w:sz="4" w:space="0"/>
              <w:left w:val="nil"/>
              <w:bottom w:val="single" w:color="auto" w:sz="4" w:space="0"/>
              <w:right w:val="single" w:color="000000" w:sz="4" w:space="0"/>
            </w:tcBorders>
            <w:noWrap/>
            <w:vAlign w:val="center"/>
          </w:tcPr>
          <w:p>
            <w:pPr>
              <w:widowControl/>
              <w:spacing w:line="260" w:lineRule="exact"/>
              <w:jc w:val="center"/>
              <w:rPr>
                <w:rFonts w:ascii="仿宋" w:hAnsi="仿宋" w:eastAsia="仿宋"/>
                <w:color w:val="000000"/>
                <w:sz w:val="20"/>
                <w:szCs w:val="20"/>
              </w:rPr>
            </w:pPr>
            <w:r>
              <w:rPr>
                <w:rFonts w:hint="eastAsia" w:ascii="仿宋" w:hAnsi="仿宋" w:eastAsia="仿宋"/>
                <w:sz w:val="20"/>
                <w:szCs w:val="20"/>
              </w:rPr>
              <w:t>全面压实禁毒工作责任，确保全县毒情形势持续好转，群众安全感和满意度得到进一步提升。</w:t>
            </w:r>
          </w:p>
        </w:tc>
        <w:tc>
          <w:tcPr>
            <w:tcW w:w="4253" w:type="dxa"/>
            <w:gridSpan w:val="4"/>
            <w:tcBorders>
              <w:top w:val="single" w:color="auto" w:sz="4" w:space="0"/>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hint="eastAsia" w:ascii="仿宋" w:hAnsi="仿宋" w:eastAsia="仿宋"/>
                <w:sz w:val="20"/>
                <w:szCs w:val="20"/>
              </w:rPr>
              <w:t>全面压实禁毒工作责任，确保全县毒情形势持续好转，群众安全感和满意度得到进一步提升。完成禁毒会议、活动3场；禁毒入户宣传率达95%；</w:t>
            </w:r>
            <w:r>
              <w:rPr>
                <w:rFonts w:hint="eastAsia" w:ascii="仿宋" w:hAnsi="仿宋" w:eastAsia="仿宋" w:cs="宋体"/>
                <w:sz w:val="20"/>
                <w:szCs w:val="20"/>
              </w:rPr>
              <w:t>保持</w:t>
            </w:r>
            <w:r>
              <w:rPr>
                <w:rFonts w:hint="eastAsia" w:ascii="仿宋" w:hAnsi="仿宋" w:eastAsia="仿宋"/>
                <w:sz w:val="20"/>
                <w:szCs w:val="20"/>
              </w:rPr>
              <w:t>社</w:t>
            </w:r>
            <w:r>
              <w:rPr>
                <w:rFonts w:hint="eastAsia" w:ascii="仿宋" w:hAnsi="仿宋" w:eastAsia="仿宋" w:cs="宋体"/>
                <w:sz w:val="20"/>
                <w:szCs w:val="20"/>
              </w:rPr>
              <w:t>戒社康人员管控率</w:t>
            </w:r>
            <w:r>
              <w:rPr>
                <w:rFonts w:hint="eastAsia" w:ascii="仿宋" w:hAnsi="仿宋" w:eastAsia="仿宋"/>
                <w:sz w:val="20"/>
                <w:szCs w:val="20"/>
              </w:rPr>
              <w:t>管控率达到100%</w:t>
            </w: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绩</w:t>
            </w:r>
          </w:p>
          <w:p>
            <w:pPr>
              <w:widowControl/>
              <w:spacing w:line="260" w:lineRule="exact"/>
              <w:jc w:val="center"/>
              <w:rPr>
                <w:rFonts w:eastAsia="仿宋_GB2312"/>
                <w:color w:val="000000"/>
                <w:sz w:val="20"/>
                <w:szCs w:val="20"/>
              </w:rPr>
            </w:pPr>
            <w:r>
              <w:rPr>
                <w:rFonts w:eastAsia="仿宋_GB2312"/>
                <w:color w:val="000000"/>
                <w:sz w:val="20"/>
                <w:szCs w:val="20"/>
              </w:rPr>
              <w:t>效</w:t>
            </w:r>
          </w:p>
          <w:p>
            <w:pPr>
              <w:widowControl/>
              <w:spacing w:line="260" w:lineRule="exact"/>
              <w:jc w:val="center"/>
              <w:rPr>
                <w:rFonts w:eastAsia="仿宋_GB2312"/>
                <w:color w:val="000000"/>
                <w:sz w:val="20"/>
                <w:szCs w:val="20"/>
              </w:rPr>
            </w:pPr>
            <w:r>
              <w:rPr>
                <w:rFonts w:eastAsia="仿宋_GB2312"/>
                <w:color w:val="000000"/>
                <w:sz w:val="20"/>
                <w:szCs w:val="20"/>
              </w:rPr>
              <w:t>指</w:t>
            </w:r>
          </w:p>
          <w:p>
            <w:pPr>
              <w:widowControl/>
              <w:spacing w:line="260" w:lineRule="exact"/>
              <w:jc w:val="center"/>
              <w:rPr>
                <w:rFonts w:eastAsia="仿宋_GB2312"/>
                <w:color w:val="000000"/>
                <w:sz w:val="20"/>
                <w:szCs w:val="20"/>
              </w:rPr>
            </w:pPr>
            <w:r>
              <w:rPr>
                <w:rFonts w:eastAsia="仿宋_GB2312"/>
                <w:color w:val="000000"/>
                <w:sz w:val="20"/>
                <w:szCs w:val="20"/>
              </w:rPr>
              <w:t>标</w:t>
            </w:r>
          </w:p>
        </w:tc>
        <w:tc>
          <w:tcPr>
            <w:tcW w:w="1080" w:type="dxa"/>
            <w:tcBorders>
              <w:top w:val="nil"/>
              <w:left w:val="nil"/>
              <w:bottom w:val="single" w:color="auto" w:sz="4" w:space="0"/>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一级指标</w:t>
            </w:r>
          </w:p>
        </w:tc>
        <w:tc>
          <w:tcPr>
            <w:tcW w:w="1080" w:type="dxa"/>
            <w:tcBorders>
              <w:top w:val="nil"/>
              <w:left w:val="nil"/>
              <w:bottom w:val="single" w:color="auto" w:sz="4" w:space="0"/>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二级指标</w:t>
            </w:r>
          </w:p>
        </w:tc>
        <w:tc>
          <w:tcPr>
            <w:tcW w:w="1224" w:type="dxa"/>
            <w:tcBorders>
              <w:top w:val="nil"/>
              <w:left w:val="nil"/>
              <w:bottom w:val="single" w:color="auto" w:sz="4" w:space="0"/>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三级指标</w:t>
            </w:r>
          </w:p>
        </w:tc>
        <w:tc>
          <w:tcPr>
            <w:tcW w:w="1134" w:type="dxa"/>
            <w:tcBorders>
              <w:top w:val="nil"/>
              <w:left w:val="nil"/>
              <w:bottom w:val="single" w:color="auto" w:sz="4" w:space="0"/>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年度</w:t>
            </w:r>
          </w:p>
          <w:p>
            <w:pPr>
              <w:widowControl/>
              <w:spacing w:line="260" w:lineRule="exact"/>
              <w:jc w:val="center"/>
              <w:rPr>
                <w:rFonts w:eastAsia="仿宋_GB2312"/>
                <w:color w:val="000000"/>
                <w:sz w:val="20"/>
                <w:szCs w:val="20"/>
              </w:rPr>
            </w:pPr>
            <w:r>
              <w:rPr>
                <w:rFonts w:eastAsia="仿宋_GB2312"/>
                <w:color w:val="000000"/>
                <w:sz w:val="20"/>
                <w:szCs w:val="20"/>
              </w:rPr>
              <w:t>指标值</w:t>
            </w:r>
          </w:p>
        </w:tc>
        <w:tc>
          <w:tcPr>
            <w:tcW w:w="1134" w:type="dxa"/>
            <w:tcBorders>
              <w:top w:val="nil"/>
              <w:left w:val="nil"/>
              <w:bottom w:val="single" w:color="auto" w:sz="4" w:space="0"/>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实际</w:t>
            </w:r>
          </w:p>
          <w:p>
            <w:pPr>
              <w:widowControl/>
              <w:spacing w:line="260" w:lineRule="exact"/>
              <w:jc w:val="center"/>
              <w:rPr>
                <w:rFonts w:eastAsia="仿宋_GB2312"/>
                <w:color w:val="000000"/>
                <w:sz w:val="20"/>
                <w:szCs w:val="20"/>
              </w:rPr>
            </w:pPr>
            <w:r>
              <w:rPr>
                <w:rFonts w:eastAsia="仿宋_GB2312"/>
                <w:color w:val="000000"/>
                <w:sz w:val="20"/>
                <w:szCs w:val="20"/>
              </w:rPr>
              <w:t>完成值</w:t>
            </w:r>
          </w:p>
        </w:tc>
        <w:tc>
          <w:tcPr>
            <w:tcW w:w="828" w:type="dxa"/>
            <w:tcBorders>
              <w:top w:val="nil"/>
              <w:left w:val="nil"/>
              <w:bottom w:val="single" w:color="auto" w:sz="4" w:space="0"/>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分值</w:t>
            </w:r>
          </w:p>
        </w:tc>
        <w:tc>
          <w:tcPr>
            <w:tcW w:w="873" w:type="dxa"/>
            <w:tcBorders>
              <w:top w:val="nil"/>
              <w:left w:val="nil"/>
              <w:bottom w:val="single" w:color="auto" w:sz="4" w:space="0"/>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得分</w:t>
            </w:r>
          </w:p>
        </w:tc>
        <w:tc>
          <w:tcPr>
            <w:tcW w:w="1418" w:type="dxa"/>
            <w:tcBorders>
              <w:top w:val="nil"/>
              <w:left w:val="nil"/>
              <w:bottom w:val="single" w:color="auto" w:sz="4" w:space="0"/>
              <w:right w:val="single" w:color="auto" w:sz="4" w:space="0"/>
            </w:tcBorders>
            <w:noWrap/>
            <w:vAlign w:val="center"/>
          </w:tcPr>
          <w:p>
            <w:pPr>
              <w:widowControl/>
              <w:spacing w:line="260" w:lineRule="exact"/>
              <w:rPr>
                <w:rFonts w:eastAsia="仿宋_GB2312"/>
                <w:color w:val="000000"/>
                <w:sz w:val="20"/>
                <w:szCs w:val="20"/>
              </w:rPr>
            </w:pPr>
            <w:r>
              <w:rPr>
                <w:rFonts w:eastAsia="仿宋_GB2312"/>
                <w:color w:val="000000"/>
                <w:sz w:val="20"/>
                <w:szCs w:val="20"/>
              </w:rPr>
              <w:t>偏差原因分析及改进措施</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restart"/>
            <w:tcBorders>
              <w:top w:val="nil"/>
              <w:left w:val="nil"/>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产出指标</w:t>
            </w:r>
          </w:p>
          <w:p>
            <w:pPr>
              <w:widowControl/>
              <w:spacing w:line="260" w:lineRule="exact"/>
              <w:jc w:val="center"/>
              <w:rPr>
                <w:rFonts w:eastAsia="仿宋_GB2312"/>
                <w:color w:val="000000"/>
                <w:sz w:val="20"/>
                <w:szCs w:val="20"/>
              </w:rPr>
            </w:pPr>
            <w:r>
              <w:rPr>
                <w:rFonts w:eastAsia="仿宋_GB2312"/>
                <w:color w:val="000000"/>
                <w:sz w:val="20"/>
                <w:szCs w:val="20"/>
              </w:rPr>
              <w:t>(50分)</w:t>
            </w:r>
          </w:p>
        </w:tc>
        <w:tc>
          <w:tcPr>
            <w:tcW w:w="1080" w:type="dxa"/>
            <w:vMerge w:val="restart"/>
            <w:tcBorders>
              <w:top w:val="nil"/>
              <w:left w:val="nil"/>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数量指标</w:t>
            </w: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sz w:val="20"/>
                <w:szCs w:val="20"/>
              </w:rPr>
            </w:pPr>
            <w:r>
              <w:rPr>
                <w:rFonts w:hint="eastAsia" w:ascii="仿宋" w:hAnsi="仿宋" w:eastAsia="仿宋"/>
                <w:sz w:val="20"/>
                <w:szCs w:val="20"/>
              </w:rPr>
              <w:t>完成禁毒会议、活动</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sz w:val="20"/>
                <w:szCs w:val="20"/>
              </w:rPr>
            </w:pPr>
            <w:r>
              <w:rPr>
                <w:rFonts w:hint="eastAsia" w:ascii="仿宋" w:hAnsi="仿宋" w:eastAsia="仿宋"/>
                <w:sz w:val="20"/>
                <w:szCs w:val="20"/>
              </w:rPr>
              <w:t>完成2场以上</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sz w:val="20"/>
                <w:szCs w:val="20"/>
              </w:rPr>
            </w:pPr>
            <w:r>
              <w:rPr>
                <w:rFonts w:ascii="仿宋" w:hAnsi="仿宋" w:eastAsia="仿宋"/>
                <w:sz w:val="20"/>
                <w:szCs w:val="20"/>
              </w:rPr>
              <w:t>　</w:t>
            </w:r>
            <w:r>
              <w:rPr>
                <w:rFonts w:hint="eastAsia" w:ascii="仿宋" w:hAnsi="仿宋" w:eastAsia="仿宋"/>
                <w:sz w:val="20"/>
                <w:szCs w:val="20"/>
              </w:rPr>
              <w:t>3</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8</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8</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center"/>
              <w:rPr>
                <w:rFonts w:eastAsia="仿宋_GB2312"/>
                <w:color w:val="000000"/>
                <w:sz w:val="20"/>
                <w:szCs w:val="20"/>
              </w:rPr>
            </w:pP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sz w:val="20"/>
                <w:szCs w:val="20"/>
              </w:rPr>
            </w:pPr>
            <w:r>
              <w:rPr>
                <w:rFonts w:hint="eastAsia" w:ascii="仿宋" w:hAnsi="仿宋" w:eastAsia="仿宋"/>
                <w:sz w:val="20"/>
                <w:szCs w:val="20"/>
              </w:rPr>
              <w:t>完成禁毒入户宣传</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sz w:val="20"/>
                <w:szCs w:val="20"/>
              </w:rPr>
            </w:pPr>
            <w:r>
              <w:rPr>
                <w:rFonts w:hint="eastAsia" w:ascii="仿宋" w:hAnsi="仿宋" w:eastAsia="仿宋"/>
                <w:sz w:val="20"/>
                <w:szCs w:val="20"/>
              </w:rPr>
              <w:t>宣传率达90%以上</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sz w:val="20"/>
                <w:szCs w:val="20"/>
              </w:rPr>
            </w:pPr>
            <w:r>
              <w:rPr>
                <w:rFonts w:ascii="仿宋" w:hAnsi="仿宋" w:eastAsia="仿宋"/>
                <w:sz w:val="20"/>
                <w:szCs w:val="20"/>
              </w:rPr>
              <w:t>　</w:t>
            </w:r>
            <w:r>
              <w:rPr>
                <w:rFonts w:hint="eastAsia" w:ascii="仿宋" w:hAnsi="仿宋" w:eastAsia="仿宋"/>
                <w:sz w:val="20"/>
                <w:szCs w:val="20"/>
              </w:rPr>
              <w:t>95%</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6</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6</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bottom w:val="single" w:color="auto" w:sz="4" w:space="0"/>
              <w:right w:val="single" w:color="auto" w:sz="4" w:space="0"/>
            </w:tcBorders>
            <w:noWrap/>
            <w:vAlign w:val="center"/>
          </w:tcPr>
          <w:p>
            <w:pPr>
              <w:widowControl/>
              <w:spacing w:line="260" w:lineRule="exact"/>
              <w:jc w:val="center"/>
              <w:rPr>
                <w:rFonts w:eastAsia="仿宋_GB2312"/>
                <w:color w:val="000000"/>
                <w:sz w:val="20"/>
                <w:szCs w:val="20"/>
              </w:rPr>
            </w:pP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s="宋体"/>
                <w:sz w:val="20"/>
                <w:szCs w:val="20"/>
              </w:rPr>
            </w:pPr>
            <w:r>
              <w:rPr>
                <w:rFonts w:hint="eastAsia" w:ascii="仿宋" w:hAnsi="仿宋" w:eastAsia="仿宋" w:cs="宋体"/>
                <w:sz w:val="20"/>
                <w:szCs w:val="20"/>
              </w:rPr>
              <w:t>保持</w:t>
            </w:r>
            <w:r>
              <w:rPr>
                <w:rFonts w:hint="eastAsia" w:ascii="仿宋" w:hAnsi="仿宋" w:eastAsia="仿宋"/>
                <w:sz w:val="20"/>
                <w:szCs w:val="20"/>
              </w:rPr>
              <w:t>社</w:t>
            </w:r>
            <w:r>
              <w:rPr>
                <w:rFonts w:hint="eastAsia" w:ascii="仿宋" w:hAnsi="仿宋" w:eastAsia="仿宋" w:cs="宋体"/>
                <w:sz w:val="20"/>
                <w:szCs w:val="20"/>
              </w:rPr>
              <w:t>戒社康人员管控率</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sz w:val="20"/>
                <w:szCs w:val="20"/>
              </w:rPr>
            </w:pPr>
            <w:r>
              <w:rPr>
                <w:rFonts w:hint="eastAsia" w:ascii="仿宋" w:hAnsi="仿宋" w:eastAsia="仿宋"/>
                <w:sz w:val="20"/>
                <w:szCs w:val="20"/>
              </w:rPr>
              <w:t>管控率达到100%</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sz w:val="20"/>
                <w:szCs w:val="20"/>
              </w:rPr>
            </w:pPr>
            <w:r>
              <w:rPr>
                <w:rFonts w:ascii="仿宋" w:hAnsi="仿宋" w:eastAsia="仿宋"/>
                <w:sz w:val="20"/>
                <w:szCs w:val="20"/>
              </w:rPr>
              <w:t>　</w:t>
            </w:r>
            <w:r>
              <w:rPr>
                <w:rFonts w:hint="eastAsia" w:ascii="仿宋" w:hAnsi="仿宋" w:eastAsia="仿宋"/>
                <w:sz w:val="20"/>
                <w:szCs w:val="20"/>
              </w:rPr>
              <w:t>100%</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6</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6</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left"/>
              <w:rPr>
                <w:rFonts w:eastAsia="仿宋_GB2312"/>
                <w:color w:val="000000"/>
                <w:sz w:val="20"/>
                <w:szCs w:val="20"/>
              </w:rPr>
            </w:pPr>
          </w:p>
        </w:tc>
        <w:tc>
          <w:tcPr>
            <w:tcW w:w="1080" w:type="dxa"/>
            <w:vMerge w:val="restart"/>
            <w:tcBorders>
              <w:top w:val="nil"/>
              <w:left w:val="nil"/>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质量指标</w:t>
            </w: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sz w:val="20"/>
                <w:szCs w:val="20"/>
              </w:rPr>
            </w:pPr>
            <w:r>
              <w:rPr>
                <w:rFonts w:hint="eastAsia" w:ascii="仿宋" w:hAnsi="仿宋" w:eastAsia="仿宋"/>
                <w:sz w:val="20"/>
                <w:szCs w:val="20"/>
              </w:rPr>
              <w:t>禁毒会议、活动是否安排执行到位</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sz w:val="20"/>
                <w:szCs w:val="20"/>
              </w:rPr>
            </w:pPr>
            <w:r>
              <w:rPr>
                <w:rFonts w:hint="eastAsia" w:ascii="仿宋" w:hAnsi="仿宋" w:eastAsia="仿宋"/>
                <w:sz w:val="20"/>
                <w:szCs w:val="20"/>
              </w:rPr>
              <w:t>高质量执行到位</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s="宋体"/>
                <w:sz w:val="20"/>
                <w:szCs w:val="20"/>
              </w:rPr>
            </w:pPr>
            <w:r>
              <w:rPr>
                <w:rFonts w:hint="eastAsia" w:ascii="仿宋" w:hAnsi="仿宋" w:eastAsia="仿宋" w:cs="宋体"/>
                <w:sz w:val="20"/>
                <w:szCs w:val="20"/>
              </w:rPr>
              <w:t>已高质量执行到位</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5</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5</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center"/>
              <w:rPr>
                <w:rFonts w:eastAsia="仿宋_GB2312"/>
                <w:color w:val="000000"/>
                <w:sz w:val="20"/>
                <w:szCs w:val="20"/>
              </w:rPr>
            </w:pP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sz w:val="20"/>
                <w:szCs w:val="20"/>
              </w:rPr>
            </w:pPr>
            <w:r>
              <w:rPr>
                <w:rFonts w:hint="eastAsia" w:ascii="仿宋" w:hAnsi="仿宋" w:eastAsia="仿宋"/>
                <w:sz w:val="20"/>
                <w:szCs w:val="20"/>
              </w:rPr>
              <w:t>禁毒工作是否落实到位</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sz w:val="20"/>
                <w:szCs w:val="20"/>
              </w:rPr>
            </w:pPr>
            <w:r>
              <w:rPr>
                <w:rFonts w:hint="eastAsia" w:ascii="仿宋" w:hAnsi="仿宋" w:eastAsia="仿宋"/>
                <w:sz w:val="20"/>
                <w:szCs w:val="20"/>
              </w:rPr>
              <w:t>高质量落实到位</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s="宋体"/>
                <w:sz w:val="20"/>
                <w:szCs w:val="20"/>
              </w:rPr>
            </w:pPr>
            <w:r>
              <w:rPr>
                <w:rFonts w:hint="eastAsia" w:ascii="仿宋" w:hAnsi="仿宋" w:eastAsia="仿宋" w:cs="宋体"/>
                <w:sz w:val="20"/>
                <w:szCs w:val="20"/>
              </w:rPr>
              <w:t>已高质量落实到位</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5</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5</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trHeight w:val="333" w:hRule="atLeast"/>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bottom w:val="single" w:color="auto" w:sz="4" w:space="0"/>
              <w:right w:val="single" w:color="auto" w:sz="4" w:space="0"/>
            </w:tcBorders>
            <w:noWrap/>
            <w:vAlign w:val="center"/>
          </w:tcPr>
          <w:p>
            <w:pPr>
              <w:widowControl/>
              <w:spacing w:line="260" w:lineRule="exact"/>
              <w:jc w:val="center"/>
              <w:rPr>
                <w:rFonts w:eastAsia="仿宋_GB2312"/>
                <w:color w:val="000000"/>
                <w:sz w:val="20"/>
                <w:szCs w:val="20"/>
              </w:rPr>
            </w:pP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sz w:val="20"/>
                <w:szCs w:val="20"/>
              </w:rPr>
            </w:pP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sz w:val="20"/>
                <w:szCs w:val="20"/>
              </w:rPr>
            </w:pPr>
            <w:r>
              <w:rPr>
                <w:rFonts w:ascii="仿宋" w:hAnsi="仿宋" w:eastAsia="仿宋"/>
                <w:sz w:val="20"/>
                <w:szCs w:val="20"/>
              </w:rPr>
              <w:t>　</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sz w:val="20"/>
                <w:szCs w:val="20"/>
              </w:rPr>
            </w:pPr>
            <w:r>
              <w:rPr>
                <w:rFonts w:ascii="仿宋" w:hAnsi="仿宋" w:eastAsia="仿宋"/>
                <w:sz w:val="20"/>
                <w:szCs w:val="20"/>
              </w:rPr>
              <w:t>　</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left"/>
              <w:rPr>
                <w:rFonts w:eastAsia="仿宋_GB2312"/>
                <w:color w:val="000000"/>
                <w:sz w:val="20"/>
                <w:szCs w:val="20"/>
              </w:rPr>
            </w:pPr>
          </w:p>
        </w:tc>
        <w:tc>
          <w:tcPr>
            <w:tcW w:w="1080" w:type="dxa"/>
            <w:vMerge w:val="restart"/>
            <w:tcBorders>
              <w:top w:val="nil"/>
              <w:left w:val="nil"/>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时效指标</w:t>
            </w: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sz w:val="20"/>
                <w:szCs w:val="20"/>
              </w:rPr>
            </w:pPr>
            <w:r>
              <w:rPr>
                <w:rFonts w:hint="eastAsia" w:ascii="仿宋" w:hAnsi="仿宋" w:eastAsia="仿宋"/>
                <w:sz w:val="20"/>
                <w:szCs w:val="20"/>
              </w:rPr>
              <w:t>禁毒会议、活动按方案及时举行</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sz w:val="20"/>
                <w:szCs w:val="20"/>
              </w:rPr>
            </w:pPr>
            <w:r>
              <w:rPr>
                <w:rFonts w:hint="eastAsia" w:ascii="仿宋" w:hAnsi="仿宋" w:eastAsia="仿宋"/>
                <w:sz w:val="20"/>
                <w:szCs w:val="20"/>
              </w:rPr>
              <w:t>按时举行</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s="宋体"/>
                <w:sz w:val="20"/>
                <w:szCs w:val="20"/>
              </w:rPr>
            </w:pPr>
            <w:r>
              <w:rPr>
                <w:rFonts w:hint="eastAsia" w:ascii="仿宋" w:hAnsi="仿宋" w:eastAsia="仿宋" w:cs="宋体"/>
                <w:sz w:val="20"/>
                <w:szCs w:val="20"/>
              </w:rPr>
              <w:t>已按时举行</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5</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5</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center"/>
              <w:rPr>
                <w:rFonts w:eastAsia="仿宋_GB2312"/>
                <w:color w:val="000000"/>
                <w:sz w:val="20"/>
                <w:szCs w:val="20"/>
              </w:rPr>
            </w:pP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sz w:val="20"/>
                <w:szCs w:val="20"/>
              </w:rPr>
            </w:pPr>
            <w:r>
              <w:rPr>
                <w:rFonts w:hint="eastAsia" w:ascii="仿宋" w:hAnsi="仿宋" w:eastAsia="仿宋"/>
                <w:sz w:val="20"/>
                <w:szCs w:val="20"/>
              </w:rPr>
              <w:t>及时完成</w:t>
            </w:r>
            <w:r>
              <w:rPr>
                <w:rFonts w:hint="eastAsia" w:ascii="仿宋" w:hAnsi="仿宋" w:eastAsia="仿宋" w:cs="宋体"/>
                <w:sz w:val="20"/>
                <w:szCs w:val="20"/>
              </w:rPr>
              <w:t>禁毒</w:t>
            </w:r>
            <w:r>
              <w:rPr>
                <w:rFonts w:hint="eastAsia" w:ascii="仿宋" w:hAnsi="仿宋" w:eastAsia="仿宋"/>
                <w:sz w:val="20"/>
                <w:szCs w:val="20"/>
              </w:rPr>
              <w:t>各项工作</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sz w:val="20"/>
                <w:szCs w:val="20"/>
              </w:rPr>
            </w:pPr>
            <w:r>
              <w:rPr>
                <w:rFonts w:hint="eastAsia" w:ascii="仿宋" w:hAnsi="仿宋" w:eastAsia="仿宋"/>
                <w:sz w:val="20"/>
                <w:szCs w:val="20"/>
              </w:rPr>
              <w:t>按时完成</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s="宋体"/>
                <w:sz w:val="20"/>
                <w:szCs w:val="20"/>
              </w:rPr>
            </w:pPr>
            <w:r>
              <w:rPr>
                <w:rFonts w:hint="eastAsia" w:ascii="仿宋" w:hAnsi="仿宋" w:eastAsia="仿宋" w:cs="宋体"/>
                <w:sz w:val="20"/>
                <w:szCs w:val="20"/>
              </w:rPr>
              <w:t>已按时完成</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5</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5</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trHeight w:val="371" w:hRule="atLeast"/>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bottom w:val="single" w:color="auto" w:sz="4" w:space="0"/>
              <w:right w:val="single" w:color="auto" w:sz="4" w:space="0"/>
            </w:tcBorders>
            <w:noWrap/>
            <w:vAlign w:val="center"/>
          </w:tcPr>
          <w:p>
            <w:pPr>
              <w:widowControl/>
              <w:spacing w:line="260" w:lineRule="exact"/>
              <w:jc w:val="center"/>
              <w:rPr>
                <w:rFonts w:eastAsia="仿宋_GB2312"/>
                <w:color w:val="000000"/>
                <w:sz w:val="20"/>
                <w:szCs w:val="20"/>
              </w:rPr>
            </w:pP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left"/>
              <w:rPr>
                <w:rFonts w:eastAsia="仿宋_GB2312"/>
                <w:color w:val="000000"/>
                <w:sz w:val="20"/>
                <w:szCs w:val="20"/>
              </w:rPr>
            </w:pPr>
          </w:p>
        </w:tc>
        <w:tc>
          <w:tcPr>
            <w:tcW w:w="1080" w:type="dxa"/>
            <w:vMerge w:val="restart"/>
            <w:tcBorders>
              <w:top w:val="nil"/>
              <w:left w:val="nil"/>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成本指标</w:t>
            </w: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hint="eastAsia" w:ascii="仿宋" w:hAnsi="仿宋" w:eastAsia="仿宋"/>
                <w:sz w:val="20"/>
                <w:szCs w:val="20"/>
              </w:rPr>
              <w:t>完成禁毒会议、活动，成效显著</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hint="eastAsia" w:ascii="仿宋" w:hAnsi="仿宋" w:eastAsia="仿宋"/>
                <w:sz w:val="20"/>
                <w:szCs w:val="20"/>
              </w:rPr>
              <w:t>完成禁毒会议、活动，成效显著</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hint="eastAsia" w:ascii="仿宋" w:hAnsi="仿宋" w:eastAsia="仿宋" w:cs="新宋体"/>
                <w:color w:val="000000"/>
                <w:sz w:val="20"/>
                <w:szCs w:val="20"/>
              </w:rPr>
              <w:t>已完成，成效显著</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5</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5</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left"/>
              <w:rPr>
                <w:rFonts w:eastAsia="仿宋_GB2312"/>
                <w:color w:val="000000"/>
                <w:sz w:val="20"/>
                <w:szCs w:val="20"/>
              </w:rPr>
            </w:pP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hint="eastAsia" w:ascii="仿宋" w:hAnsi="仿宋" w:eastAsia="仿宋"/>
                <w:color w:val="000000"/>
                <w:sz w:val="20"/>
                <w:szCs w:val="20"/>
              </w:rPr>
              <w:t>完成禁毒各项工作，成效显著</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hint="eastAsia" w:ascii="仿宋" w:hAnsi="仿宋" w:eastAsia="仿宋"/>
                <w:color w:val="000000"/>
                <w:sz w:val="20"/>
                <w:szCs w:val="20"/>
              </w:rPr>
              <w:t>完成禁毒各项工作，成效显著</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hint="eastAsia" w:ascii="仿宋" w:hAnsi="仿宋" w:eastAsia="仿宋" w:cs="新宋体"/>
                <w:color w:val="000000"/>
                <w:sz w:val="20"/>
                <w:szCs w:val="20"/>
              </w:rPr>
              <w:t>已完成，成效显著</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5</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5</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trHeight w:val="275" w:hRule="atLeast"/>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1080" w:type="dxa"/>
            <w:vMerge w:val="continue"/>
            <w:tcBorders>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restart"/>
            <w:tcBorders>
              <w:top w:val="nil"/>
              <w:left w:val="nil"/>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效益指标</w:t>
            </w:r>
          </w:p>
          <w:p>
            <w:pPr>
              <w:widowControl/>
              <w:spacing w:line="260" w:lineRule="exact"/>
              <w:jc w:val="left"/>
              <w:rPr>
                <w:rFonts w:eastAsia="仿宋_GB2312"/>
                <w:color w:val="000000"/>
                <w:sz w:val="20"/>
                <w:szCs w:val="20"/>
              </w:rPr>
            </w:pPr>
            <w:r>
              <w:rPr>
                <w:rFonts w:eastAsia="仿宋_GB2312"/>
                <w:color w:val="000000"/>
                <w:sz w:val="20"/>
                <w:szCs w:val="20"/>
              </w:rPr>
              <w:t>（30分）</w:t>
            </w:r>
          </w:p>
        </w:tc>
        <w:tc>
          <w:tcPr>
            <w:tcW w:w="1080" w:type="dxa"/>
            <w:vMerge w:val="restart"/>
            <w:tcBorders>
              <w:top w:val="nil"/>
              <w:left w:val="nil"/>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经济效</w:t>
            </w:r>
          </w:p>
          <w:p>
            <w:pPr>
              <w:widowControl/>
              <w:spacing w:line="260" w:lineRule="exact"/>
              <w:jc w:val="center"/>
              <w:rPr>
                <w:rFonts w:eastAsia="仿宋_GB2312"/>
                <w:color w:val="000000"/>
                <w:sz w:val="20"/>
                <w:szCs w:val="20"/>
              </w:rPr>
            </w:pPr>
            <w:r>
              <w:rPr>
                <w:rFonts w:eastAsia="仿宋_GB2312"/>
                <w:color w:val="000000"/>
                <w:sz w:val="20"/>
                <w:szCs w:val="20"/>
              </w:rPr>
              <w:t>益指标</w:t>
            </w: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hint="eastAsia" w:ascii="仿宋" w:hAnsi="仿宋" w:eastAsia="仿宋"/>
                <w:color w:val="000000"/>
                <w:sz w:val="20"/>
                <w:szCs w:val="20"/>
              </w:rPr>
              <w:t>经济效益提升</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hint="eastAsia" w:ascii="仿宋" w:hAnsi="仿宋" w:eastAsia="仿宋"/>
                <w:color w:val="000000"/>
                <w:sz w:val="20"/>
                <w:szCs w:val="20"/>
              </w:rPr>
              <w:t>有所提升</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hint="eastAsia" w:ascii="仿宋" w:hAnsi="仿宋" w:eastAsia="仿宋"/>
                <w:color w:val="000000"/>
                <w:sz w:val="20"/>
                <w:szCs w:val="20"/>
              </w:rPr>
              <w:t>有所提升</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9</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9</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trHeight w:val="445" w:hRule="atLeast"/>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center"/>
              <w:rPr>
                <w:rFonts w:eastAsia="仿宋_GB2312"/>
                <w:color w:val="000000"/>
                <w:sz w:val="20"/>
                <w:szCs w:val="20"/>
              </w:rPr>
            </w:pP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trHeight w:val="408" w:hRule="atLeast"/>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bottom w:val="single" w:color="auto" w:sz="4" w:space="0"/>
              <w:right w:val="single" w:color="auto" w:sz="4" w:space="0"/>
            </w:tcBorders>
            <w:noWrap/>
            <w:vAlign w:val="center"/>
          </w:tcPr>
          <w:p>
            <w:pPr>
              <w:widowControl/>
              <w:spacing w:line="260" w:lineRule="exact"/>
              <w:jc w:val="center"/>
              <w:rPr>
                <w:rFonts w:eastAsia="仿宋_GB2312"/>
                <w:color w:val="000000"/>
                <w:sz w:val="20"/>
                <w:szCs w:val="20"/>
              </w:rPr>
            </w:pP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left"/>
              <w:rPr>
                <w:rFonts w:eastAsia="仿宋_GB2312"/>
                <w:color w:val="000000"/>
                <w:sz w:val="20"/>
                <w:szCs w:val="20"/>
              </w:rPr>
            </w:pPr>
          </w:p>
        </w:tc>
        <w:tc>
          <w:tcPr>
            <w:tcW w:w="1080" w:type="dxa"/>
            <w:vMerge w:val="restart"/>
            <w:tcBorders>
              <w:top w:val="nil"/>
              <w:left w:val="nil"/>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社会效</w:t>
            </w:r>
          </w:p>
          <w:p>
            <w:pPr>
              <w:widowControl/>
              <w:spacing w:line="260" w:lineRule="exact"/>
              <w:jc w:val="center"/>
              <w:rPr>
                <w:rFonts w:eastAsia="仿宋_GB2312"/>
                <w:color w:val="000000"/>
                <w:sz w:val="20"/>
                <w:szCs w:val="20"/>
              </w:rPr>
            </w:pPr>
            <w:r>
              <w:rPr>
                <w:rFonts w:eastAsia="仿宋_GB2312"/>
                <w:color w:val="000000"/>
                <w:sz w:val="20"/>
                <w:szCs w:val="20"/>
              </w:rPr>
              <w:t>益指标</w:t>
            </w: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hint="eastAsia" w:ascii="仿宋" w:hAnsi="仿宋" w:eastAsia="仿宋"/>
                <w:color w:val="000000"/>
                <w:sz w:val="20"/>
                <w:szCs w:val="20"/>
              </w:rPr>
              <w:t>社会效益提升</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hint="eastAsia" w:ascii="仿宋" w:hAnsi="仿宋" w:eastAsia="仿宋"/>
                <w:color w:val="000000"/>
                <w:sz w:val="20"/>
                <w:szCs w:val="20"/>
              </w:rPr>
              <w:t>有所提升</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hint="eastAsia" w:ascii="仿宋" w:hAnsi="仿宋" w:eastAsia="仿宋"/>
                <w:color w:val="000000"/>
                <w:sz w:val="20"/>
                <w:szCs w:val="20"/>
              </w:rPr>
              <w:t>有所提升</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7</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7</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center"/>
              <w:rPr>
                <w:rFonts w:eastAsia="仿宋_GB2312"/>
                <w:color w:val="000000"/>
                <w:sz w:val="20"/>
                <w:szCs w:val="20"/>
              </w:rPr>
            </w:pP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bottom w:val="single" w:color="auto" w:sz="4" w:space="0"/>
              <w:right w:val="single" w:color="auto" w:sz="4" w:space="0"/>
            </w:tcBorders>
            <w:noWrap/>
            <w:vAlign w:val="center"/>
          </w:tcPr>
          <w:p>
            <w:pPr>
              <w:widowControl/>
              <w:spacing w:line="260" w:lineRule="exact"/>
              <w:jc w:val="center"/>
              <w:rPr>
                <w:rFonts w:eastAsia="仿宋_GB2312"/>
                <w:color w:val="000000"/>
                <w:sz w:val="20"/>
                <w:szCs w:val="20"/>
              </w:rPr>
            </w:pP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left"/>
              <w:rPr>
                <w:rFonts w:eastAsia="仿宋_GB2312"/>
                <w:color w:val="000000"/>
                <w:sz w:val="20"/>
                <w:szCs w:val="20"/>
              </w:rPr>
            </w:pPr>
          </w:p>
        </w:tc>
        <w:tc>
          <w:tcPr>
            <w:tcW w:w="1080" w:type="dxa"/>
            <w:vMerge w:val="restart"/>
            <w:tcBorders>
              <w:top w:val="nil"/>
              <w:left w:val="nil"/>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生态效</w:t>
            </w:r>
          </w:p>
          <w:p>
            <w:pPr>
              <w:widowControl/>
              <w:spacing w:line="260" w:lineRule="exact"/>
              <w:jc w:val="center"/>
              <w:rPr>
                <w:rFonts w:eastAsia="仿宋_GB2312"/>
                <w:color w:val="000000"/>
                <w:sz w:val="20"/>
                <w:szCs w:val="20"/>
              </w:rPr>
            </w:pPr>
            <w:r>
              <w:rPr>
                <w:rFonts w:eastAsia="仿宋_GB2312"/>
                <w:color w:val="000000"/>
                <w:sz w:val="20"/>
                <w:szCs w:val="20"/>
              </w:rPr>
              <w:t>益指标</w:t>
            </w: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hint="eastAsia" w:ascii="仿宋" w:hAnsi="仿宋" w:eastAsia="仿宋"/>
                <w:color w:val="000000"/>
                <w:sz w:val="20"/>
                <w:szCs w:val="20"/>
              </w:rPr>
              <w:t>满足生态需求</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hint="eastAsia" w:ascii="仿宋" w:hAnsi="仿宋" w:eastAsia="仿宋"/>
                <w:color w:val="000000"/>
                <w:sz w:val="20"/>
                <w:szCs w:val="20"/>
              </w:rPr>
              <w:t>满足生态需求</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hint="eastAsia" w:ascii="仿宋" w:hAnsi="仿宋" w:eastAsia="仿宋"/>
                <w:color w:val="000000"/>
                <w:sz w:val="20"/>
                <w:szCs w:val="20"/>
              </w:rPr>
              <w:t>生态需求得到满足</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7</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7</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left"/>
              <w:rPr>
                <w:rFonts w:eastAsia="仿宋_GB2312"/>
                <w:color w:val="000000"/>
                <w:sz w:val="20"/>
                <w:szCs w:val="20"/>
              </w:rPr>
            </w:pP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widowControl/>
              <w:spacing w:line="260" w:lineRule="exact"/>
              <w:jc w:val="left"/>
              <w:rPr>
                <w:rFonts w:eastAsia="仿宋_GB2312"/>
                <w:color w:val="000000"/>
                <w:sz w:val="20"/>
                <w:szCs w:val="20"/>
              </w:rPr>
            </w:pPr>
          </w:p>
        </w:tc>
        <w:tc>
          <w:tcPr>
            <w:tcW w:w="1080" w:type="dxa"/>
            <w:vMerge w:val="continue"/>
            <w:tcBorders>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ign w:val="center"/>
          </w:tcPr>
          <w:p>
            <w:pPr>
              <w:widowControl/>
              <w:spacing w:line="260" w:lineRule="exact"/>
              <w:jc w:val="center"/>
              <w:rPr>
                <w:rFonts w:eastAsia="仿宋_GB2312"/>
                <w:color w:val="000000"/>
                <w:sz w:val="20"/>
                <w:szCs w:val="20"/>
              </w:rPr>
            </w:pPr>
          </w:p>
        </w:tc>
        <w:tc>
          <w:tcPr>
            <w:tcW w:w="1080" w:type="dxa"/>
            <w:vMerge w:val="continue"/>
            <w:tcBorders>
              <w:left w:val="nil"/>
              <w:right w:val="single" w:color="auto" w:sz="4" w:space="0"/>
            </w:tcBorders>
            <w:noWrap/>
            <w:vAlign w:val="center"/>
          </w:tcPr>
          <w:p>
            <w:pPr>
              <w:widowControl/>
              <w:spacing w:line="260" w:lineRule="exact"/>
              <w:jc w:val="left"/>
              <w:rPr>
                <w:rFonts w:eastAsia="仿宋_GB2312"/>
                <w:color w:val="000000"/>
                <w:sz w:val="20"/>
                <w:szCs w:val="20"/>
              </w:rPr>
            </w:pPr>
          </w:p>
        </w:tc>
        <w:tc>
          <w:tcPr>
            <w:tcW w:w="1080" w:type="dxa"/>
            <w:vMerge w:val="restart"/>
            <w:tcBorders>
              <w:top w:val="single" w:color="auto" w:sz="4" w:space="0"/>
              <w:left w:val="single" w:color="auto" w:sz="4" w:space="0"/>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可持续</w:t>
            </w:r>
          </w:p>
          <w:p>
            <w:pPr>
              <w:widowControl/>
              <w:spacing w:line="260" w:lineRule="exact"/>
              <w:jc w:val="center"/>
              <w:rPr>
                <w:rFonts w:eastAsia="仿宋_GB2312"/>
                <w:color w:val="000000"/>
                <w:sz w:val="20"/>
                <w:szCs w:val="20"/>
              </w:rPr>
            </w:pPr>
            <w:r>
              <w:rPr>
                <w:rFonts w:eastAsia="仿宋_GB2312"/>
                <w:color w:val="000000"/>
                <w:sz w:val="20"/>
                <w:szCs w:val="20"/>
              </w:rPr>
              <w:t>影响指标</w:t>
            </w:r>
          </w:p>
        </w:tc>
        <w:tc>
          <w:tcPr>
            <w:tcW w:w="1224" w:type="dxa"/>
            <w:tcBorders>
              <w:top w:val="single" w:color="auto" w:sz="4" w:space="0"/>
              <w:left w:val="single" w:color="auto" w:sz="4" w:space="0"/>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hint="eastAsia" w:ascii="仿宋" w:hAnsi="仿宋" w:eastAsia="仿宋"/>
                <w:color w:val="000000"/>
                <w:sz w:val="20"/>
                <w:szCs w:val="20"/>
              </w:rPr>
              <w:t>产生可持续性社会正能量影响</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hint="eastAsia" w:ascii="仿宋" w:hAnsi="仿宋" w:eastAsia="仿宋"/>
                <w:color w:val="000000"/>
                <w:sz w:val="20"/>
                <w:szCs w:val="20"/>
              </w:rPr>
              <w:t>产生可持续性社会正能量影响</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hint="eastAsia" w:ascii="仿宋" w:hAnsi="仿宋" w:eastAsia="仿宋"/>
                <w:color w:val="000000"/>
                <w:sz w:val="20"/>
                <w:szCs w:val="20"/>
              </w:rPr>
              <w:t>产生可持续性社会正能量影响</w:t>
            </w:r>
          </w:p>
        </w:tc>
        <w:tc>
          <w:tcPr>
            <w:tcW w:w="828" w:type="dxa"/>
            <w:tcBorders>
              <w:top w:val="single" w:color="auto" w:sz="4" w:space="0"/>
              <w:left w:val="single" w:color="auto" w:sz="4" w:space="0"/>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7</w:t>
            </w:r>
          </w:p>
        </w:tc>
        <w:tc>
          <w:tcPr>
            <w:tcW w:w="873" w:type="dxa"/>
            <w:tcBorders>
              <w:top w:val="single" w:color="auto" w:sz="4" w:space="0"/>
              <w:left w:val="single" w:color="auto" w:sz="4" w:space="0"/>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7</w:t>
            </w:r>
          </w:p>
        </w:tc>
        <w:tc>
          <w:tcPr>
            <w:tcW w:w="1418" w:type="dxa"/>
            <w:tcBorders>
              <w:top w:val="single" w:color="auto" w:sz="4" w:space="0"/>
              <w:left w:val="single" w:color="auto" w:sz="4" w:space="0"/>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224" w:type="dxa"/>
            <w:tcBorders>
              <w:top w:val="single" w:color="auto" w:sz="4" w:space="0"/>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p>
        </w:tc>
        <w:tc>
          <w:tcPr>
            <w:tcW w:w="1134" w:type="dxa"/>
            <w:tcBorders>
              <w:top w:val="single" w:color="auto" w:sz="4" w:space="0"/>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p>
        </w:tc>
        <w:tc>
          <w:tcPr>
            <w:tcW w:w="1134" w:type="dxa"/>
            <w:tcBorders>
              <w:top w:val="single" w:color="auto" w:sz="4" w:space="0"/>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p>
        </w:tc>
        <w:tc>
          <w:tcPr>
            <w:tcW w:w="828" w:type="dxa"/>
            <w:tcBorders>
              <w:top w:val="single" w:color="auto" w:sz="4" w:space="0"/>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873" w:type="dxa"/>
            <w:tcBorders>
              <w:top w:val="single" w:color="auto" w:sz="4" w:space="0"/>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1418" w:type="dxa"/>
            <w:tcBorders>
              <w:top w:val="single" w:color="auto" w:sz="4" w:space="0"/>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1080" w:type="dxa"/>
            <w:vMerge w:val="continue"/>
            <w:tcBorders>
              <w:left w:val="single" w:color="auto" w:sz="4" w:space="0"/>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restart"/>
            <w:tcBorders>
              <w:top w:val="nil"/>
              <w:left w:val="nil"/>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满意度</w:t>
            </w:r>
          </w:p>
          <w:p>
            <w:pPr>
              <w:widowControl/>
              <w:spacing w:line="260" w:lineRule="exact"/>
              <w:jc w:val="center"/>
              <w:rPr>
                <w:rFonts w:eastAsia="仿宋_GB2312"/>
                <w:color w:val="000000"/>
                <w:sz w:val="20"/>
                <w:szCs w:val="20"/>
              </w:rPr>
            </w:pPr>
            <w:r>
              <w:rPr>
                <w:rFonts w:eastAsia="仿宋_GB2312"/>
                <w:color w:val="000000"/>
                <w:sz w:val="20"/>
                <w:szCs w:val="20"/>
              </w:rPr>
              <w:t>指标</w:t>
            </w:r>
          </w:p>
          <w:p>
            <w:pPr>
              <w:widowControl/>
              <w:spacing w:line="260" w:lineRule="exact"/>
              <w:jc w:val="center"/>
              <w:rPr>
                <w:rFonts w:eastAsia="仿宋_GB2312"/>
                <w:color w:val="000000"/>
                <w:sz w:val="20"/>
                <w:szCs w:val="20"/>
              </w:rPr>
            </w:pPr>
            <w:r>
              <w:rPr>
                <w:rFonts w:eastAsia="仿宋_GB2312"/>
                <w:color w:val="000000"/>
                <w:sz w:val="20"/>
                <w:szCs w:val="20"/>
              </w:rPr>
              <w:t>（10分）</w:t>
            </w:r>
          </w:p>
        </w:tc>
        <w:tc>
          <w:tcPr>
            <w:tcW w:w="1080" w:type="dxa"/>
            <w:vMerge w:val="restart"/>
            <w:tcBorders>
              <w:top w:val="nil"/>
              <w:left w:val="nil"/>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服务对象满意度</w:t>
            </w:r>
          </w:p>
          <w:p>
            <w:pPr>
              <w:widowControl/>
              <w:spacing w:line="260" w:lineRule="exact"/>
              <w:jc w:val="center"/>
              <w:rPr>
                <w:rFonts w:eastAsia="仿宋_GB2312"/>
                <w:color w:val="000000"/>
                <w:sz w:val="20"/>
                <w:szCs w:val="20"/>
              </w:rPr>
            </w:pPr>
            <w:r>
              <w:rPr>
                <w:rFonts w:eastAsia="仿宋_GB2312"/>
                <w:color w:val="000000"/>
                <w:sz w:val="20"/>
                <w:szCs w:val="20"/>
              </w:rPr>
              <w:t>指标</w:t>
            </w: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hint="eastAsia" w:ascii="仿宋" w:hAnsi="仿宋" w:eastAsia="仿宋" w:cs="新宋体"/>
                <w:color w:val="000000"/>
                <w:sz w:val="20"/>
                <w:szCs w:val="20"/>
              </w:rPr>
              <w:t>向社会公众提供禁毒法律法规及相关政策的宣传</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hint="eastAsia" w:ascii="仿宋" w:hAnsi="仿宋" w:eastAsia="仿宋" w:cs="新宋体"/>
                <w:color w:val="000000"/>
                <w:sz w:val="20"/>
                <w:szCs w:val="20"/>
              </w:rPr>
              <w:t>服务对象满意度≥90%。</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hint="eastAsia" w:ascii="仿宋" w:hAnsi="仿宋" w:eastAsia="仿宋"/>
                <w:color w:val="000000"/>
                <w:sz w:val="20"/>
                <w:szCs w:val="20"/>
              </w:rPr>
              <w:t>满意度95%</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10</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10</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left"/>
              <w:rPr>
                <w:rFonts w:eastAsia="仿宋_GB2312"/>
                <w:color w:val="000000"/>
                <w:sz w:val="20"/>
                <w:szCs w:val="20"/>
              </w:rPr>
            </w:pP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1080" w:type="dxa"/>
            <w:vMerge w:val="continue"/>
            <w:tcBorders>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1080" w:type="dxa"/>
            <w:vMerge w:val="continue"/>
            <w:tcBorders>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jc w:val="center"/>
        </w:trPr>
        <w:tc>
          <w:tcPr>
            <w:tcW w:w="6732" w:type="dxa"/>
            <w:gridSpan w:val="6"/>
            <w:tcBorders>
              <w:top w:val="single" w:color="auto" w:sz="4" w:space="0"/>
              <w:left w:val="single" w:color="auto" w:sz="4" w:space="0"/>
              <w:bottom w:val="single" w:color="auto" w:sz="4" w:space="0"/>
              <w:right w:val="single" w:color="000000"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总分</w:t>
            </w:r>
          </w:p>
        </w:tc>
        <w:tc>
          <w:tcPr>
            <w:tcW w:w="828" w:type="dxa"/>
            <w:tcBorders>
              <w:top w:val="nil"/>
              <w:left w:val="nil"/>
              <w:bottom w:val="single" w:color="auto" w:sz="4" w:space="0"/>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100</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100</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bl>
    <w:p>
      <w:pPr>
        <w:rPr>
          <w:rFonts w:ascii="新宋体" w:hAnsi="新宋体" w:eastAsia="新宋体" w:cs="新宋体"/>
          <w:szCs w:val="21"/>
        </w:rPr>
      </w:pPr>
      <w:r>
        <w:rPr>
          <w:rFonts w:hint="eastAsia" w:ascii="新宋体" w:hAnsi="新宋体" w:eastAsia="新宋体" w:cs="新宋体"/>
          <w:szCs w:val="21"/>
        </w:rPr>
        <w:t>备注：一个一级项目支出一张表。如，业务工作经费，运行维护经费，XX项目资金…各一张表。</w:t>
      </w:r>
    </w:p>
    <w:p>
      <w:pPr>
        <w:pStyle w:val="2"/>
      </w:pPr>
    </w:p>
    <w:p/>
    <w:p>
      <w:pPr>
        <w:jc w:val="left"/>
        <w:rPr>
          <w:rFonts w:ascii="新宋体" w:hAnsi="新宋体" w:eastAsia="新宋体" w:cs="新宋体"/>
          <w:szCs w:val="21"/>
        </w:rPr>
      </w:pPr>
      <w:r>
        <w:rPr>
          <w:rFonts w:hint="eastAsia" w:ascii="新宋体" w:hAnsi="新宋体" w:eastAsia="新宋体" w:cs="新宋体"/>
          <w:szCs w:val="21"/>
        </w:rPr>
        <w:t>填表人：赵梦雅 填报日期：2023年7月14日 联系电话：18390158809单位负责人签字：</w:t>
      </w:r>
    </w:p>
    <w:p>
      <w:pPr>
        <w:pStyle w:val="2"/>
      </w:pPr>
    </w:p>
    <w:p/>
    <w:p>
      <w:pPr>
        <w:pStyle w:val="2"/>
      </w:pPr>
    </w:p>
    <w:p/>
    <w:p>
      <w:pPr>
        <w:pStyle w:val="2"/>
      </w:pPr>
    </w:p>
    <w:p/>
    <w:p>
      <w:pPr>
        <w:pStyle w:val="2"/>
      </w:pPr>
    </w:p>
    <w:p/>
    <w:p>
      <w:pPr>
        <w:pStyle w:val="2"/>
      </w:pPr>
    </w:p>
    <w:p/>
    <w:p>
      <w:pPr>
        <w:pStyle w:val="2"/>
      </w:pPr>
    </w:p>
    <w:p/>
    <w:p>
      <w:pPr>
        <w:pStyle w:val="2"/>
      </w:pPr>
    </w:p>
    <w:p/>
    <w:p>
      <w:pPr>
        <w:pStyle w:val="2"/>
      </w:pPr>
    </w:p>
    <w:p>
      <w:pPr>
        <w:pStyle w:val="2"/>
      </w:pPr>
    </w:p>
    <w:p>
      <w:pPr>
        <w:rPr>
          <w:rFonts w:ascii="黑体" w:hAnsi="黑体" w:eastAsia="黑体" w:cs="黑体"/>
          <w:sz w:val="32"/>
          <w:szCs w:val="32"/>
        </w:rPr>
      </w:pPr>
      <w:r>
        <w:rPr>
          <w:rFonts w:hint="eastAsia" w:ascii="黑体" w:hAnsi="黑体" w:eastAsia="黑体" w:cs="黑体"/>
          <w:sz w:val="32"/>
          <w:szCs w:val="32"/>
        </w:rPr>
        <w:t>附件6</w:t>
      </w:r>
    </w:p>
    <w:p>
      <w:pPr>
        <w:jc w:val="center"/>
        <w:rPr>
          <w:rFonts w:eastAsia="方正小标宋_GBK"/>
          <w:sz w:val="52"/>
          <w:szCs w:val="52"/>
        </w:rPr>
      </w:pPr>
    </w:p>
    <w:p>
      <w:pPr>
        <w:jc w:val="center"/>
        <w:rPr>
          <w:rFonts w:ascii="微软雅黑" w:hAnsi="微软雅黑" w:eastAsia="微软雅黑" w:cs="微软雅黑"/>
          <w:sz w:val="44"/>
          <w:szCs w:val="44"/>
        </w:rPr>
      </w:pPr>
      <w:r>
        <w:rPr>
          <w:rFonts w:hint="eastAsia" w:ascii="微软雅黑" w:hAnsi="微软雅黑" w:eastAsia="微软雅黑" w:cs="微软雅黑"/>
          <w:sz w:val="44"/>
          <w:szCs w:val="44"/>
        </w:rPr>
        <w:t>2022年度华容县人民政府办公室部门（单位）禁毒项目支出绩效自评报告</w:t>
      </w:r>
    </w:p>
    <w:p>
      <w:pPr>
        <w:jc w:val="center"/>
        <w:rPr>
          <w:rFonts w:eastAsia="方正小标宋_GBK"/>
          <w:b/>
          <w:sz w:val="52"/>
          <w:szCs w:val="52"/>
        </w:rPr>
      </w:pPr>
    </w:p>
    <w:p>
      <w:pPr>
        <w:jc w:val="center"/>
        <w:rPr>
          <w:rFonts w:eastAsia="楷体_GB2312"/>
          <w:b/>
          <w:sz w:val="32"/>
          <w:szCs w:val="32"/>
        </w:rPr>
      </w:pPr>
    </w:p>
    <w:p>
      <w:pPr>
        <w:jc w:val="center"/>
        <w:rPr>
          <w:rFonts w:eastAsia="楷体_GB2312"/>
          <w:b/>
          <w:sz w:val="32"/>
          <w:szCs w:val="32"/>
        </w:rPr>
      </w:pPr>
    </w:p>
    <w:p>
      <w:pPr>
        <w:jc w:val="center"/>
        <w:rPr>
          <w:rFonts w:eastAsia="楷体_GB2312"/>
          <w:b/>
          <w:sz w:val="32"/>
          <w:szCs w:val="32"/>
        </w:rPr>
      </w:pPr>
    </w:p>
    <w:p>
      <w:pPr>
        <w:jc w:val="center"/>
        <w:rPr>
          <w:rFonts w:eastAsia="楷体_GB2312"/>
          <w:b/>
          <w:sz w:val="32"/>
          <w:szCs w:val="32"/>
        </w:rPr>
      </w:pPr>
    </w:p>
    <w:p>
      <w:pPr>
        <w:jc w:val="center"/>
        <w:rPr>
          <w:rFonts w:eastAsia="楷体_GB2312"/>
          <w:b/>
          <w:sz w:val="32"/>
          <w:szCs w:val="32"/>
        </w:rPr>
      </w:pPr>
    </w:p>
    <w:p>
      <w:pPr>
        <w:jc w:val="center"/>
        <w:rPr>
          <w:rFonts w:eastAsia="楷体_GB2312"/>
          <w:b/>
          <w:sz w:val="32"/>
          <w:szCs w:val="32"/>
        </w:rPr>
      </w:pPr>
    </w:p>
    <w:p>
      <w:pPr>
        <w:jc w:val="center"/>
        <w:rPr>
          <w:rFonts w:eastAsia="黑体"/>
          <w:sz w:val="32"/>
          <w:szCs w:val="32"/>
        </w:rPr>
      </w:pPr>
    </w:p>
    <w:p>
      <w:pPr>
        <w:jc w:val="center"/>
        <w:rPr>
          <w:rFonts w:eastAsia="黑体"/>
          <w:sz w:val="32"/>
          <w:szCs w:val="32"/>
        </w:rPr>
      </w:pPr>
    </w:p>
    <w:p>
      <w:pPr>
        <w:rPr>
          <w:rFonts w:eastAsia="黑体"/>
          <w:sz w:val="32"/>
          <w:szCs w:val="32"/>
        </w:rPr>
      </w:pPr>
    </w:p>
    <w:p>
      <w:pPr>
        <w:rPr>
          <w:rFonts w:eastAsia="黑体"/>
          <w:sz w:val="32"/>
          <w:szCs w:val="32"/>
        </w:rPr>
      </w:pPr>
    </w:p>
    <w:p>
      <w:pPr>
        <w:spacing w:line="600" w:lineRule="exact"/>
        <w:jc w:val="center"/>
        <w:rPr>
          <w:rFonts w:eastAsia="仿宋_GB2312"/>
          <w:sz w:val="32"/>
          <w:szCs w:val="32"/>
          <w:u w:val="single"/>
        </w:rPr>
      </w:pPr>
      <w:r>
        <w:rPr>
          <w:rFonts w:eastAsia="仿宋_GB2312"/>
          <w:sz w:val="32"/>
          <w:szCs w:val="32"/>
        </w:rPr>
        <w:t>部门（单位）名称：</w:t>
      </w:r>
      <w:r>
        <w:rPr>
          <w:rFonts w:hint="eastAsia" w:ascii="仿宋" w:hAnsi="仿宋" w:eastAsia="仿宋"/>
          <w:sz w:val="32"/>
          <w:szCs w:val="32"/>
          <w:u w:val="single"/>
        </w:rPr>
        <w:t>华容县人民政府办公室</w:t>
      </w:r>
    </w:p>
    <w:p>
      <w:pPr>
        <w:spacing w:line="600" w:lineRule="exact"/>
        <w:jc w:val="center"/>
        <w:rPr>
          <w:rFonts w:eastAsia="楷体_GB2312"/>
          <w:sz w:val="32"/>
          <w:szCs w:val="32"/>
        </w:rPr>
      </w:pPr>
      <w:r>
        <w:rPr>
          <w:rFonts w:hint="eastAsia" w:ascii="宋体" w:hAnsi="宋体" w:cs="宋体"/>
          <w:sz w:val="32"/>
          <w:szCs w:val="32"/>
        </w:rPr>
        <w:t>2023</w:t>
      </w:r>
      <w:r>
        <w:rPr>
          <w:rFonts w:eastAsia="楷体_GB2312"/>
          <w:sz w:val="32"/>
          <w:szCs w:val="32"/>
        </w:rPr>
        <w:t>年</w:t>
      </w:r>
      <w:r>
        <w:rPr>
          <w:rFonts w:hint="eastAsia" w:eastAsia="楷体_GB2312"/>
          <w:sz w:val="32"/>
          <w:szCs w:val="32"/>
        </w:rPr>
        <w:t>7</w:t>
      </w:r>
      <w:r>
        <w:rPr>
          <w:rFonts w:eastAsia="楷体_GB2312"/>
          <w:sz w:val="32"/>
          <w:szCs w:val="32"/>
        </w:rPr>
        <w:t>月</w:t>
      </w:r>
      <w:r>
        <w:rPr>
          <w:rFonts w:hint="eastAsia" w:eastAsia="楷体_GB2312"/>
          <w:sz w:val="32"/>
          <w:szCs w:val="32"/>
        </w:rPr>
        <w:t>14</w:t>
      </w:r>
      <w:r>
        <w:rPr>
          <w:rFonts w:eastAsia="楷体_GB2312"/>
          <w:sz w:val="32"/>
          <w:szCs w:val="32"/>
        </w:rPr>
        <w:t>日</w:t>
      </w:r>
    </w:p>
    <w:p>
      <w:pPr>
        <w:jc w:val="center"/>
        <w:rPr>
          <w:rFonts w:eastAsia="仿宋_GB2312"/>
          <w:sz w:val="32"/>
          <w:szCs w:val="32"/>
        </w:rPr>
      </w:pPr>
    </w:p>
    <w:p>
      <w:pPr>
        <w:spacing w:line="610" w:lineRule="exact"/>
        <w:jc w:val="center"/>
        <w:rPr>
          <w:rFonts w:ascii="微软雅黑" w:hAnsi="微软雅黑" w:eastAsia="微软雅黑" w:cs="微软雅黑"/>
          <w:sz w:val="44"/>
          <w:szCs w:val="44"/>
        </w:rPr>
      </w:pPr>
      <w:r>
        <w:rPr>
          <w:rFonts w:eastAsia="仿宋_GB2312"/>
          <w:sz w:val="32"/>
          <w:szCs w:val="32"/>
        </w:rPr>
        <w:br w:type="page"/>
      </w:r>
      <w:r>
        <w:rPr>
          <w:rFonts w:hint="eastAsia" w:ascii="微软雅黑" w:hAnsi="微软雅黑" w:eastAsia="微软雅黑" w:cs="微软雅黑"/>
          <w:sz w:val="44"/>
          <w:szCs w:val="44"/>
        </w:rPr>
        <w:t>2022年度容县人民政府办公室部门（单位）禁毒项目支出绩效自评报告</w:t>
      </w:r>
    </w:p>
    <w:p>
      <w:pPr>
        <w:spacing w:line="610" w:lineRule="exact"/>
        <w:ind w:firstLine="600" w:firstLineChars="200"/>
        <w:rPr>
          <w:rFonts w:ascii="黑体" w:hAnsi="黑体" w:eastAsia="黑体" w:cs="黑体"/>
          <w:sz w:val="30"/>
          <w:szCs w:val="30"/>
        </w:rPr>
      </w:pPr>
    </w:p>
    <w:p>
      <w:pPr>
        <w:spacing w:line="610" w:lineRule="exact"/>
        <w:ind w:firstLine="600" w:firstLineChars="200"/>
        <w:rPr>
          <w:rFonts w:ascii="黑体" w:hAnsi="黑体" w:eastAsia="黑体" w:cs="黑体"/>
          <w:sz w:val="30"/>
          <w:szCs w:val="30"/>
        </w:rPr>
      </w:pPr>
      <w:r>
        <w:rPr>
          <w:rFonts w:hint="eastAsia" w:ascii="黑体" w:hAnsi="黑体" w:eastAsia="黑体" w:cs="黑体"/>
          <w:sz w:val="30"/>
          <w:szCs w:val="30"/>
        </w:rPr>
        <w:t>一、基本情况</w:t>
      </w:r>
    </w:p>
    <w:p>
      <w:pPr>
        <w:spacing w:line="610" w:lineRule="exact"/>
        <w:ind w:firstLine="600" w:firstLineChars="200"/>
        <w:rPr>
          <w:rFonts w:eastAsia="仿宋_GB2312"/>
          <w:sz w:val="30"/>
          <w:szCs w:val="30"/>
        </w:rPr>
      </w:pPr>
      <w:r>
        <w:rPr>
          <w:rFonts w:hint="eastAsia" w:eastAsia="仿宋_GB2312"/>
          <w:sz w:val="30"/>
          <w:szCs w:val="30"/>
        </w:rPr>
        <w:t>(一)项目概况。</w:t>
      </w:r>
    </w:p>
    <w:p>
      <w:pPr>
        <w:pStyle w:val="2"/>
        <w:spacing w:line="560" w:lineRule="exact"/>
        <w:ind w:firstLine="600" w:firstLineChars="200"/>
        <w:rPr>
          <w:rFonts w:ascii="仿宋" w:hAnsi="仿宋" w:eastAsia="仿宋"/>
          <w:sz w:val="30"/>
          <w:szCs w:val="30"/>
        </w:rPr>
      </w:pPr>
      <w:r>
        <w:rPr>
          <w:rFonts w:hint="eastAsia" w:ascii="仿宋" w:hAnsi="仿宋" w:eastAsia="仿宋"/>
          <w:sz w:val="30"/>
          <w:szCs w:val="30"/>
        </w:rPr>
        <w:t>禁毒办主要承担全县毒品预防教育，吸毒人员、重点行业从业人员、重点场所涉毒检测，吸毒人员强制戒毒、自愿戒毒，无毒村场（社区）、禁毒示范学校创建，吸毒家庭后续照管，禁毒工作业务指导、培训，责任制落实调度、督导等工作。我县被省禁毒办列为一类高风险地区，考核指标多、工作任务重，为全面压实禁毒工作责任，确保全县毒情形势持续好转，2022年全年禁毒项目支出55万元。</w:t>
      </w:r>
    </w:p>
    <w:p>
      <w:pPr>
        <w:spacing w:line="610" w:lineRule="exact"/>
        <w:ind w:firstLine="600" w:firstLineChars="200"/>
        <w:rPr>
          <w:rFonts w:eastAsia="仿宋_GB2312"/>
          <w:sz w:val="30"/>
          <w:szCs w:val="30"/>
        </w:rPr>
      </w:pPr>
      <w:r>
        <w:rPr>
          <w:rFonts w:hint="eastAsia" w:eastAsia="仿宋_GB2312"/>
          <w:sz w:val="30"/>
          <w:szCs w:val="30"/>
        </w:rPr>
        <w:t>(二)项目绩效目标。</w:t>
      </w:r>
    </w:p>
    <w:p>
      <w:pPr>
        <w:spacing w:line="560" w:lineRule="exact"/>
        <w:ind w:firstLine="600" w:firstLineChars="200"/>
        <w:rPr>
          <w:rFonts w:ascii="仿宋" w:hAnsi="仿宋" w:eastAsia="仿宋"/>
          <w:sz w:val="30"/>
          <w:szCs w:val="30"/>
        </w:rPr>
      </w:pPr>
      <w:r>
        <w:rPr>
          <w:rFonts w:hint="eastAsia" w:ascii="仿宋" w:hAnsi="仿宋" w:eastAsia="仿宋"/>
          <w:sz w:val="30"/>
          <w:szCs w:val="30"/>
        </w:rPr>
        <w:t>2022年单位项目资金支付都是按照预算执行，实行专款专用，项目实施完成后，达到了预期经济效益及社会效益，圆满的完成了各项任务。</w:t>
      </w:r>
    </w:p>
    <w:p>
      <w:pPr>
        <w:spacing w:line="560" w:lineRule="exact"/>
        <w:ind w:firstLine="600" w:firstLineChars="200"/>
        <w:rPr>
          <w:rFonts w:ascii="仿宋" w:hAnsi="仿宋" w:eastAsia="仿宋"/>
          <w:sz w:val="30"/>
          <w:szCs w:val="30"/>
        </w:rPr>
      </w:pPr>
      <w:r>
        <w:rPr>
          <w:rFonts w:hint="eastAsia" w:ascii="仿宋" w:hAnsi="仿宋" w:eastAsia="仿宋"/>
          <w:sz w:val="30"/>
          <w:szCs w:val="30"/>
        </w:rPr>
        <w:t>总体目标：全面压实禁毒工作责任，确保全县毒情形势持续好转，群众安全感和满意度得到进一步提升。</w:t>
      </w:r>
    </w:p>
    <w:p>
      <w:pPr>
        <w:pStyle w:val="2"/>
        <w:spacing w:line="560" w:lineRule="exact"/>
        <w:ind w:firstLine="600" w:firstLineChars="200"/>
        <w:rPr>
          <w:rFonts w:ascii="仿宋" w:hAnsi="仿宋" w:eastAsia="仿宋"/>
          <w:sz w:val="30"/>
          <w:szCs w:val="30"/>
        </w:rPr>
      </w:pPr>
      <w:r>
        <w:rPr>
          <w:rFonts w:hint="eastAsia" w:ascii="仿宋" w:hAnsi="仿宋" w:eastAsia="仿宋"/>
          <w:sz w:val="30"/>
          <w:szCs w:val="30"/>
        </w:rPr>
        <w:t>阶段性目标：2022年扎实推进学校保安、两客一危一校、公交、的士驾驶员、娱乐场所从业人员、有吸毒史人员毛发检测；重点场所污水验毒检测；禁毒示范乡镇、示范村场（社区）创建；有吸毒史人员管控，确保全县毒情形势持续好转。</w:t>
      </w:r>
    </w:p>
    <w:p>
      <w:pPr>
        <w:spacing w:line="610" w:lineRule="exact"/>
        <w:ind w:firstLine="600" w:firstLineChars="200"/>
        <w:rPr>
          <w:rFonts w:ascii="黑体" w:hAnsi="黑体" w:eastAsia="黑体" w:cs="黑体"/>
          <w:sz w:val="30"/>
          <w:szCs w:val="30"/>
        </w:rPr>
      </w:pPr>
      <w:r>
        <w:rPr>
          <w:rFonts w:hint="eastAsia" w:ascii="黑体" w:hAnsi="黑体" w:eastAsia="黑体" w:cs="黑体"/>
          <w:sz w:val="30"/>
          <w:szCs w:val="30"/>
        </w:rPr>
        <w:t>二、绩效评价工作开展情况</w:t>
      </w:r>
    </w:p>
    <w:p>
      <w:pPr>
        <w:spacing w:line="610" w:lineRule="exact"/>
        <w:ind w:firstLine="600" w:firstLineChars="200"/>
        <w:rPr>
          <w:rFonts w:eastAsia="仿宋_GB2312"/>
          <w:sz w:val="30"/>
          <w:szCs w:val="30"/>
        </w:rPr>
      </w:pPr>
      <w:r>
        <w:rPr>
          <w:rFonts w:hint="eastAsia" w:eastAsia="仿宋_GB2312"/>
          <w:sz w:val="30"/>
          <w:szCs w:val="30"/>
        </w:rPr>
        <w:t>(一)绩效评价目的、对象和范围。</w:t>
      </w:r>
    </w:p>
    <w:p>
      <w:pPr>
        <w:pStyle w:val="2"/>
        <w:spacing w:line="560" w:lineRule="exact"/>
        <w:ind w:firstLine="600" w:firstLineChars="200"/>
        <w:rPr>
          <w:rFonts w:ascii="仿宋" w:hAnsi="仿宋" w:eastAsia="仿宋"/>
          <w:sz w:val="30"/>
          <w:szCs w:val="30"/>
        </w:rPr>
      </w:pPr>
      <w:r>
        <w:rPr>
          <w:rFonts w:ascii="仿宋" w:hAnsi="仿宋" w:eastAsia="仿宋"/>
          <w:sz w:val="30"/>
          <w:szCs w:val="30"/>
        </w:rPr>
        <w:t>20</w:t>
      </w:r>
      <w:r>
        <w:rPr>
          <w:rFonts w:hint="eastAsia" w:ascii="仿宋" w:hAnsi="仿宋" w:eastAsia="仿宋"/>
          <w:sz w:val="30"/>
          <w:szCs w:val="30"/>
        </w:rPr>
        <w:t>22年度预算安排的项目支出自行开展专项绩效自评。</w:t>
      </w:r>
    </w:p>
    <w:p>
      <w:pPr>
        <w:spacing w:line="610" w:lineRule="exact"/>
        <w:ind w:firstLine="600" w:firstLineChars="200"/>
        <w:rPr>
          <w:rFonts w:eastAsia="仿宋_GB2312"/>
          <w:sz w:val="30"/>
          <w:szCs w:val="30"/>
        </w:rPr>
      </w:pPr>
      <w:r>
        <w:rPr>
          <w:rFonts w:hint="eastAsia" w:eastAsia="仿宋_GB2312"/>
          <w:sz w:val="30"/>
          <w:szCs w:val="30"/>
        </w:rPr>
        <w:t>(二)绩效评价原则、评价指标体系(附表说明)、评价方法、 评价标准等。</w:t>
      </w:r>
    </w:p>
    <w:p>
      <w:pPr>
        <w:spacing w:line="560" w:lineRule="exact"/>
        <w:ind w:firstLine="600" w:firstLineChars="200"/>
        <w:rPr>
          <w:rFonts w:eastAsia="仿宋_GB2312"/>
          <w:sz w:val="30"/>
          <w:szCs w:val="30"/>
        </w:rPr>
      </w:pPr>
      <w:r>
        <w:rPr>
          <w:rFonts w:hint="eastAsia" w:eastAsia="仿宋_GB2312"/>
          <w:sz w:val="30"/>
          <w:szCs w:val="30"/>
        </w:rPr>
        <w:t>根据项目实际，在《项目支出绩效评价指标评分表（共性）》上进一步完善、量化、细化个性指标，形成本项目的指标体系。</w:t>
      </w:r>
    </w:p>
    <w:p>
      <w:pPr>
        <w:spacing w:line="610" w:lineRule="exact"/>
        <w:ind w:firstLine="600" w:firstLineChars="200"/>
        <w:rPr>
          <w:rFonts w:eastAsia="仿宋_GB2312"/>
          <w:sz w:val="30"/>
          <w:szCs w:val="30"/>
        </w:rPr>
      </w:pPr>
      <w:r>
        <w:rPr>
          <w:rFonts w:hint="eastAsia" w:eastAsia="仿宋_GB2312"/>
          <w:sz w:val="30"/>
          <w:szCs w:val="30"/>
        </w:rPr>
        <w:t>(三)绩效评价工作过程。</w:t>
      </w:r>
    </w:p>
    <w:p>
      <w:pPr>
        <w:spacing w:line="560" w:lineRule="exact"/>
        <w:ind w:firstLine="600" w:firstLineChars="200"/>
        <w:rPr>
          <w:rFonts w:ascii="仿宋" w:hAnsi="仿宋" w:eastAsia="仿宋"/>
          <w:sz w:val="30"/>
          <w:szCs w:val="30"/>
        </w:rPr>
      </w:pPr>
      <w:r>
        <w:rPr>
          <w:rFonts w:hint="eastAsia" w:ascii="仿宋" w:hAnsi="仿宋" w:eastAsia="仿宋"/>
          <w:sz w:val="30"/>
          <w:szCs w:val="30"/>
        </w:rPr>
        <w:t>单位高度重视预算支出绩效自评工作，认真制定绩效评价工作方案，成立绩效自评工作组，选用科学合理的评价指标反应预算支出绩效水平。</w:t>
      </w:r>
    </w:p>
    <w:p>
      <w:pPr>
        <w:spacing w:line="610" w:lineRule="exact"/>
        <w:ind w:firstLine="600" w:firstLineChars="200"/>
        <w:rPr>
          <w:rFonts w:ascii="黑体" w:hAnsi="黑体" w:eastAsia="黑体" w:cs="黑体"/>
          <w:sz w:val="30"/>
          <w:szCs w:val="30"/>
        </w:rPr>
      </w:pPr>
      <w:r>
        <w:rPr>
          <w:rFonts w:hint="eastAsia" w:ascii="黑体" w:hAnsi="黑体" w:eastAsia="黑体" w:cs="黑体"/>
          <w:sz w:val="30"/>
          <w:szCs w:val="30"/>
        </w:rPr>
        <w:t xml:space="preserve">三、综合评价情况及评价结论 </w:t>
      </w:r>
    </w:p>
    <w:p>
      <w:pPr>
        <w:spacing w:line="560" w:lineRule="exact"/>
        <w:ind w:firstLine="600" w:firstLineChars="200"/>
        <w:rPr>
          <w:rFonts w:ascii="仿宋" w:hAnsi="仿宋" w:eastAsia="仿宋"/>
          <w:sz w:val="30"/>
          <w:szCs w:val="30"/>
        </w:rPr>
      </w:pPr>
      <w:r>
        <w:rPr>
          <w:rFonts w:hint="eastAsia" w:ascii="仿宋" w:hAnsi="仿宋" w:eastAsia="仿宋"/>
          <w:sz w:val="30"/>
          <w:szCs w:val="30"/>
        </w:rPr>
        <w:t>通过对2022年的项目决策、项目过程、项目产出、项目效益等内容的绩效考评，提高财政资金的使用效率，保障了机构的正常运转。2022年，较好地完成了项目工作目标，部门项目支出绩效评价为优。</w:t>
      </w:r>
    </w:p>
    <w:p>
      <w:pPr>
        <w:spacing w:line="610" w:lineRule="exact"/>
        <w:ind w:firstLine="600" w:firstLineChars="200"/>
        <w:rPr>
          <w:rFonts w:ascii="黑体" w:hAnsi="黑体" w:eastAsia="黑体" w:cs="黑体"/>
          <w:sz w:val="30"/>
          <w:szCs w:val="30"/>
        </w:rPr>
      </w:pPr>
      <w:r>
        <w:rPr>
          <w:rFonts w:hint="eastAsia" w:ascii="黑体" w:hAnsi="黑体" w:eastAsia="黑体" w:cs="黑体"/>
          <w:sz w:val="30"/>
          <w:szCs w:val="30"/>
        </w:rPr>
        <w:t>四、绩效评价指标分析</w:t>
      </w:r>
    </w:p>
    <w:p>
      <w:pPr>
        <w:spacing w:line="610" w:lineRule="exact"/>
        <w:ind w:firstLine="600" w:firstLineChars="200"/>
        <w:rPr>
          <w:rFonts w:eastAsia="仿宋_GB2312"/>
          <w:sz w:val="30"/>
          <w:szCs w:val="30"/>
        </w:rPr>
      </w:pPr>
      <w:r>
        <w:rPr>
          <w:rFonts w:hint="eastAsia" w:eastAsia="仿宋_GB2312"/>
          <w:sz w:val="30"/>
          <w:szCs w:val="30"/>
        </w:rPr>
        <w:t>(一)项目决策情况。</w:t>
      </w:r>
    </w:p>
    <w:p>
      <w:pPr>
        <w:spacing w:line="560" w:lineRule="exact"/>
        <w:ind w:firstLine="600" w:firstLineChars="200"/>
        <w:rPr>
          <w:rFonts w:ascii="仿宋" w:hAnsi="仿宋" w:eastAsia="仿宋"/>
          <w:sz w:val="30"/>
          <w:szCs w:val="30"/>
        </w:rPr>
      </w:pPr>
      <w:r>
        <w:rPr>
          <w:rFonts w:hint="eastAsia" w:ascii="仿宋" w:hAnsi="仿宋" w:eastAsia="仿宋"/>
          <w:sz w:val="30"/>
          <w:szCs w:val="30"/>
        </w:rPr>
        <w:t>2022年单位项目资金下达及时，支付都是按照预算执行，及时完成支付。</w:t>
      </w:r>
    </w:p>
    <w:p>
      <w:pPr>
        <w:spacing w:line="610" w:lineRule="exact"/>
        <w:ind w:firstLine="600" w:firstLineChars="200"/>
        <w:rPr>
          <w:rFonts w:eastAsia="仿宋_GB2312"/>
          <w:sz w:val="30"/>
          <w:szCs w:val="30"/>
        </w:rPr>
      </w:pPr>
      <w:r>
        <w:rPr>
          <w:rFonts w:hint="eastAsia" w:eastAsia="仿宋_GB2312"/>
          <w:sz w:val="30"/>
          <w:szCs w:val="30"/>
        </w:rPr>
        <w:t xml:space="preserve"> (二)项目过程情况。</w:t>
      </w:r>
    </w:p>
    <w:p>
      <w:pPr>
        <w:spacing w:line="560" w:lineRule="exact"/>
        <w:ind w:firstLine="600" w:firstLineChars="200"/>
        <w:rPr>
          <w:rFonts w:ascii="仿宋" w:hAnsi="仿宋" w:eastAsia="仿宋"/>
          <w:sz w:val="30"/>
          <w:szCs w:val="30"/>
        </w:rPr>
      </w:pPr>
      <w:r>
        <w:rPr>
          <w:rFonts w:hint="eastAsia" w:ascii="仿宋" w:hAnsi="仿宋" w:eastAsia="仿宋"/>
          <w:sz w:val="30"/>
          <w:szCs w:val="30"/>
        </w:rPr>
        <w:t>2022年单位项目资金在资金使用和管理中，实际支出与计划规定的用途一致，资金收支平衡，资金分配做到公开、公平，按程序上报和审批，配备了工作能力强的工作人员，严格执行财务制度，无截留、挤占、挪用资金等违规行为，提高财政资金的使用效率。</w:t>
      </w:r>
    </w:p>
    <w:p>
      <w:pPr>
        <w:spacing w:line="610" w:lineRule="exact"/>
        <w:ind w:firstLine="600" w:firstLineChars="200"/>
        <w:rPr>
          <w:rFonts w:eastAsia="仿宋_GB2312"/>
          <w:sz w:val="30"/>
          <w:szCs w:val="30"/>
        </w:rPr>
      </w:pPr>
      <w:r>
        <w:rPr>
          <w:rFonts w:hint="eastAsia" w:eastAsia="仿宋_GB2312"/>
          <w:sz w:val="30"/>
          <w:szCs w:val="30"/>
        </w:rPr>
        <w:t>(三)项目产出情况。</w:t>
      </w:r>
    </w:p>
    <w:p>
      <w:pPr>
        <w:spacing w:line="560" w:lineRule="exact"/>
        <w:ind w:firstLine="600" w:firstLineChars="200"/>
        <w:rPr>
          <w:rFonts w:ascii="仿宋" w:hAnsi="仿宋" w:eastAsia="仿宋"/>
          <w:sz w:val="30"/>
          <w:szCs w:val="30"/>
        </w:rPr>
      </w:pPr>
      <w:r>
        <w:rPr>
          <w:rFonts w:hint="eastAsia" w:ascii="仿宋" w:hAnsi="仿宋" w:eastAsia="仿宋"/>
          <w:sz w:val="30"/>
          <w:szCs w:val="30"/>
        </w:rPr>
        <w:t>2022年单位项目实施完成后，成功完成了各项目标工作任务。</w:t>
      </w:r>
    </w:p>
    <w:p>
      <w:pPr>
        <w:spacing w:line="610" w:lineRule="exact"/>
        <w:ind w:firstLine="600" w:firstLineChars="200"/>
        <w:rPr>
          <w:rFonts w:eastAsia="仿宋_GB2312"/>
          <w:sz w:val="30"/>
          <w:szCs w:val="30"/>
        </w:rPr>
      </w:pPr>
      <w:r>
        <w:rPr>
          <w:rFonts w:hint="eastAsia" w:eastAsia="仿宋_GB2312"/>
          <w:sz w:val="30"/>
          <w:szCs w:val="30"/>
        </w:rPr>
        <w:t>(四)项目效益情况。</w:t>
      </w:r>
    </w:p>
    <w:p>
      <w:pPr>
        <w:spacing w:line="560" w:lineRule="exact"/>
        <w:ind w:firstLine="600" w:firstLineChars="200"/>
        <w:rPr>
          <w:rFonts w:ascii="仿宋" w:hAnsi="仿宋" w:eastAsia="仿宋"/>
          <w:sz w:val="30"/>
          <w:szCs w:val="30"/>
        </w:rPr>
      </w:pPr>
      <w:r>
        <w:rPr>
          <w:rFonts w:hint="eastAsia" w:ascii="仿宋" w:hAnsi="仿宋" w:eastAsia="仿宋"/>
          <w:sz w:val="30"/>
          <w:szCs w:val="30"/>
        </w:rPr>
        <w:t>2022年单位圆满的完成了各项任务，项目达到了预期经济效益及社会效益。</w:t>
      </w:r>
    </w:p>
    <w:p>
      <w:pPr>
        <w:spacing w:line="610" w:lineRule="exact"/>
        <w:ind w:firstLine="600" w:firstLineChars="200"/>
        <w:rPr>
          <w:rFonts w:ascii="黑体" w:hAnsi="黑体" w:eastAsia="黑体" w:cs="黑体"/>
          <w:sz w:val="30"/>
          <w:szCs w:val="30"/>
        </w:rPr>
      </w:pPr>
      <w:r>
        <w:rPr>
          <w:rFonts w:hint="eastAsia" w:ascii="黑体" w:hAnsi="黑体" w:eastAsia="黑体" w:cs="黑体"/>
          <w:sz w:val="30"/>
          <w:szCs w:val="30"/>
        </w:rPr>
        <w:t>五、主要经验及做法、存在的问题及原因分析</w:t>
      </w:r>
    </w:p>
    <w:p>
      <w:pPr>
        <w:spacing w:line="560" w:lineRule="exact"/>
        <w:ind w:firstLine="600" w:firstLineChars="200"/>
        <w:rPr>
          <w:rFonts w:ascii="仿宋" w:hAnsi="仿宋" w:eastAsia="仿宋"/>
          <w:sz w:val="30"/>
          <w:szCs w:val="30"/>
        </w:rPr>
      </w:pPr>
      <w:r>
        <w:rPr>
          <w:rFonts w:hint="eastAsia" w:ascii="仿宋" w:hAnsi="仿宋" w:eastAsia="仿宋"/>
          <w:sz w:val="30"/>
          <w:szCs w:val="30"/>
        </w:rPr>
        <w:t>1、项目成本（预算）控制:严格成本预算，严格控制成本支出，不乱花一分钱。</w:t>
      </w:r>
    </w:p>
    <w:p>
      <w:pPr>
        <w:spacing w:line="560" w:lineRule="exact"/>
        <w:ind w:firstLine="600" w:firstLineChars="200"/>
        <w:rPr>
          <w:rFonts w:ascii="仿宋" w:hAnsi="仿宋" w:eastAsia="仿宋"/>
          <w:sz w:val="30"/>
          <w:szCs w:val="30"/>
        </w:rPr>
      </w:pPr>
      <w:r>
        <w:rPr>
          <w:rFonts w:hint="eastAsia" w:ascii="仿宋" w:hAnsi="仿宋" w:eastAsia="仿宋"/>
          <w:sz w:val="30"/>
          <w:szCs w:val="30"/>
        </w:rPr>
        <w:t>2、项目成本（预算）节约:加强成本预算管理，杜绝不必要开支，厉行节约，年度无超预算支出。</w:t>
      </w:r>
    </w:p>
    <w:p>
      <w:pPr>
        <w:widowControl/>
        <w:spacing w:line="610" w:lineRule="exact"/>
        <w:ind w:firstLine="600" w:firstLineChars="200"/>
        <w:rPr>
          <w:rFonts w:ascii="仿宋_GB2312" w:eastAsia="仿宋_GB2312"/>
          <w:sz w:val="32"/>
          <w:szCs w:val="32"/>
        </w:rPr>
      </w:pPr>
      <w:r>
        <w:rPr>
          <w:rFonts w:hint="eastAsia" w:ascii="黑体" w:hAnsi="黑体" w:eastAsia="黑体" w:cs="黑体"/>
          <w:sz w:val="30"/>
          <w:szCs w:val="30"/>
        </w:rPr>
        <w:t>六、其他需要说明的问题</w:t>
      </w:r>
    </w:p>
    <w:p>
      <w:pPr>
        <w:rPr>
          <w:rFonts w:ascii="仿宋" w:hAnsi="仿宋" w:eastAsia="仿宋"/>
          <w:sz w:val="30"/>
          <w:szCs w:val="30"/>
        </w:rPr>
      </w:pPr>
      <w:r>
        <w:rPr>
          <w:rFonts w:hint="eastAsia"/>
        </w:rPr>
        <w:t xml:space="preserve">      </w:t>
      </w:r>
      <w:r>
        <w:rPr>
          <w:rFonts w:hint="eastAsia" w:ascii="仿宋" w:hAnsi="仿宋" w:eastAsia="仿宋"/>
          <w:sz w:val="30"/>
          <w:szCs w:val="30"/>
        </w:rPr>
        <w:t>无。</w:t>
      </w:r>
    </w:p>
    <w:p>
      <w:pPr>
        <w:pStyle w:val="2"/>
      </w:pPr>
    </w:p>
    <w:p/>
    <w:p>
      <w:pPr>
        <w:pStyle w:val="2"/>
      </w:pPr>
    </w:p>
    <w:p/>
    <w:p>
      <w:pPr>
        <w:pStyle w:val="2"/>
      </w:pPr>
    </w:p>
    <w:p/>
    <w:p>
      <w:pPr>
        <w:pStyle w:val="2"/>
      </w:pPr>
    </w:p>
    <w:p/>
    <w:p>
      <w:pPr>
        <w:pStyle w:val="2"/>
      </w:pPr>
    </w:p>
    <w:p/>
    <w:p>
      <w:pPr>
        <w:pStyle w:val="2"/>
      </w:pPr>
    </w:p>
    <w:p>
      <w:pPr>
        <w:pStyle w:val="2"/>
      </w:pPr>
    </w:p>
    <w:p>
      <w:pPr>
        <w:spacing w:line="560" w:lineRule="exact"/>
        <w:rPr>
          <w:rFonts w:ascii="黑体" w:hAnsi="黑体" w:eastAsia="黑体"/>
          <w:sz w:val="32"/>
          <w:szCs w:val="32"/>
        </w:rPr>
      </w:pPr>
      <w:r>
        <w:rPr>
          <w:rFonts w:hint="eastAsia" w:ascii="黑体" w:hAnsi="黑体" w:eastAsia="黑体"/>
          <w:sz w:val="32"/>
          <w:szCs w:val="32"/>
        </w:rPr>
        <w:t>附件4</w:t>
      </w:r>
    </w:p>
    <w:p>
      <w:pPr>
        <w:widowControl/>
        <w:spacing w:beforeLines="50" w:afterLines="100" w:line="600" w:lineRule="exact"/>
        <w:jc w:val="center"/>
        <w:rPr>
          <w:rFonts w:ascii="微软雅黑" w:hAnsi="微软雅黑" w:eastAsia="微软雅黑" w:cs="微软雅黑"/>
          <w:color w:val="000000"/>
          <w:sz w:val="44"/>
          <w:szCs w:val="44"/>
        </w:rPr>
      </w:pPr>
      <w:r>
        <w:rPr>
          <w:rFonts w:hint="eastAsia" w:ascii="微软雅黑" w:hAnsi="微软雅黑" w:eastAsia="微软雅黑" w:cs="微软雅黑"/>
          <w:color w:val="000000"/>
          <w:sz w:val="44"/>
          <w:szCs w:val="44"/>
        </w:rPr>
        <w:t>项目支出绩效评价评分表（共性）</w:t>
      </w:r>
    </w:p>
    <w:tbl>
      <w:tblPr>
        <w:tblStyle w:val="7"/>
        <w:tblW w:w="9820" w:type="dxa"/>
        <w:jc w:val="center"/>
        <w:tblLayout w:type="fixed"/>
        <w:tblCellMar>
          <w:top w:w="0" w:type="dxa"/>
          <w:left w:w="108" w:type="dxa"/>
          <w:bottom w:w="0" w:type="dxa"/>
          <w:right w:w="108" w:type="dxa"/>
        </w:tblCellMar>
      </w:tblPr>
      <w:tblGrid>
        <w:gridCol w:w="702"/>
        <w:gridCol w:w="540"/>
        <w:gridCol w:w="703"/>
        <w:gridCol w:w="540"/>
        <w:gridCol w:w="803"/>
        <w:gridCol w:w="550"/>
        <w:gridCol w:w="2407"/>
        <w:gridCol w:w="2772"/>
        <w:gridCol w:w="803"/>
      </w:tblGrid>
      <w:tr>
        <w:tblPrEx>
          <w:tblCellMar>
            <w:top w:w="0" w:type="dxa"/>
            <w:left w:w="108" w:type="dxa"/>
            <w:bottom w:w="0" w:type="dxa"/>
            <w:right w:w="108" w:type="dxa"/>
          </w:tblCellMar>
        </w:tblPrEx>
        <w:trPr>
          <w:trHeight w:val="625" w:hRule="atLeast"/>
          <w:tblHeader/>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一级</w:t>
            </w:r>
          </w:p>
          <w:p>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40" w:type="dxa"/>
            <w:tcBorders>
              <w:top w:val="single" w:color="000000" w:sz="4" w:space="0"/>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703" w:type="dxa"/>
            <w:tcBorders>
              <w:top w:val="single" w:color="000000" w:sz="4" w:space="0"/>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二级</w:t>
            </w:r>
          </w:p>
          <w:p>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40" w:type="dxa"/>
            <w:tcBorders>
              <w:top w:val="single" w:color="000000" w:sz="4" w:space="0"/>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803" w:type="dxa"/>
            <w:tcBorders>
              <w:top w:val="single" w:color="000000" w:sz="4" w:space="0"/>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三级</w:t>
            </w:r>
          </w:p>
          <w:p>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50" w:type="dxa"/>
            <w:tcBorders>
              <w:top w:val="single" w:color="000000" w:sz="4" w:space="0"/>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2407" w:type="dxa"/>
            <w:tcBorders>
              <w:top w:val="single" w:color="000000" w:sz="4" w:space="0"/>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具体指标</w:t>
            </w:r>
          </w:p>
        </w:tc>
        <w:tc>
          <w:tcPr>
            <w:tcW w:w="2772" w:type="dxa"/>
            <w:tcBorders>
              <w:top w:val="single" w:color="000000" w:sz="4" w:space="0"/>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评价标准</w:t>
            </w:r>
          </w:p>
        </w:tc>
        <w:tc>
          <w:tcPr>
            <w:tcW w:w="803" w:type="dxa"/>
            <w:tcBorders>
              <w:top w:val="single" w:color="auto" w:sz="4" w:space="0"/>
              <w:left w:val="single" w:color="auto" w:sz="4" w:space="0"/>
              <w:bottom w:val="single" w:color="auto" w:sz="4" w:space="0"/>
              <w:right w:val="single" w:color="auto" w:sz="4" w:space="0"/>
            </w:tcBorders>
            <w:shd w:val="clear" w:color="auto" w:fill="FFFFFF"/>
            <w:noWrap/>
            <w:vAlign w:val="center"/>
          </w:tcPr>
          <w:p>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自评</w:t>
            </w:r>
          </w:p>
          <w:p>
            <w:pPr>
              <w:widowControl/>
              <w:spacing w:line="240" w:lineRule="exact"/>
              <w:jc w:val="center"/>
              <w:rPr>
                <w:rFonts w:ascii="仿宋_GB2312" w:hAnsi="宋体" w:eastAsia="仿宋_GB2312" w:cs="宋体"/>
                <w:b/>
                <w:bCs/>
                <w:kern w:val="0"/>
                <w:sz w:val="24"/>
              </w:rPr>
            </w:pPr>
            <w:r>
              <w:rPr>
                <w:rFonts w:hint="eastAsia" w:ascii="仿宋_GB2312" w:hAnsi="宋体" w:eastAsia="仿宋_GB2312" w:cs="宋体"/>
                <w:b/>
                <w:bCs/>
                <w:kern w:val="0"/>
                <w:sz w:val="18"/>
                <w:szCs w:val="18"/>
              </w:rPr>
              <w:t>得分</w:t>
            </w:r>
          </w:p>
        </w:tc>
      </w:tr>
      <w:tr>
        <w:tblPrEx>
          <w:tblCellMar>
            <w:top w:w="0" w:type="dxa"/>
            <w:left w:w="108" w:type="dxa"/>
            <w:bottom w:w="0" w:type="dxa"/>
            <w:right w:w="108" w:type="dxa"/>
          </w:tblCellMar>
        </w:tblPrEx>
        <w:trPr>
          <w:trHeight w:val="967" w:hRule="atLeast"/>
          <w:jc w:val="center"/>
        </w:trPr>
        <w:tc>
          <w:tcPr>
            <w:tcW w:w="702" w:type="dxa"/>
            <w:vMerge w:val="restart"/>
            <w:tcBorders>
              <w:top w:val="nil"/>
              <w:left w:val="single" w:color="000000" w:sz="4" w:space="0"/>
              <w:bottom w:val="single" w:color="000000" w:sz="4" w:space="0"/>
              <w:right w:val="single" w:color="000000" w:sz="4" w:space="0"/>
            </w:tcBorders>
            <w:noWrap/>
            <w:textDirection w:val="tbLrV"/>
            <w:vAlign w:val="center"/>
          </w:tcPr>
          <w:p>
            <w:pPr>
              <w:widowControl/>
              <w:spacing w:line="240" w:lineRule="exact"/>
              <w:ind w:left="113" w:right="113"/>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项目决策</w:t>
            </w:r>
          </w:p>
        </w:tc>
        <w:tc>
          <w:tcPr>
            <w:tcW w:w="540" w:type="dxa"/>
            <w:vMerge w:val="restart"/>
            <w:tcBorders>
              <w:top w:val="nil"/>
              <w:left w:val="single" w:color="000000" w:sz="4" w:space="0"/>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20</w:t>
            </w:r>
          </w:p>
        </w:tc>
        <w:tc>
          <w:tcPr>
            <w:tcW w:w="703" w:type="dxa"/>
            <w:tcBorders>
              <w:top w:val="nil"/>
              <w:left w:val="nil"/>
              <w:bottom w:val="single" w:color="000000" w:sz="4" w:space="0"/>
              <w:right w:val="single" w:color="000000" w:sz="4" w:space="0"/>
            </w:tcBorders>
            <w:noWrap/>
            <w:textDirection w:val="tbRlV"/>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项目目标</w:t>
            </w:r>
          </w:p>
        </w:tc>
        <w:tc>
          <w:tcPr>
            <w:tcW w:w="540"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803"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目标</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内容</w:t>
            </w:r>
          </w:p>
        </w:tc>
        <w:tc>
          <w:tcPr>
            <w:tcW w:w="550"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设立了项目绩效目标；目标明确；目标细化；目标量化</w:t>
            </w:r>
          </w:p>
        </w:tc>
        <w:tc>
          <w:tcPr>
            <w:tcW w:w="2772" w:type="dxa"/>
            <w:tcBorders>
              <w:top w:val="nil"/>
              <w:left w:val="nil"/>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①设有目标（1分）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②目标明确（1分）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③目标细化（1分）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④目标量化（1分）</w:t>
            </w:r>
          </w:p>
        </w:tc>
        <w:tc>
          <w:tcPr>
            <w:tcW w:w="803" w:type="dxa"/>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4</w:t>
            </w:r>
          </w:p>
        </w:tc>
      </w:tr>
      <w:tr>
        <w:tblPrEx>
          <w:tblCellMar>
            <w:top w:w="0" w:type="dxa"/>
            <w:left w:w="108" w:type="dxa"/>
            <w:bottom w:w="0" w:type="dxa"/>
            <w:right w:w="108" w:type="dxa"/>
          </w:tblCellMar>
        </w:tblPrEx>
        <w:trPr>
          <w:trHeight w:val="1277" w:hRule="atLeast"/>
          <w:jc w:val="center"/>
        </w:trPr>
        <w:tc>
          <w:tcPr>
            <w:tcW w:w="702" w:type="dxa"/>
            <w:vMerge w:val="continue"/>
            <w:tcBorders>
              <w:top w:val="nil"/>
              <w:left w:val="single" w:color="000000" w:sz="4" w:space="0"/>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textDirection w:val="tbRlV"/>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决策过程</w:t>
            </w:r>
          </w:p>
        </w:tc>
        <w:tc>
          <w:tcPr>
            <w:tcW w:w="540" w:type="dxa"/>
            <w:vMerge w:val="restart"/>
            <w:tcBorders>
              <w:top w:val="nil"/>
              <w:left w:val="single" w:color="000000" w:sz="4" w:space="0"/>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803"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决策</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依据</w:t>
            </w:r>
          </w:p>
        </w:tc>
        <w:tc>
          <w:tcPr>
            <w:tcW w:w="550"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有关法律法规的明确规定；某一经济社会发展规划；某部门年度工作计划；某一实际问题和需求</w:t>
            </w:r>
          </w:p>
        </w:tc>
        <w:tc>
          <w:tcPr>
            <w:tcW w:w="2772" w:type="dxa"/>
            <w:tcBorders>
              <w:top w:val="nil"/>
              <w:left w:val="nil"/>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①符合法律法规（1分）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②符合经济社会发展规划（1分）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③部门年度工作计划（1分）</w:t>
            </w:r>
          </w:p>
          <w:p>
            <w:pPr>
              <w:widowControl/>
              <w:spacing w:line="240" w:lineRule="exact"/>
              <w:jc w:val="left"/>
              <w:rPr>
                <w:rFonts w:ascii="仿宋_GB2312" w:hAnsi="宋体" w:eastAsia="仿宋_GB2312" w:cs="宋体"/>
                <w:spacing w:val="-6"/>
                <w:kern w:val="0"/>
                <w:sz w:val="18"/>
                <w:szCs w:val="18"/>
              </w:rPr>
            </w:pPr>
            <w:r>
              <w:rPr>
                <w:rFonts w:hint="eastAsia" w:ascii="仿宋_GB2312" w:hAnsi="宋体" w:eastAsia="仿宋_GB2312" w:cs="宋体"/>
                <w:spacing w:val="-6"/>
                <w:kern w:val="0"/>
                <w:sz w:val="18"/>
                <w:szCs w:val="18"/>
              </w:rPr>
              <w:t>④针对某一实际问题和需求（1分）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以上③需提供佐证资料。</w:t>
            </w:r>
          </w:p>
        </w:tc>
        <w:tc>
          <w:tcPr>
            <w:tcW w:w="803" w:type="dxa"/>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4</w:t>
            </w:r>
          </w:p>
        </w:tc>
      </w:tr>
      <w:tr>
        <w:tblPrEx>
          <w:tblCellMar>
            <w:top w:w="0" w:type="dxa"/>
            <w:left w:w="108" w:type="dxa"/>
            <w:bottom w:w="0" w:type="dxa"/>
            <w:right w:w="108" w:type="dxa"/>
          </w:tblCellMar>
        </w:tblPrEx>
        <w:trPr>
          <w:trHeight w:val="983" w:hRule="atLeast"/>
          <w:jc w:val="center"/>
        </w:trPr>
        <w:tc>
          <w:tcPr>
            <w:tcW w:w="702" w:type="dxa"/>
            <w:vMerge w:val="continue"/>
            <w:tcBorders>
              <w:top w:val="nil"/>
              <w:left w:val="single" w:color="000000" w:sz="4" w:space="0"/>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决策</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程序</w:t>
            </w:r>
          </w:p>
        </w:tc>
        <w:tc>
          <w:tcPr>
            <w:tcW w:w="550"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项目符合申报条件；申报、批复程序符合相关管理办法；项目调整履行了相应手续</w:t>
            </w:r>
          </w:p>
        </w:tc>
        <w:tc>
          <w:tcPr>
            <w:tcW w:w="2772" w:type="dxa"/>
            <w:tcBorders>
              <w:top w:val="nil"/>
              <w:left w:val="nil"/>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①符合申报条件（2分）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②项目申报、批复程序符合管理办法（1分）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spacing w:val="-6"/>
                <w:kern w:val="0"/>
                <w:sz w:val="18"/>
                <w:szCs w:val="18"/>
              </w:rPr>
              <w:t>③项目调整履行了相应手续（1分）</w:t>
            </w:r>
          </w:p>
        </w:tc>
        <w:tc>
          <w:tcPr>
            <w:tcW w:w="803" w:type="dxa"/>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4</w:t>
            </w:r>
          </w:p>
        </w:tc>
      </w:tr>
      <w:tr>
        <w:tblPrEx>
          <w:tblCellMar>
            <w:top w:w="0" w:type="dxa"/>
            <w:left w:w="108" w:type="dxa"/>
            <w:bottom w:w="0" w:type="dxa"/>
            <w:right w:w="108" w:type="dxa"/>
          </w:tblCellMar>
        </w:tblPrEx>
        <w:trPr>
          <w:trHeight w:val="967" w:hRule="atLeast"/>
          <w:jc w:val="center"/>
        </w:trPr>
        <w:tc>
          <w:tcPr>
            <w:tcW w:w="702" w:type="dxa"/>
            <w:vMerge w:val="continue"/>
            <w:tcBorders>
              <w:top w:val="nil"/>
              <w:left w:val="single" w:color="000000" w:sz="4" w:space="0"/>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textDirection w:val="tbRlV"/>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资金分配</w:t>
            </w:r>
          </w:p>
        </w:tc>
        <w:tc>
          <w:tcPr>
            <w:tcW w:w="540" w:type="dxa"/>
            <w:vMerge w:val="restart"/>
            <w:tcBorders>
              <w:top w:val="nil"/>
              <w:left w:val="single" w:color="000000" w:sz="4" w:space="0"/>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803"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分配</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办法</w:t>
            </w:r>
          </w:p>
        </w:tc>
        <w:tc>
          <w:tcPr>
            <w:tcW w:w="550"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根据需要制定的相关资金管理办法；管理办法中有明确资金分配办法；资金分配因素全面、合理</w:t>
            </w:r>
          </w:p>
        </w:tc>
        <w:tc>
          <w:tcPr>
            <w:tcW w:w="2772" w:type="dxa"/>
            <w:tcBorders>
              <w:top w:val="nil"/>
              <w:left w:val="nil"/>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①有相应的资金管理办法（1分）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②办法健全、规范（1分）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③因素全面合理（1分）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3</w:t>
            </w:r>
          </w:p>
        </w:tc>
      </w:tr>
      <w:tr>
        <w:tblPrEx>
          <w:tblCellMar>
            <w:top w:w="0" w:type="dxa"/>
            <w:left w:w="108" w:type="dxa"/>
            <w:bottom w:w="0" w:type="dxa"/>
            <w:right w:w="108" w:type="dxa"/>
          </w:tblCellMar>
        </w:tblPrEx>
        <w:trPr>
          <w:trHeight w:val="758" w:hRule="atLeast"/>
          <w:jc w:val="center"/>
        </w:trPr>
        <w:tc>
          <w:tcPr>
            <w:tcW w:w="702" w:type="dxa"/>
            <w:vMerge w:val="continue"/>
            <w:tcBorders>
              <w:top w:val="nil"/>
              <w:left w:val="single" w:color="000000" w:sz="4" w:space="0"/>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分配</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结果</w:t>
            </w:r>
          </w:p>
        </w:tc>
        <w:tc>
          <w:tcPr>
            <w:tcW w:w="550"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nil"/>
              <w:left w:val="nil"/>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资金分配符合相关管理办法；分配结果公平合理</w:t>
            </w:r>
          </w:p>
        </w:tc>
        <w:tc>
          <w:tcPr>
            <w:tcW w:w="2772" w:type="dxa"/>
            <w:tcBorders>
              <w:top w:val="nil"/>
              <w:left w:val="nil"/>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①符合分配办法（2分）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②分配公平合理（3分）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spacing w:val="-6"/>
                <w:kern w:val="0"/>
                <w:sz w:val="18"/>
                <w:szCs w:val="18"/>
              </w:rPr>
              <w:t>此项需提供相应的资金分配方案。</w:t>
            </w:r>
          </w:p>
        </w:tc>
        <w:tc>
          <w:tcPr>
            <w:tcW w:w="803" w:type="dxa"/>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3</w:t>
            </w:r>
          </w:p>
        </w:tc>
      </w:tr>
      <w:tr>
        <w:tblPrEx>
          <w:tblCellMar>
            <w:top w:w="0" w:type="dxa"/>
            <w:left w:w="108" w:type="dxa"/>
            <w:bottom w:w="0" w:type="dxa"/>
            <w:right w:w="108" w:type="dxa"/>
          </w:tblCellMar>
        </w:tblPrEx>
        <w:trPr>
          <w:trHeight w:val="438" w:hRule="atLeast"/>
          <w:jc w:val="center"/>
        </w:trPr>
        <w:tc>
          <w:tcPr>
            <w:tcW w:w="702" w:type="dxa"/>
            <w:vMerge w:val="restart"/>
            <w:tcBorders>
              <w:top w:val="nil"/>
              <w:left w:val="single" w:color="000000" w:sz="4" w:space="0"/>
              <w:right w:val="single" w:color="000000" w:sz="4" w:space="0"/>
            </w:tcBorders>
            <w:noWrap/>
            <w:textDirection w:val="tbLrV"/>
            <w:vAlign w:val="center"/>
          </w:tcPr>
          <w:p>
            <w:pPr>
              <w:widowControl/>
              <w:spacing w:line="240" w:lineRule="exact"/>
              <w:ind w:left="113" w:right="113" w:firstLine="2520" w:firstLineChars="1400"/>
              <w:rPr>
                <w:rFonts w:ascii="仿宋_GB2312" w:hAnsi="宋体" w:eastAsia="仿宋_GB2312" w:cs="宋体"/>
                <w:kern w:val="0"/>
                <w:sz w:val="18"/>
                <w:szCs w:val="18"/>
              </w:rPr>
            </w:pPr>
            <w:r>
              <w:rPr>
                <w:rFonts w:hint="eastAsia" w:ascii="仿宋_GB2312" w:hAnsi="宋体" w:eastAsia="仿宋_GB2312" w:cs="宋体"/>
                <w:kern w:val="0"/>
                <w:sz w:val="18"/>
                <w:szCs w:val="18"/>
              </w:rPr>
              <w:t>项目管理</w:t>
            </w:r>
          </w:p>
        </w:tc>
        <w:tc>
          <w:tcPr>
            <w:tcW w:w="540" w:type="dxa"/>
            <w:vMerge w:val="restart"/>
            <w:tcBorders>
              <w:top w:val="nil"/>
              <w:left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25</w:t>
            </w:r>
          </w:p>
          <w:p/>
        </w:tc>
        <w:tc>
          <w:tcPr>
            <w:tcW w:w="703" w:type="dxa"/>
            <w:vMerge w:val="restart"/>
            <w:tcBorders>
              <w:top w:val="nil"/>
              <w:left w:val="single" w:color="000000" w:sz="4" w:space="0"/>
              <w:bottom w:val="single" w:color="000000" w:sz="4" w:space="0"/>
              <w:right w:val="single" w:color="000000" w:sz="4" w:space="0"/>
            </w:tcBorders>
            <w:noWrap/>
            <w:textDirection w:val="tbRlV"/>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资金到位</w:t>
            </w:r>
          </w:p>
        </w:tc>
        <w:tc>
          <w:tcPr>
            <w:tcW w:w="540" w:type="dxa"/>
            <w:vMerge w:val="restart"/>
            <w:tcBorders>
              <w:top w:val="nil"/>
              <w:left w:val="single" w:color="000000" w:sz="4" w:space="0"/>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803"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到位率</w:t>
            </w:r>
          </w:p>
        </w:tc>
        <w:tc>
          <w:tcPr>
            <w:tcW w:w="550"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实际到位/计划到位*100%</w:t>
            </w:r>
          </w:p>
        </w:tc>
        <w:tc>
          <w:tcPr>
            <w:tcW w:w="2772" w:type="dxa"/>
            <w:tcBorders>
              <w:top w:val="nil"/>
              <w:left w:val="nil"/>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根据项目资金的实际到位率计算得分（3分）</w:t>
            </w:r>
          </w:p>
        </w:tc>
        <w:tc>
          <w:tcPr>
            <w:tcW w:w="803" w:type="dxa"/>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3</w:t>
            </w:r>
          </w:p>
        </w:tc>
      </w:tr>
      <w:tr>
        <w:tblPrEx>
          <w:tblCellMar>
            <w:top w:w="0" w:type="dxa"/>
            <w:left w:w="108" w:type="dxa"/>
            <w:bottom w:w="0" w:type="dxa"/>
            <w:right w:w="108" w:type="dxa"/>
          </w:tblCellMar>
        </w:tblPrEx>
        <w:trPr>
          <w:trHeight w:val="744" w:hRule="atLeast"/>
          <w:jc w:val="center"/>
        </w:trPr>
        <w:tc>
          <w:tcPr>
            <w:tcW w:w="702" w:type="dxa"/>
            <w:vMerge w:val="continue"/>
            <w:tcBorders>
              <w:left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到位</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时效</w:t>
            </w:r>
          </w:p>
        </w:tc>
        <w:tc>
          <w:tcPr>
            <w:tcW w:w="550"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2</w:t>
            </w:r>
          </w:p>
        </w:tc>
        <w:tc>
          <w:tcPr>
            <w:tcW w:w="2407" w:type="dxa"/>
            <w:tcBorders>
              <w:top w:val="nil"/>
              <w:left w:val="nil"/>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资金及时到位；若未及时到位，是否影响项目进度</w:t>
            </w:r>
          </w:p>
        </w:tc>
        <w:tc>
          <w:tcPr>
            <w:tcW w:w="2772" w:type="dxa"/>
            <w:tcBorders>
              <w:top w:val="nil"/>
              <w:left w:val="nil"/>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①到位及时（2分）</w:t>
            </w:r>
          </w:p>
          <w:p>
            <w:pPr>
              <w:widowControl/>
              <w:spacing w:line="240" w:lineRule="exact"/>
              <w:jc w:val="left"/>
              <w:rPr>
                <w:rFonts w:ascii="仿宋_GB2312" w:hAnsi="宋体" w:eastAsia="仿宋_GB2312" w:cs="宋体"/>
                <w:spacing w:val="-10"/>
                <w:kern w:val="0"/>
                <w:sz w:val="18"/>
                <w:szCs w:val="18"/>
              </w:rPr>
            </w:pPr>
            <w:r>
              <w:rPr>
                <w:rFonts w:hint="eastAsia" w:ascii="仿宋_GB2312" w:hAnsi="宋体" w:eastAsia="仿宋_GB2312" w:cs="宋体"/>
                <w:spacing w:val="-10"/>
                <w:kern w:val="0"/>
                <w:sz w:val="18"/>
                <w:szCs w:val="18"/>
              </w:rPr>
              <w:t>②不及时但未影响项目进度 （1分）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spacing w:val="-6"/>
                <w:kern w:val="0"/>
                <w:sz w:val="18"/>
                <w:szCs w:val="18"/>
              </w:rPr>
              <w:t>③不及时并影响项目进度（0.5分）</w:t>
            </w:r>
          </w:p>
        </w:tc>
        <w:tc>
          <w:tcPr>
            <w:tcW w:w="803" w:type="dxa"/>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2</w:t>
            </w:r>
          </w:p>
        </w:tc>
      </w:tr>
      <w:tr>
        <w:tblPrEx>
          <w:tblCellMar>
            <w:top w:w="0" w:type="dxa"/>
            <w:left w:w="108" w:type="dxa"/>
            <w:bottom w:w="0" w:type="dxa"/>
            <w:right w:w="108" w:type="dxa"/>
          </w:tblCellMar>
        </w:tblPrEx>
        <w:trPr>
          <w:trHeight w:val="1168" w:hRule="atLeast"/>
          <w:jc w:val="center"/>
        </w:trPr>
        <w:tc>
          <w:tcPr>
            <w:tcW w:w="702" w:type="dxa"/>
            <w:vMerge w:val="continue"/>
            <w:tcBorders>
              <w:left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textDirection w:val="tbRlV"/>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资金管理</w:t>
            </w:r>
          </w:p>
        </w:tc>
        <w:tc>
          <w:tcPr>
            <w:tcW w:w="540" w:type="dxa"/>
            <w:vMerge w:val="restart"/>
            <w:tcBorders>
              <w:top w:val="nil"/>
              <w:left w:val="single" w:color="000000" w:sz="4" w:space="0"/>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10</w:t>
            </w:r>
          </w:p>
        </w:tc>
        <w:tc>
          <w:tcPr>
            <w:tcW w:w="803"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资金</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使用</w:t>
            </w:r>
          </w:p>
        </w:tc>
        <w:tc>
          <w:tcPr>
            <w:tcW w:w="550"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7</w:t>
            </w:r>
          </w:p>
        </w:tc>
        <w:tc>
          <w:tcPr>
            <w:tcW w:w="2407" w:type="dxa"/>
            <w:tcBorders>
              <w:top w:val="nil"/>
              <w:left w:val="nil"/>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支出依据合规，无虚列项目支出情况；无截留挤占挪用情况；无超标准开支情况；无超预算情况</w:t>
            </w:r>
          </w:p>
        </w:tc>
        <w:tc>
          <w:tcPr>
            <w:tcW w:w="2772" w:type="dxa"/>
            <w:tcBorders>
              <w:top w:val="nil"/>
              <w:left w:val="nil"/>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 xml:space="preserve">①虚列套取扣4-7分 </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②依据不合规扣2分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③截留、挤占、挪用扣3-6分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④超标准开支扣2-5分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⑤超预算扣2-5分</w:t>
            </w:r>
          </w:p>
        </w:tc>
        <w:tc>
          <w:tcPr>
            <w:tcW w:w="803" w:type="dxa"/>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7</w:t>
            </w:r>
          </w:p>
        </w:tc>
      </w:tr>
      <w:tr>
        <w:tblPrEx>
          <w:tblCellMar>
            <w:top w:w="0" w:type="dxa"/>
            <w:left w:w="108" w:type="dxa"/>
            <w:bottom w:w="0" w:type="dxa"/>
            <w:right w:w="108" w:type="dxa"/>
          </w:tblCellMar>
        </w:tblPrEx>
        <w:trPr>
          <w:trHeight w:val="871" w:hRule="atLeast"/>
          <w:jc w:val="center"/>
        </w:trPr>
        <w:tc>
          <w:tcPr>
            <w:tcW w:w="702" w:type="dxa"/>
            <w:vMerge w:val="continue"/>
            <w:tcBorders>
              <w:left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财务</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管理</w:t>
            </w:r>
          </w:p>
        </w:tc>
        <w:tc>
          <w:tcPr>
            <w:tcW w:w="550"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资金管理、费用支出等制度健全；制度执行严格；会计核算规范</w:t>
            </w:r>
          </w:p>
        </w:tc>
        <w:tc>
          <w:tcPr>
            <w:tcW w:w="2772" w:type="dxa"/>
            <w:tcBorders>
              <w:top w:val="nil"/>
              <w:left w:val="nil"/>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①财务制度健全（1分）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②严格执行制度（1分）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③会计核算规范（1分）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3</w:t>
            </w:r>
          </w:p>
        </w:tc>
      </w:tr>
      <w:tr>
        <w:tblPrEx>
          <w:tblCellMar>
            <w:top w:w="0" w:type="dxa"/>
            <w:left w:w="108" w:type="dxa"/>
            <w:bottom w:w="0" w:type="dxa"/>
            <w:right w:w="108" w:type="dxa"/>
          </w:tblCellMar>
        </w:tblPrEx>
        <w:trPr>
          <w:trHeight w:val="532" w:hRule="atLeast"/>
          <w:jc w:val="center"/>
        </w:trPr>
        <w:tc>
          <w:tcPr>
            <w:tcW w:w="702" w:type="dxa"/>
            <w:vMerge w:val="continue"/>
            <w:tcBorders>
              <w:left w:val="single" w:color="000000" w:sz="4" w:space="0"/>
              <w:right w:val="single" w:color="000000" w:sz="4" w:space="0"/>
            </w:tcBorders>
            <w:shd w:val="clear" w:color="auto" w:fill="auto"/>
            <w:noWrap/>
            <w:textDirection w:val="tbRlV"/>
            <w:vAlign w:val="center"/>
          </w:tcPr>
          <w:p>
            <w:pPr>
              <w:widowControl/>
              <w:spacing w:line="240" w:lineRule="exact"/>
              <w:jc w:val="center"/>
              <w:rPr>
                <w:rFonts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noWrap/>
            <w:vAlign w:val="center"/>
          </w:tcPr>
          <w:p/>
        </w:tc>
        <w:tc>
          <w:tcPr>
            <w:tcW w:w="703" w:type="dxa"/>
            <w:vMerge w:val="restart"/>
            <w:tcBorders>
              <w:top w:val="nil"/>
              <w:left w:val="single" w:color="000000" w:sz="4" w:space="0"/>
              <w:bottom w:val="single" w:color="000000" w:sz="4" w:space="0"/>
              <w:right w:val="single" w:color="000000" w:sz="4" w:space="0"/>
            </w:tcBorders>
            <w:shd w:val="clear" w:color="auto" w:fill="auto"/>
            <w:noWrap/>
            <w:textDirection w:val="tbRlV"/>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组织实施</w:t>
            </w:r>
          </w:p>
        </w:tc>
        <w:tc>
          <w:tcPr>
            <w:tcW w:w="540" w:type="dxa"/>
            <w:vMerge w:val="restar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10</w:t>
            </w:r>
          </w:p>
        </w:tc>
        <w:tc>
          <w:tcPr>
            <w:tcW w:w="803"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组织</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机构</w:t>
            </w:r>
          </w:p>
        </w:tc>
        <w:tc>
          <w:tcPr>
            <w:tcW w:w="550"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1</w:t>
            </w:r>
          </w:p>
        </w:tc>
        <w:tc>
          <w:tcPr>
            <w:tcW w:w="2407"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机构健全、分工明确</w:t>
            </w:r>
          </w:p>
        </w:tc>
        <w:tc>
          <w:tcPr>
            <w:tcW w:w="2772" w:type="dxa"/>
            <w:tcBorders>
              <w:top w:val="nil"/>
              <w:left w:val="nil"/>
              <w:bottom w:val="single" w:color="000000" w:sz="4" w:space="0"/>
              <w:right w:val="single" w:color="000000" w:sz="4" w:space="0"/>
            </w:tcBorders>
            <w:shd w:val="clear" w:color="auto" w:fill="auto"/>
            <w:noWrap/>
            <w:vAlign w:val="center"/>
          </w:tcPr>
          <w:p>
            <w:pPr>
              <w:widowControl/>
              <w:numPr>
                <w:ilvl w:val="0"/>
                <w:numId w:val="3"/>
              </w:numPr>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构健全、分工明确  （1分）</w:t>
            </w:r>
          </w:p>
        </w:tc>
        <w:tc>
          <w:tcPr>
            <w:tcW w:w="803" w:type="dxa"/>
            <w:tcBorders>
              <w:top w:val="nil"/>
              <w:left w:val="single" w:color="auto" w:sz="4" w:space="0"/>
              <w:bottom w:val="single" w:color="auto" w:sz="4" w:space="0"/>
              <w:right w:val="single" w:color="auto" w:sz="4" w:space="0"/>
            </w:tcBorders>
            <w:shd w:val="clear" w:color="auto" w:fill="FFFFFF"/>
            <w:noWrap/>
            <w:vAlign w:val="center"/>
          </w:tcPr>
          <w:p>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1</w:t>
            </w:r>
          </w:p>
        </w:tc>
      </w:tr>
      <w:tr>
        <w:tblPrEx>
          <w:tblCellMar>
            <w:top w:w="0" w:type="dxa"/>
            <w:left w:w="108" w:type="dxa"/>
            <w:bottom w:w="0" w:type="dxa"/>
            <w:right w:w="108" w:type="dxa"/>
          </w:tblCellMar>
        </w:tblPrEx>
        <w:trPr>
          <w:trHeight w:val="730" w:hRule="atLeast"/>
          <w:jc w:val="center"/>
        </w:trPr>
        <w:tc>
          <w:tcPr>
            <w:tcW w:w="702" w:type="dxa"/>
            <w:vMerge w:val="continue"/>
            <w:tcBorders>
              <w:left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支撑</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条件</w:t>
            </w:r>
          </w:p>
        </w:tc>
        <w:tc>
          <w:tcPr>
            <w:tcW w:w="550"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1</w:t>
            </w:r>
          </w:p>
        </w:tc>
        <w:tc>
          <w:tcPr>
            <w:tcW w:w="2407"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项目实施单位是否提供或具备了必备的人员、场地和设备等条件</w:t>
            </w:r>
          </w:p>
        </w:tc>
        <w:tc>
          <w:tcPr>
            <w:tcW w:w="2772"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具备人员、场地、设备条件（1分）</w:t>
            </w:r>
          </w:p>
        </w:tc>
        <w:tc>
          <w:tcPr>
            <w:tcW w:w="803" w:type="dxa"/>
            <w:tcBorders>
              <w:top w:val="nil"/>
              <w:left w:val="single" w:color="auto" w:sz="4" w:space="0"/>
              <w:bottom w:val="single" w:color="auto" w:sz="4" w:space="0"/>
              <w:right w:val="single" w:color="auto" w:sz="4" w:space="0"/>
            </w:tcBorders>
            <w:shd w:val="clear" w:color="auto" w:fill="FFFFFF"/>
            <w:noWrap/>
            <w:vAlign w:val="center"/>
          </w:tcPr>
          <w:p>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1</w:t>
            </w:r>
          </w:p>
        </w:tc>
      </w:tr>
      <w:tr>
        <w:tblPrEx>
          <w:tblCellMar>
            <w:top w:w="0" w:type="dxa"/>
            <w:left w:w="108" w:type="dxa"/>
            <w:bottom w:w="0" w:type="dxa"/>
            <w:right w:w="108" w:type="dxa"/>
          </w:tblCellMar>
        </w:tblPrEx>
        <w:trPr>
          <w:trHeight w:val="730" w:hRule="atLeast"/>
          <w:jc w:val="center"/>
        </w:trPr>
        <w:tc>
          <w:tcPr>
            <w:tcW w:w="702" w:type="dxa"/>
            <w:vMerge w:val="continue"/>
            <w:tcBorders>
              <w:left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项目</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实施</w:t>
            </w:r>
          </w:p>
        </w:tc>
        <w:tc>
          <w:tcPr>
            <w:tcW w:w="550"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项目按计划开工；按计划进度开展；按计划完工</w:t>
            </w:r>
          </w:p>
        </w:tc>
        <w:tc>
          <w:tcPr>
            <w:tcW w:w="2772"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①按计划开工（1分）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②按计划开展（1分）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③按计划完工（1分）</w:t>
            </w:r>
          </w:p>
        </w:tc>
        <w:tc>
          <w:tcPr>
            <w:tcW w:w="803" w:type="dxa"/>
            <w:tcBorders>
              <w:top w:val="nil"/>
              <w:left w:val="single" w:color="auto" w:sz="4" w:space="0"/>
              <w:bottom w:val="single" w:color="auto" w:sz="4" w:space="0"/>
              <w:right w:val="single" w:color="auto" w:sz="4" w:space="0"/>
            </w:tcBorders>
            <w:shd w:val="clear" w:color="auto" w:fill="FFFFFF"/>
            <w:noWrap/>
            <w:vAlign w:val="center"/>
          </w:tcPr>
          <w:p>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3</w:t>
            </w:r>
          </w:p>
        </w:tc>
      </w:tr>
      <w:tr>
        <w:tblPrEx>
          <w:tblCellMar>
            <w:top w:w="0" w:type="dxa"/>
            <w:left w:w="108" w:type="dxa"/>
            <w:bottom w:w="0" w:type="dxa"/>
            <w:right w:w="108" w:type="dxa"/>
          </w:tblCellMar>
        </w:tblPrEx>
        <w:trPr>
          <w:trHeight w:val="745" w:hRule="atLeast"/>
          <w:jc w:val="center"/>
        </w:trPr>
        <w:tc>
          <w:tcPr>
            <w:tcW w:w="702" w:type="dxa"/>
            <w:vMerge w:val="continue"/>
            <w:tcBorders>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管理</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制度</w:t>
            </w:r>
          </w:p>
        </w:tc>
        <w:tc>
          <w:tcPr>
            <w:tcW w:w="550"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项目管理制度健全；严格执行相关管理制度</w:t>
            </w:r>
          </w:p>
        </w:tc>
        <w:tc>
          <w:tcPr>
            <w:tcW w:w="2772"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①管理制度健全（2分）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②制度执行严格（3分）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shd w:val="clear" w:color="auto" w:fill="FFFFFF"/>
            <w:noWrap/>
            <w:vAlign w:val="center"/>
          </w:tcPr>
          <w:p>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5</w:t>
            </w:r>
          </w:p>
        </w:tc>
      </w:tr>
      <w:tr>
        <w:tblPrEx>
          <w:tblCellMar>
            <w:top w:w="0" w:type="dxa"/>
            <w:left w:w="108" w:type="dxa"/>
            <w:bottom w:w="0" w:type="dxa"/>
            <w:right w:w="108" w:type="dxa"/>
          </w:tblCellMar>
        </w:tblPrEx>
        <w:trPr>
          <w:trHeight w:val="669" w:hRule="atLeast"/>
          <w:jc w:val="center"/>
        </w:trPr>
        <w:tc>
          <w:tcPr>
            <w:tcW w:w="702" w:type="dxa"/>
            <w:vMerge w:val="restart"/>
            <w:tcBorders>
              <w:top w:val="single" w:color="auto" w:sz="4" w:space="0"/>
              <w:left w:val="single" w:color="000000" w:sz="4" w:space="0"/>
              <w:bottom w:val="single" w:color="000000" w:sz="4" w:space="0"/>
              <w:right w:val="single" w:color="000000" w:sz="4" w:space="0"/>
            </w:tcBorders>
            <w:shd w:val="clear" w:color="auto" w:fill="auto"/>
            <w:noWrap/>
            <w:textDirection w:val="tbRlV"/>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项目绩效</w:t>
            </w:r>
          </w:p>
        </w:tc>
        <w:tc>
          <w:tcPr>
            <w:tcW w:w="540" w:type="dxa"/>
            <w:vMerge w:val="restart"/>
            <w:tcBorders>
              <w:top w:val="single" w:color="auto" w:sz="4" w:space="0"/>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55</w:t>
            </w:r>
          </w:p>
        </w:tc>
        <w:tc>
          <w:tcPr>
            <w:tcW w:w="703" w:type="dxa"/>
            <w:vMerge w:val="restart"/>
            <w:tcBorders>
              <w:top w:val="single" w:color="auto" w:sz="4" w:space="0"/>
              <w:left w:val="single" w:color="000000" w:sz="4" w:space="0"/>
              <w:bottom w:val="single" w:color="000000" w:sz="4" w:space="0"/>
              <w:right w:val="single" w:color="000000" w:sz="4" w:space="0"/>
            </w:tcBorders>
            <w:shd w:val="clear" w:color="auto" w:fill="auto"/>
            <w:noWrap/>
            <w:textDirection w:val="tbRlV"/>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项目产出</w:t>
            </w:r>
          </w:p>
        </w:tc>
        <w:tc>
          <w:tcPr>
            <w:tcW w:w="540" w:type="dxa"/>
            <w:vMerge w:val="restart"/>
            <w:tcBorders>
              <w:top w:val="single" w:color="auto" w:sz="4" w:space="0"/>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15</w:t>
            </w:r>
          </w:p>
        </w:tc>
        <w:tc>
          <w:tcPr>
            <w:tcW w:w="803" w:type="dxa"/>
            <w:tcBorders>
              <w:top w:val="single" w:color="auto" w:sz="4" w:space="0"/>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产出</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数量</w:t>
            </w:r>
          </w:p>
        </w:tc>
        <w:tc>
          <w:tcPr>
            <w:tcW w:w="550" w:type="dxa"/>
            <w:tcBorders>
              <w:top w:val="single" w:color="auto" w:sz="4" w:space="0"/>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single" w:color="auto" w:sz="4" w:space="0"/>
              <w:left w:val="nil"/>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目标完成率=目标完成数/预定目标数×100%</w:t>
            </w:r>
          </w:p>
        </w:tc>
        <w:tc>
          <w:tcPr>
            <w:tcW w:w="2772" w:type="dxa"/>
            <w:tcBorders>
              <w:top w:val="single" w:color="auto" w:sz="4" w:space="0"/>
              <w:left w:val="nil"/>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完成绩效目标100%得5分，未完成100%的同比例扣减。</w:t>
            </w:r>
          </w:p>
        </w:tc>
        <w:tc>
          <w:tcPr>
            <w:tcW w:w="803" w:type="dxa"/>
            <w:tcBorders>
              <w:top w:val="single" w:color="auto" w:sz="4" w:space="0"/>
              <w:left w:val="single" w:color="auto" w:sz="4" w:space="0"/>
              <w:bottom w:val="single" w:color="auto" w:sz="4" w:space="0"/>
              <w:right w:val="single" w:color="auto" w:sz="4" w:space="0"/>
            </w:tcBorders>
            <w:shd w:val="clear" w:color="auto" w:fill="FFFFFF"/>
            <w:noWrap/>
            <w:vAlign w:val="center"/>
          </w:tcPr>
          <w:p>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5</w:t>
            </w:r>
          </w:p>
        </w:tc>
      </w:tr>
      <w:tr>
        <w:tblPrEx>
          <w:tblCellMar>
            <w:top w:w="0" w:type="dxa"/>
            <w:left w:w="108" w:type="dxa"/>
            <w:bottom w:w="0" w:type="dxa"/>
            <w:right w:w="108" w:type="dxa"/>
          </w:tblCellMar>
        </w:tblPrEx>
        <w:trPr>
          <w:trHeight w:val="836"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产出</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质量</w:t>
            </w:r>
          </w:p>
        </w:tc>
        <w:tc>
          <w:tcPr>
            <w:tcW w:w="550"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目标完成质量=实际达到的效果/预定目标×100%</w:t>
            </w:r>
          </w:p>
        </w:tc>
        <w:tc>
          <w:tcPr>
            <w:tcW w:w="2772"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项目产出质量达到绩效目标100%得4分，未完成100%的同比例扣减。</w:t>
            </w:r>
          </w:p>
        </w:tc>
        <w:tc>
          <w:tcPr>
            <w:tcW w:w="803" w:type="dxa"/>
            <w:tcBorders>
              <w:top w:val="nil"/>
              <w:left w:val="single" w:color="auto" w:sz="4" w:space="0"/>
              <w:bottom w:val="single" w:color="auto" w:sz="4" w:space="0"/>
              <w:right w:val="single" w:color="auto" w:sz="4" w:space="0"/>
            </w:tcBorders>
            <w:shd w:val="clear" w:color="auto" w:fill="FFFFFF"/>
            <w:noWrap/>
            <w:vAlign w:val="center"/>
          </w:tcPr>
          <w:p>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4</w:t>
            </w:r>
          </w:p>
        </w:tc>
      </w:tr>
      <w:tr>
        <w:tblPrEx>
          <w:tblCellMar>
            <w:top w:w="0" w:type="dxa"/>
            <w:left w:w="108" w:type="dxa"/>
            <w:bottom w:w="0" w:type="dxa"/>
            <w:right w:w="108" w:type="dxa"/>
          </w:tblCellMar>
        </w:tblPrEx>
        <w:trPr>
          <w:trHeight w:val="986"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产出</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时效</w:t>
            </w:r>
          </w:p>
        </w:tc>
        <w:tc>
          <w:tcPr>
            <w:tcW w:w="550"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项目资金使用的预定目标是否如期完成，未完成的理由是否充分</w:t>
            </w:r>
          </w:p>
        </w:tc>
        <w:tc>
          <w:tcPr>
            <w:tcW w:w="2772"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项目产出时效达到绩效目标得3分，未如期完成且无充分理由的扣3分。</w:t>
            </w:r>
          </w:p>
        </w:tc>
        <w:tc>
          <w:tcPr>
            <w:tcW w:w="803" w:type="dxa"/>
            <w:tcBorders>
              <w:top w:val="nil"/>
              <w:left w:val="single" w:color="auto" w:sz="4" w:space="0"/>
              <w:bottom w:val="single" w:color="auto" w:sz="4" w:space="0"/>
              <w:right w:val="single" w:color="auto" w:sz="4" w:space="0"/>
            </w:tcBorders>
            <w:shd w:val="clear" w:color="auto" w:fill="FFFFFF"/>
            <w:noWrap/>
            <w:vAlign w:val="center"/>
          </w:tcPr>
          <w:p>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3</w:t>
            </w:r>
          </w:p>
        </w:tc>
      </w:tr>
      <w:tr>
        <w:tblPrEx>
          <w:tblCellMar>
            <w:top w:w="0" w:type="dxa"/>
            <w:left w:w="108" w:type="dxa"/>
            <w:bottom w:w="0" w:type="dxa"/>
            <w:right w:w="108" w:type="dxa"/>
          </w:tblCellMar>
        </w:tblPrEx>
        <w:trPr>
          <w:trHeight w:val="835"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产出</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成本</w:t>
            </w:r>
          </w:p>
        </w:tc>
        <w:tc>
          <w:tcPr>
            <w:tcW w:w="550"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项目产出成本是否按绩效目标控制</w:t>
            </w:r>
          </w:p>
        </w:tc>
        <w:tc>
          <w:tcPr>
            <w:tcW w:w="2772"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项目产出成本按绩效目标控制得3分，未完成的，按超支比例扣减。</w:t>
            </w:r>
          </w:p>
        </w:tc>
        <w:tc>
          <w:tcPr>
            <w:tcW w:w="803" w:type="dxa"/>
            <w:tcBorders>
              <w:top w:val="nil"/>
              <w:left w:val="single" w:color="auto" w:sz="4" w:space="0"/>
              <w:bottom w:val="single" w:color="auto" w:sz="4" w:space="0"/>
              <w:right w:val="single" w:color="auto" w:sz="4" w:space="0"/>
            </w:tcBorders>
            <w:shd w:val="clear" w:color="auto" w:fill="FFFFFF"/>
            <w:noWrap/>
            <w:vAlign w:val="center"/>
          </w:tcPr>
          <w:p>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3</w:t>
            </w:r>
          </w:p>
        </w:tc>
      </w:tr>
      <w:tr>
        <w:tblPrEx>
          <w:tblCellMar>
            <w:top w:w="0" w:type="dxa"/>
            <w:left w:w="108" w:type="dxa"/>
            <w:bottom w:w="0" w:type="dxa"/>
            <w:right w:w="108" w:type="dxa"/>
          </w:tblCellMar>
        </w:tblPrEx>
        <w:trPr>
          <w:trHeight w:val="833"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shd w:val="clear" w:color="auto" w:fill="auto"/>
            <w:noWrap/>
            <w:textDirection w:val="tbRlV"/>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项目效果</w:t>
            </w:r>
          </w:p>
        </w:tc>
        <w:tc>
          <w:tcPr>
            <w:tcW w:w="540" w:type="dxa"/>
            <w:vMerge w:val="restar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40</w:t>
            </w:r>
          </w:p>
        </w:tc>
        <w:tc>
          <w:tcPr>
            <w:tcW w:w="803"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经济</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项目实施对经济发展所带来的直接或间接影响情况。</w:t>
            </w:r>
          </w:p>
        </w:tc>
        <w:tc>
          <w:tcPr>
            <w:tcW w:w="2772"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完成绩效目标设定的经济效益得8分，未完成的，按完成情况酌情扣分。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ign w:val="center"/>
          </w:tcPr>
          <w:p>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8</w:t>
            </w:r>
          </w:p>
        </w:tc>
      </w:tr>
      <w:tr>
        <w:tblPrEx>
          <w:tblCellMar>
            <w:top w:w="0" w:type="dxa"/>
            <w:left w:w="108" w:type="dxa"/>
            <w:bottom w:w="0" w:type="dxa"/>
            <w:right w:w="108" w:type="dxa"/>
          </w:tblCellMar>
        </w:tblPrEx>
        <w:trPr>
          <w:trHeight w:val="845"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社会</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项目实施对社会发展所带来的直接或间接影响情况。</w:t>
            </w:r>
          </w:p>
        </w:tc>
        <w:tc>
          <w:tcPr>
            <w:tcW w:w="2772"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完成绩效目标设定的社会效益得8分，未完成的，按完成情况酌情扣分。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ign w:val="center"/>
          </w:tcPr>
          <w:p>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8</w:t>
            </w:r>
          </w:p>
        </w:tc>
      </w:tr>
      <w:tr>
        <w:tblPrEx>
          <w:tblCellMar>
            <w:top w:w="0" w:type="dxa"/>
            <w:left w:w="108" w:type="dxa"/>
            <w:bottom w:w="0" w:type="dxa"/>
            <w:right w:w="108" w:type="dxa"/>
          </w:tblCellMar>
        </w:tblPrEx>
        <w:trPr>
          <w:trHeight w:val="841"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生态</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项目实施对生态环境所带来的直接或间接影响情况。</w:t>
            </w:r>
          </w:p>
        </w:tc>
        <w:tc>
          <w:tcPr>
            <w:tcW w:w="2772"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完成绩效目标设定的积极的环境效益得8分，未完成的，按完成情况酌情扣分。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ign w:val="center"/>
          </w:tcPr>
          <w:p>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8</w:t>
            </w:r>
          </w:p>
        </w:tc>
      </w:tr>
      <w:tr>
        <w:tblPrEx>
          <w:tblCellMar>
            <w:top w:w="0" w:type="dxa"/>
            <w:left w:w="108" w:type="dxa"/>
            <w:bottom w:w="0" w:type="dxa"/>
            <w:right w:w="108" w:type="dxa"/>
          </w:tblCellMar>
        </w:tblPrEx>
        <w:trPr>
          <w:trHeight w:val="729"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可持续</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影响</w:t>
            </w:r>
          </w:p>
        </w:tc>
        <w:tc>
          <w:tcPr>
            <w:tcW w:w="550"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项目后续运行及成效发挥的可持续影响情况。</w:t>
            </w:r>
          </w:p>
        </w:tc>
        <w:tc>
          <w:tcPr>
            <w:tcW w:w="2772" w:type="dxa"/>
            <w:tcBorders>
              <w:top w:val="nil"/>
              <w:left w:val="nil"/>
              <w:bottom w:val="single" w:color="000000" w:sz="4" w:space="0"/>
              <w:right w:val="single" w:color="000000" w:sz="4" w:space="0"/>
            </w:tcBorders>
            <w:shd w:val="clear" w:color="auto" w:fill="auto"/>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完成绩效设定目标的得8分，未完成的，按完成情况酌情扣分。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ign w:val="center"/>
          </w:tcPr>
          <w:p>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8</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服务</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对象</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满意度</w:t>
            </w:r>
          </w:p>
        </w:tc>
        <w:tc>
          <w:tcPr>
            <w:tcW w:w="550"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服务对象满意率=项目区被调查人数中表示满意的人数(户数)/ 被调查人数(户数)×100%</w:t>
            </w:r>
          </w:p>
        </w:tc>
        <w:tc>
          <w:tcPr>
            <w:tcW w:w="2772" w:type="dxa"/>
            <w:tcBorders>
              <w:top w:val="nil"/>
              <w:left w:val="nil"/>
              <w:bottom w:val="single" w:color="000000" w:sz="4" w:space="0"/>
              <w:right w:val="nil"/>
            </w:tcBorders>
            <w:noWrap/>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满意率达90%（含）以上的得8分，80%（含）-90%得6分，70%（含）-80%得4分，60%（含）-70%得2分，60%以下不得分。</w:t>
            </w:r>
          </w:p>
        </w:tc>
        <w:tc>
          <w:tcPr>
            <w:tcW w:w="803" w:type="dxa"/>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24"/>
              </w:rPr>
            </w:pPr>
            <w:r>
              <w:rPr>
                <w:rFonts w:hint="eastAsia" w:ascii="宋体" w:hAnsi="宋体" w:cs="宋体"/>
                <w:kern w:val="0"/>
                <w:sz w:val="24"/>
              </w:rPr>
              <w:t>8</w:t>
            </w:r>
          </w:p>
        </w:tc>
      </w:tr>
      <w:tr>
        <w:tblPrEx>
          <w:tblCellMar>
            <w:top w:w="0" w:type="dxa"/>
            <w:left w:w="108" w:type="dxa"/>
            <w:bottom w:w="0" w:type="dxa"/>
            <w:right w:w="108" w:type="dxa"/>
          </w:tblCellMar>
        </w:tblPrEx>
        <w:trPr>
          <w:trHeight w:val="556" w:hRule="atLeast"/>
          <w:jc w:val="center"/>
        </w:trPr>
        <w:tc>
          <w:tcPr>
            <w:tcW w:w="702" w:type="dxa"/>
            <w:tcBorders>
              <w:top w:val="nil"/>
              <w:left w:val="single" w:color="000000" w:sz="4" w:space="0"/>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总分</w:t>
            </w:r>
          </w:p>
        </w:tc>
        <w:tc>
          <w:tcPr>
            <w:tcW w:w="540"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703"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b/>
                <w:bCs/>
                <w:kern w:val="0"/>
                <w:sz w:val="18"/>
                <w:szCs w:val="18"/>
              </w:rPr>
            </w:pPr>
          </w:p>
        </w:tc>
        <w:tc>
          <w:tcPr>
            <w:tcW w:w="540"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803"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b/>
                <w:bCs/>
                <w:kern w:val="0"/>
                <w:sz w:val="18"/>
                <w:szCs w:val="18"/>
              </w:rPr>
            </w:pPr>
          </w:p>
        </w:tc>
        <w:tc>
          <w:tcPr>
            <w:tcW w:w="550"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2407" w:type="dxa"/>
            <w:tcBorders>
              <w:top w:val="nil"/>
              <w:left w:val="nil"/>
              <w:bottom w:val="single" w:color="000000" w:sz="4" w:space="0"/>
              <w:right w:val="single" w:color="000000" w:sz="4" w:space="0"/>
            </w:tcBorders>
            <w:noWrap/>
            <w:vAlign w:val="center"/>
          </w:tcPr>
          <w:p>
            <w:pPr>
              <w:widowControl/>
              <w:spacing w:line="240" w:lineRule="exact"/>
              <w:jc w:val="center"/>
              <w:rPr>
                <w:rFonts w:ascii="仿宋_GB2312" w:hAnsi="宋体" w:eastAsia="仿宋_GB2312" w:cs="宋体"/>
                <w:b/>
                <w:bCs/>
                <w:kern w:val="0"/>
                <w:sz w:val="18"/>
                <w:szCs w:val="18"/>
              </w:rPr>
            </w:pPr>
          </w:p>
        </w:tc>
        <w:tc>
          <w:tcPr>
            <w:tcW w:w="2772" w:type="dxa"/>
            <w:tcBorders>
              <w:top w:val="nil"/>
              <w:left w:val="nil"/>
              <w:bottom w:val="single" w:color="000000" w:sz="4" w:space="0"/>
              <w:right w:val="nil"/>
            </w:tcBorders>
            <w:noWrap/>
            <w:vAlign w:val="center"/>
          </w:tcPr>
          <w:p>
            <w:pPr>
              <w:widowControl/>
              <w:spacing w:line="240" w:lineRule="exact"/>
              <w:jc w:val="center"/>
              <w:rPr>
                <w:rFonts w:ascii="仿宋_GB2312" w:hAnsi="宋体" w:eastAsia="仿宋_GB2312" w:cs="宋体"/>
                <w:b/>
                <w:bCs/>
                <w:kern w:val="0"/>
                <w:sz w:val="18"/>
                <w:szCs w:val="18"/>
              </w:rPr>
            </w:pPr>
          </w:p>
        </w:tc>
        <w:tc>
          <w:tcPr>
            <w:tcW w:w="803" w:type="dxa"/>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b/>
                <w:bCs/>
                <w:kern w:val="0"/>
                <w:sz w:val="24"/>
              </w:rPr>
            </w:pPr>
            <w:r>
              <w:rPr>
                <w:rFonts w:hint="eastAsia" w:ascii="宋体" w:hAnsi="宋体" w:cs="宋体"/>
                <w:b/>
                <w:bCs/>
                <w:kern w:val="0"/>
                <w:sz w:val="24"/>
              </w:rPr>
              <w:t>98</w:t>
            </w:r>
          </w:p>
        </w:tc>
      </w:tr>
    </w:tbl>
    <w:p>
      <w:pPr>
        <w:adjustRightInd w:val="0"/>
        <w:snapToGrid w:val="0"/>
        <w:spacing w:beforeLines="50"/>
        <w:ind w:left="840" w:hanging="840" w:hangingChars="400"/>
        <w:contextualSpacing/>
        <w:rPr>
          <w:rFonts w:ascii="仿宋_GB2312" w:eastAsia="仿宋_GB2312"/>
        </w:rPr>
      </w:pPr>
      <w:r>
        <w:rPr>
          <w:rFonts w:hint="eastAsia" w:ascii="仿宋_GB2312" w:eastAsia="仿宋_GB2312"/>
        </w:rPr>
        <w:t>备注：1、部门（单位）根据项目实际，在《项目支出绩效评价指标评分表（共性）》上进一步完善、量化、细化个性指标，形成本项目的指标体系。</w:t>
      </w:r>
    </w:p>
    <w:p>
      <w:pPr>
        <w:adjustRightInd w:val="0"/>
        <w:snapToGrid w:val="0"/>
        <w:spacing w:beforeLines="50"/>
        <w:ind w:firstLine="630" w:firstLineChars="300"/>
        <w:contextualSpacing/>
        <w:rPr>
          <w:rFonts w:hint="eastAsia" w:ascii="仿宋_GB2312" w:eastAsia="仿宋_GB2312"/>
        </w:rPr>
      </w:pPr>
      <w:r>
        <w:rPr>
          <w:rFonts w:hint="eastAsia" w:ascii="仿宋_GB2312" w:eastAsia="仿宋_GB2312"/>
        </w:rPr>
        <w:t>2、一个一级项目一张表。</w:t>
      </w:r>
    </w:p>
    <w:p>
      <w:pPr>
        <w:adjustRightInd w:val="0"/>
        <w:snapToGrid w:val="0"/>
        <w:spacing w:beforeLines="50"/>
        <w:ind w:firstLine="630" w:firstLineChars="300"/>
        <w:contextualSpacing/>
      </w:pPr>
      <w:r>
        <w:rPr>
          <w:rFonts w:hint="eastAsia" w:ascii="仿宋_GB2312" w:eastAsia="仿宋_GB2312"/>
        </w:rPr>
        <w:br w:type="page"/>
      </w:r>
    </w:p>
    <w:p>
      <w:pPr>
        <w:jc w:val="left"/>
        <w:outlineLvl w:val="0"/>
        <w:rPr>
          <w:rFonts w:eastAsia="黑体"/>
          <w:sz w:val="32"/>
          <w:szCs w:val="32"/>
        </w:rPr>
      </w:pPr>
      <w:r>
        <w:rPr>
          <w:rFonts w:hint="eastAsia" w:ascii="黑体" w:hAnsi="黑体" w:eastAsia="黑体" w:cs="黑体"/>
          <w:sz w:val="32"/>
          <w:szCs w:val="32"/>
        </w:rPr>
        <w:t>附件5</w:t>
      </w:r>
    </w:p>
    <w:p>
      <w:pPr>
        <w:widowControl/>
        <w:spacing w:line="600" w:lineRule="exact"/>
        <w:jc w:val="center"/>
        <w:rPr>
          <w:rFonts w:ascii="微软雅黑" w:hAnsi="微软雅黑" w:eastAsia="微软雅黑" w:cs="微软雅黑"/>
          <w:color w:val="000000"/>
          <w:sz w:val="44"/>
          <w:szCs w:val="44"/>
        </w:rPr>
      </w:pPr>
      <w:r>
        <w:rPr>
          <w:rFonts w:hint="eastAsia" w:ascii="微软雅黑" w:hAnsi="微软雅黑" w:eastAsia="微软雅黑" w:cs="微软雅黑"/>
          <w:color w:val="000000"/>
          <w:sz w:val="44"/>
          <w:szCs w:val="44"/>
        </w:rPr>
        <w:t>2022年度项目支出绩效自评表</w:t>
      </w:r>
    </w:p>
    <w:tbl>
      <w:tblPr>
        <w:tblStyle w:val="7"/>
        <w:tblW w:w="9851" w:type="dxa"/>
        <w:jc w:val="center"/>
        <w:tblLayout w:type="autofit"/>
        <w:tblCellMar>
          <w:top w:w="0" w:type="dxa"/>
          <w:left w:w="108" w:type="dxa"/>
          <w:bottom w:w="0" w:type="dxa"/>
          <w:right w:w="108" w:type="dxa"/>
        </w:tblCellMar>
      </w:tblPr>
      <w:tblGrid>
        <w:gridCol w:w="1080"/>
        <w:gridCol w:w="1080"/>
        <w:gridCol w:w="1080"/>
        <w:gridCol w:w="1224"/>
        <w:gridCol w:w="1134"/>
        <w:gridCol w:w="1134"/>
        <w:gridCol w:w="828"/>
        <w:gridCol w:w="873"/>
        <w:gridCol w:w="1418"/>
      </w:tblGrid>
      <w:tr>
        <w:tblPrEx>
          <w:tblCellMar>
            <w:top w:w="0" w:type="dxa"/>
            <w:left w:w="108" w:type="dxa"/>
            <w:bottom w:w="0" w:type="dxa"/>
            <w:right w:w="108" w:type="dxa"/>
          </w:tblCellMar>
        </w:tblPrEx>
        <w:trPr>
          <w:jc w:val="center"/>
        </w:trPr>
        <w:tc>
          <w:tcPr>
            <w:tcW w:w="1080" w:type="dxa"/>
            <w:tcBorders>
              <w:top w:val="single" w:color="auto" w:sz="4" w:space="0"/>
              <w:left w:val="single" w:color="auto" w:sz="4" w:space="0"/>
              <w:bottom w:val="single" w:color="auto" w:sz="4" w:space="0"/>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项目支</w:t>
            </w:r>
          </w:p>
          <w:p>
            <w:pPr>
              <w:widowControl/>
              <w:spacing w:line="260" w:lineRule="exact"/>
              <w:jc w:val="center"/>
              <w:rPr>
                <w:rFonts w:eastAsia="仿宋_GB2312"/>
                <w:color w:val="000000"/>
                <w:sz w:val="20"/>
                <w:szCs w:val="20"/>
              </w:rPr>
            </w:pPr>
            <w:r>
              <w:rPr>
                <w:rFonts w:eastAsia="仿宋_GB2312"/>
                <w:color w:val="000000"/>
                <w:sz w:val="20"/>
                <w:szCs w:val="20"/>
              </w:rPr>
              <w:t>出名称</w:t>
            </w:r>
          </w:p>
        </w:tc>
        <w:tc>
          <w:tcPr>
            <w:tcW w:w="8771" w:type="dxa"/>
            <w:gridSpan w:val="8"/>
            <w:tcBorders>
              <w:top w:val="single" w:color="auto" w:sz="4" w:space="0"/>
              <w:left w:val="nil"/>
              <w:bottom w:val="single" w:color="auto" w:sz="4" w:space="0"/>
              <w:right w:val="single" w:color="auto" w:sz="4" w:space="0"/>
            </w:tcBorders>
            <w:noWrap/>
            <w:vAlign w:val="center"/>
          </w:tcPr>
          <w:p>
            <w:pPr>
              <w:widowControl/>
              <w:spacing w:line="260" w:lineRule="exact"/>
              <w:jc w:val="center"/>
              <w:rPr>
                <w:rFonts w:ascii="仿宋" w:hAnsi="仿宋" w:eastAsia="仿宋"/>
                <w:color w:val="000000"/>
                <w:sz w:val="20"/>
                <w:szCs w:val="20"/>
              </w:rPr>
            </w:pPr>
            <w:r>
              <w:rPr>
                <w:rFonts w:hint="eastAsia" w:ascii="仿宋" w:hAnsi="仿宋" w:eastAsia="仿宋" w:cs="新宋体"/>
                <w:szCs w:val="21"/>
              </w:rPr>
              <w:t>金融工作支出</w:t>
            </w:r>
          </w:p>
        </w:tc>
      </w:tr>
      <w:tr>
        <w:tblPrEx>
          <w:tblCellMar>
            <w:top w:w="0" w:type="dxa"/>
            <w:left w:w="108" w:type="dxa"/>
            <w:bottom w:w="0" w:type="dxa"/>
            <w:right w:w="108" w:type="dxa"/>
          </w:tblCellMar>
        </w:tblPrEx>
        <w:trPr>
          <w:jc w:val="center"/>
        </w:trPr>
        <w:tc>
          <w:tcPr>
            <w:tcW w:w="1080" w:type="dxa"/>
            <w:tcBorders>
              <w:top w:val="nil"/>
              <w:left w:val="single" w:color="auto" w:sz="4" w:space="0"/>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主管部门</w:t>
            </w:r>
          </w:p>
        </w:tc>
        <w:tc>
          <w:tcPr>
            <w:tcW w:w="4518" w:type="dxa"/>
            <w:gridSpan w:val="4"/>
            <w:tcBorders>
              <w:top w:val="single" w:color="auto" w:sz="4" w:space="0"/>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1134" w:type="dxa"/>
            <w:tcBorders>
              <w:top w:val="single" w:color="auto" w:sz="4" w:space="0"/>
              <w:left w:val="nil"/>
              <w:bottom w:val="single" w:color="auto" w:sz="4" w:space="0"/>
              <w:right w:val="single" w:color="000000"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实施单位</w:t>
            </w:r>
          </w:p>
        </w:tc>
        <w:tc>
          <w:tcPr>
            <w:tcW w:w="3119" w:type="dxa"/>
            <w:gridSpan w:val="3"/>
            <w:tcBorders>
              <w:top w:val="single" w:color="auto" w:sz="4" w:space="0"/>
              <w:left w:val="nil"/>
              <w:bottom w:val="single" w:color="auto" w:sz="4" w:space="0"/>
              <w:right w:val="single" w:color="auto" w:sz="4" w:space="0"/>
            </w:tcBorders>
            <w:noWrap/>
            <w:vAlign w:val="center"/>
          </w:tcPr>
          <w:p>
            <w:pPr>
              <w:widowControl/>
              <w:spacing w:line="260" w:lineRule="exact"/>
              <w:jc w:val="left"/>
              <w:rPr>
                <w:rFonts w:ascii="仿宋" w:hAnsi="仿宋" w:eastAsia="仿宋"/>
                <w:sz w:val="20"/>
                <w:szCs w:val="20"/>
              </w:rPr>
            </w:pPr>
            <w:r>
              <w:rPr>
                <w:rFonts w:hint="eastAsia" w:eastAsia="仿宋_GB2312"/>
                <w:color w:val="000000"/>
                <w:sz w:val="20"/>
                <w:szCs w:val="20"/>
              </w:rPr>
              <w:t>华容县人</w:t>
            </w:r>
            <w:r>
              <w:rPr>
                <w:rFonts w:hint="eastAsia" w:ascii="宋体" w:hAnsi="宋体" w:cs="宋体"/>
                <w:color w:val="000000"/>
                <w:sz w:val="20"/>
                <w:szCs w:val="20"/>
              </w:rPr>
              <w:t>民</w:t>
            </w:r>
            <w:r>
              <w:rPr>
                <w:rFonts w:hint="eastAsia" w:eastAsia="仿宋_GB2312"/>
                <w:color w:val="000000"/>
                <w:sz w:val="20"/>
                <w:szCs w:val="20"/>
              </w:rPr>
              <w:t>政府办公室</w:t>
            </w: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000000" w:sz="4" w:space="0"/>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项目资金</w:t>
            </w:r>
            <w:r>
              <w:rPr>
                <w:rFonts w:eastAsia="仿宋_GB2312"/>
                <w:color w:val="000000"/>
                <w:sz w:val="20"/>
                <w:szCs w:val="20"/>
              </w:rPr>
              <w:br w:type="textWrapping"/>
            </w:r>
            <w:r>
              <w:rPr>
                <w:rFonts w:eastAsia="仿宋_GB2312"/>
                <w:color w:val="000000"/>
                <w:sz w:val="20"/>
                <w:szCs w:val="20"/>
              </w:rPr>
              <w:t>（万元）</w:t>
            </w:r>
          </w:p>
        </w:tc>
        <w:tc>
          <w:tcPr>
            <w:tcW w:w="2160" w:type="dxa"/>
            <w:gridSpan w:val="2"/>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1224" w:type="dxa"/>
            <w:tcBorders>
              <w:top w:val="nil"/>
              <w:left w:val="nil"/>
              <w:bottom w:val="single" w:color="auto" w:sz="4" w:space="0"/>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年初</w:t>
            </w:r>
          </w:p>
          <w:p>
            <w:pPr>
              <w:widowControl/>
              <w:spacing w:line="260" w:lineRule="exact"/>
              <w:jc w:val="center"/>
              <w:rPr>
                <w:rFonts w:eastAsia="仿宋_GB2312"/>
                <w:color w:val="000000"/>
                <w:sz w:val="20"/>
                <w:szCs w:val="20"/>
              </w:rPr>
            </w:pPr>
            <w:r>
              <w:rPr>
                <w:rFonts w:eastAsia="仿宋_GB2312"/>
                <w:color w:val="000000"/>
                <w:sz w:val="20"/>
                <w:szCs w:val="20"/>
              </w:rPr>
              <w:t>预算数</w:t>
            </w:r>
          </w:p>
        </w:tc>
        <w:tc>
          <w:tcPr>
            <w:tcW w:w="1134" w:type="dxa"/>
            <w:tcBorders>
              <w:top w:val="nil"/>
              <w:left w:val="nil"/>
              <w:bottom w:val="single" w:color="auto" w:sz="4" w:space="0"/>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全年</w:t>
            </w:r>
          </w:p>
          <w:p>
            <w:pPr>
              <w:widowControl/>
              <w:spacing w:line="260" w:lineRule="exact"/>
              <w:jc w:val="center"/>
              <w:rPr>
                <w:rFonts w:eastAsia="仿宋_GB2312"/>
                <w:color w:val="000000"/>
                <w:sz w:val="20"/>
                <w:szCs w:val="20"/>
              </w:rPr>
            </w:pPr>
            <w:r>
              <w:rPr>
                <w:rFonts w:eastAsia="仿宋_GB2312"/>
                <w:color w:val="000000"/>
                <w:sz w:val="20"/>
                <w:szCs w:val="20"/>
              </w:rPr>
              <w:t>预算数</w:t>
            </w:r>
          </w:p>
        </w:tc>
        <w:tc>
          <w:tcPr>
            <w:tcW w:w="1134" w:type="dxa"/>
            <w:tcBorders>
              <w:top w:val="nil"/>
              <w:left w:val="nil"/>
              <w:bottom w:val="single" w:color="auto" w:sz="4" w:space="0"/>
              <w:right w:val="single" w:color="auto" w:sz="4" w:space="0"/>
            </w:tcBorders>
            <w:noWrap/>
            <w:vAlign w:val="center"/>
          </w:tcPr>
          <w:p>
            <w:pPr>
              <w:spacing w:line="260" w:lineRule="exact"/>
              <w:jc w:val="center"/>
              <w:rPr>
                <w:rFonts w:eastAsia="仿宋_GB2312"/>
                <w:sz w:val="20"/>
                <w:szCs w:val="20"/>
              </w:rPr>
            </w:pPr>
            <w:r>
              <w:rPr>
                <w:rFonts w:eastAsia="仿宋_GB2312"/>
                <w:sz w:val="20"/>
                <w:szCs w:val="20"/>
              </w:rPr>
              <w:t>全年</w:t>
            </w:r>
          </w:p>
          <w:p>
            <w:pPr>
              <w:spacing w:line="260" w:lineRule="exact"/>
              <w:jc w:val="center"/>
              <w:rPr>
                <w:rFonts w:eastAsia="仿宋_GB2312"/>
                <w:sz w:val="20"/>
                <w:szCs w:val="20"/>
              </w:rPr>
            </w:pPr>
            <w:r>
              <w:rPr>
                <w:rFonts w:eastAsia="仿宋_GB2312"/>
                <w:sz w:val="20"/>
                <w:szCs w:val="20"/>
              </w:rPr>
              <w:t>执行数</w:t>
            </w:r>
          </w:p>
        </w:tc>
        <w:tc>
          <w:tcPr>
            <w:tcW w:w="828" w:type="dxa"/>
            <w:tcBorders>
              <w:top w:val="nil"/>
              <w:left w:val="nil"/>
              <w:bottom w:val="single" w:color="auto" w:sz="4" w:space="0"/>
              <w:right w:val="single" w:color="auto" w:sz="4" w:space="0"/>
            </w:tcBorders>
            <w:noWrap/>
            <w:vAlign w:val="center"/>
          </w:tcPr>
          <w:p>
            <w:pPr>
              <w:spacing w:line="260" w:lineRule="exact"/>
              <w:jc w:val="center"/>
              <w:rPr>
                <w:rFonts w:eastAsia="仿宋_GB2312"/>
                <w:sz w:val="20"/>
                <w:szCs w:val="20"/>
              </w:rPr>
            </w:pPr>
            <w:r>
              <w:rPr>
                <w:rFonts w:eastAsia="仿宋_GB2312"/>
                <w:sz w:val="20"/>
                <w:szCs w:val="20"/>
              </w:rPr>
              <w:t>分值</w:t>
            </w:r>
          </w:p>
        </w:tc>
        <w:tc>
          <w:tcPr>
            <w:tcW w:w="873" w:type="dxa"/>
            <w:tcBorders>
              <w:top w:val="nil"/>
              <w:left w:val="nil"/>
              <w:bottom w:val="single" w:color="auto" w:sz="4" w:space="0"/>
              <w:right w:val="single" w:color="auto" w:sz="4" w:space="0"/>
            </w:tcBorders>
            <w:noWrap/>
            <w:vAlign w:val="center"/>
          </w:tcPr>
          <w:p>
            <w:pPr>
              <w:spacing w:line="260" w:lineRule="exact"/>
              <w:jc w:val="center"/>
              <w:rPr>
                <w:rFonts w:eastAsia="仿宋_GB2312"/>
                <w:sz w:val="20"/>
                <w:szCs w:val="20"/>
              </w:rPr>
            </w:pPr>
            <w:r>
              <w:rPr>
                <w:rFonts w:eastAsia="仿宋_GB2312"/>
                <w:sz w:val="20"/>
                <w:szCs w:val="20"/>
              </w:rPr>
              <w:t>执行率</w:t>
            </w:r>
          </w:p>
        </w:tc>
        <w:tc>
          <w:tcPr>
            <w:tcW w:w="1418" w:type="dxa"/>
            <w:tcBorders>
              <w:top w:val="nil"/>
              <w:left w:val="nil"/>
              <w:bottom w:val="single" w:color="auto" w:sz="4" w:space="0"/>
              <w:right w:val="single" w:color="auto" w:sz="4" w:space="0"/>
            </w:tcBorders>
            <w:noWrap/>
            <w:vAlign w:val="center"/>
          </w:tcPr>
          <w:p>
            <w:pPr>
              <w:spacing w:line="260" w:lineRule="exact"/>
              <w:jc w:val="center"/>
              <w:rPr>
                <w:rFonts w:eastAsia="仿宋_GB2312"/>
                <w:sz w:val="20"/>
                <w:szCs w:val="20"/>
              </w:rPr>
            </w:pPr>
            <w:r>
              <w:rPr>
                <w:rFonts w:eastAsia="仿宋_GB2312"/>
                <w:sz w:val="20"/>
                <w:szCs w:val="20"/>
              </w:rPr>
              <w:t>得分</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2160" w:type="dxa"/>
            <w:gridSpan w:val="2"/>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年度资金总额</w:t>
            </w: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hint="eastAsia" w:eastAsia="仿宋_GB2312"/>
                <w:color w:val="000000"/>
                <w:sz w:val="20"/>
                <w:szCs w:val="20"/>
              </w:rPr>
              <w:t>0</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hint="eastAsia" w:eastAsia="仿宋_GB2312"/>
                <w:color w:val="000000"/>
                <w:sz w:val="20"/>
                <w:szCs w:val="20"/>
              </w:rPr>
              <w:t>64.00</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hint="eastAsia" w:eastAsia="仿宋_GB2312"/>
                <w:color w:val="000000"/>
                <w:sz w:val="20"/>
                <w:szCs w:val="20"/>
              </w:rPr>
              <w:t>64.00</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10</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hint="eastAsia" w:eastAsia="仿宋_GB2312"/>
                <w:color w:val="000000"/>
                <w:sz w:val="20"/>
                <w:szCs w:val="20"/>
              </w:rPr>
              <w:t>100%</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hint="eastAsia" w:eastAsia="仿宋_GB2312"/>
                <w:color w:val="000000"/>
                <w:sz w:val="20"/>
                <w:szCs w:val="20"/>
              </w:rPr>
              <w:t>10</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2160" w:type="dxa"/>
            <w:gridSpan w:val="2"/>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其中：当年财政拨款</w:t>
            </w: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hint="eastAsia" w:eastAsia="仿宋_GB2312"/>
                <w:color w:val="000000"/>
                <w:sz w:val="20"/>
                <w:szCs w:val="20"/>
              </w:rPr>
              <w:t>0</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hint="eastAsia" w:eastAsia="仿宋_GB2312"/>
                <w:color w:val="000000"/>
                <w:sz w:val="20"/>
                <w:szCs w:val="20"/>
              </w:rPr>
              <w:t>64.00</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hint="eastAsia" w:eastAsia="仿宋_GB2312"/>
                <w:color w:val="000000"/>
                <w:sz w:val="20"/>
                <w:szCs w:val="20"/>
              </w:rPr>
              <w:t>64.00</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hint="eastAsia" w:eastAsia="仿宋_GB2312"/>
                <w:color w:val="000000"/>
                <w:sz w:val="20"/>
                <w:szCs w:val="20"/>
              </w:rPr>
              <w:t>100%</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2160" w:type="dxa"/>
            <w:gridSpan w:val="2"/>
            <w:tcBorders>
              <w:top w:val="nil"/>
              <w:left w:val="nil"/>
              <w:bottom w:val="single" w:color="auto" w:sz="4" w:space="0"/>
              <w:right w:val="single" w:color="auto" w:sz="4" w:space="0"/>
            </w:tcBorders>
            <w:noWrap/>
            <w:vAlign w:val="center"/>
          </w:tcPr>
          <w:p>
            <w:pPr>
              <w:widowControl/>
              <w:spacing w:line="260" w:lineRule="exact"/>
              <w:ind w:firstLine="600" w:firstLineChars="300"/>
              <w:jc w:val="left"/>
              <w:rPr>
                <w:rFonts w:eastAsia="仿宋_GB2312"/>
                <w:color w:val="000000"/>
                <w:sz w:val="20"/>
                <w:szCs w:val="20"/>
              </w:rPr>
            </w:pPr>
            <w:r>
              <w:rPr>
                <w:rFonts w:eastAsia="仿宋_GB2312"/>
                <w:color w:val="000000"/>
                <w:sz w:val="20"/>
                <w:szCs w:val="20"/>
              </w:rPr>
              <w:t>上年结转资金</w:t>
            </w: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2160" w:type="dxa"/>
            <w:gridSpan w:val="2"/>
            <w:tcBorders>
              <w:top w:val="nil"/>
              <w:left w:val="nil"/>
              <w:bottom w:val="single" w:color="auto" w:sz="4" w:space="0"/>
              <w:right w:val="single" w:color="auto" w:sz="4" w:space="0"/>
            </w:tcBorders>
            <w:noWrap/>
            <w:vAlign w:val="center"/>
          </w:tcPr>
          <w:p>
            <w:pPr>
              <w:widowControl/>
              <w:spacing w:line="260" w:lineRule="exact"/>
              <w:ind w:firstLine="600" w:firstLineChars="300"/>
              <w:jc w:val="left"/>
              <w:rPr>
                <w:rFonts w:eastAsia="仿宋_GB2312"/>
                <w:color w:val="000000"/>
                <w:sz w:val="20"/>
                <w:szCs w:val="20"/>
              </w:rPr>
            </w:pPr>
            <w:r>
              <w:rPr>
                <w:rFonts w:eastAsia="仿宋_GB2312"/>
                <w:color w:val="000000"/>
                <w:sz w:val="20"/>
                <w:szCs w:val="20"/>
              </w:rPr>
              <w:t>其他资金</w:t>
            </w: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000000" w:sz="4" w:space="0"/>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年度总体目标</w:t>
            </w:r>
          </w:p>
        </w:tc>
        <w:tc>
          <w:tcPr>
            <w:tcW w:w="4518" w:type="dxa"/>
            <w:gridSpan w:val="4"/>
            <w:tcBorders>
              <w:top w:val="single" w:color="auto" w:sz="4" w:space="0"/>
              <w:left w:val="nil"/>
              <w:bottom w:val="single" w:color="auto" w:sz="4" w:space="0"/>
              <w:right w:val="single" w:color="000000"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预期目标</w:t>
            </w:r>
          </w:p>
        </w:tc>
        <w:tc>
          <w:tcPr>
            <w:tcW w:w="4253" w:type="dxa"/>
            <w:gridSpan w:val="4"/>
            <w:tcBorders>
              <w:top w:val="single" w:color="auto" w:sz="4" w:space="0"/>
              <w:left w:val="nil"/>
              <w:bottom w:val="single" w:color="auto" w:sz="4" w:space="0"/>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实际完成情况　</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4518" w:type="dxa"/>
            <w:gridSpan w:val="4"/>
            <w:tcBorders>
              <w:top w:val="single" w:color="auto" w:sz="4" w:space="0"/>
              <w:left w:val="nil"/>
              <w:bottom w:val="single" w:color="auto" w:sz="4" w:space="0"/>
              <w:right w:val="single" w:color="000000" w:sz="4" w:space="0"/>
            </w:tcBorders>
            <w:noWrap/>
            <w:vAlign w:val="center"/>
          </w:tcPr>
          <w:p>
            <w:pPr>
              <w:widowControl/>
              <w:spacing w:line="260" w:lineRule="exact"/>
              <w:jc w:val="left"/>
              <w:rPr>
                <w:rFonts w:eastAsia="仿宋_GB2312"/>
                <w:color w:val="000000"/>
                <w:sz w:val="20"/>
                <w:szCs w:val="20"/>
              </w:rPr>
            </w:pPr>
            <w:r>
              <w:rPr>
                <w:rFonts w:hint="eastAsia" w:ascii="仿宋" w:hAnsi="仿宋" w:eastAsia="仿宋" w:cs="仿宋_GB2312"/>
                <w:sz w:val="20"/>
                <w:szCs w:val="20"/>
              </w:rPr>
              <w:t>提高金融服务实体经济质效，促进经济金融良性互动和县域经济高质量发展，群众安全感和满意度得到进一步提升。</w:t>
            </w:r>
          </w:p>
        </w:tc>
        <w:tc>
          <w:tcPr>
            <w:tcW w:w="4253" w:type="dxa"/>
            <w:gridSpan w:val="4"/>
            <w:tcBorders>
              <w:top w:val="single" w:color="auto" w:sz="4" w:space="0"/>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hint="eastAsia" w:ascii="仿宋" w:hAnsi="仿宋" w:eastAsia="仿宋" w:cs="仿宋_GB2312"/>
                <w:sz w:val="20"/>
                <w:szCs w:val="20"/>
              </w:rPr>
              <w:t>提高金融服务实体经济质效，促进经济金融良性互动和县域经济高质量发展，群众安全感和满意度得到进一步提升。</w:t>
            </w:r>
            <w:r>
              <w:rPr>
                <w:rFonts w:hint="eastAsia" w:ascii="仿宋" w:hAnsi="仿宋" w:eastAsia="仿宋"/>
                <w:sz w:val="20"/>
                <w:szCs w:val="20"/>
              </w:rPr>
              <w:t>完成金融会议、活动4场；</w:t>
            </w:r>
            <w:r>
              <w:rPr>
                <w:rFonts w:hint="eastAsia" w:ascii="仿宋" w:hAnsi="仿宋" w:eastAsia="仿宋" w:cs="仿宋_GB2312"/>
                <w:sz w:val="20"/>
                <w:szCs w:val="20"/>
              </w:rPr>
              <w:t>助力恒兴建材完成了上市计划的专项审计和验资程序。</w:t>
            </w: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绩</w:t>
            </w:r>
          </w:p>
          <w:p>
            <w:pPr>
              <w:widowControl/>
              <w:spacing w:line="260" w:lineRule="exact"/>
              <w:jc w:val="center"/>
              <w:rPr>
                <w:rFonts w:eastAsia="仿宋_GB2312"/>
                <w:color w:val="000000"/>
                <w:sz w:val="20"/>
                <w:szCs w:val="20"/>
              </w:rPr>
            </w:pPr>
            <w:r>
              <w:rPr>
                <w:rFonts w:eastAsia="仿宋_GB2312"/>
                <w:color w:val="000000"/>
                <w:sz w:val="20"/>
                <w:szCs w:val="20"/>
              </w:rPr>
              <w:t>效</w:t>
            </w:r>
          </w:p>
          <w:p>
            <w:pPr>
              <w:widowControl/>
              <w:spacing w:line="260" w:lineRule="exact"/>
              <w:jc w:val="center"/>
              <w:rPr>
                <w:rFonts w:eastAsia="仿宋_GB2312"/>
                <w:color w:val="000000"/>
                <w:sz w:val="20"/>
                <w:szCs w:val="20"/>
              </w:rPr>
            </w:pPr>
            <w:r>
              <w:rPr>
                <w:rFonts w:eastAsia="仿宋_GB2312"/>
                <w:color w:val="000000"/>
                <w:sz w:val="20"/>
                <w:szCs w:val="20"/>
              </w:rPr>
              <w:t>指</w:t>
            </w:r>
          </w:p>
          <w:p>
            <w:pPr>
              <w:widowControl/>
              <w:spacing w:line="260" w:lineRule="exact"/>
              <w:jc w:val="center"/>
              <w:rPr>
                <w:rFonts w:eastAsia="仿宋_GB2312"/>
                <w:color w:val="000000"/>
                <w:sz w:val="20"/>
                <w:szCs w:val="20"/>
              </w:rPr>
            </w:pPr>
            <w:r>
              <w:rPr>
                <w:rFonts w:eastAsia="仿宋_GB2312"/>
                <w:color w:val="000000"/>
                <w:sz w:val="20"/>
                <w:szCs w:val="20"/>
              </w:rPr>
              <w:t>标</w:t>
            </w:r>
          </w:p>
        </w:tc>
        <w:tc>
          <w:tcPr>
            <w:tcW w:w="1080" w:type="dxa"/>
            <w:tcBorders>
              <w:top w:val="nil"/>
              <w:left w:val="nil"/>
              <w:bottom w:val="single" w:color="auto" w:sz="4" w:space="0"/>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一级指标</w:t>
            </w:r>
          </w:p>
        </w:tc>
        <w:tc>
          <w:tcPr>
            <w:tcW w:w="1080" w:type="dxa"/>
            <w:tcBorders>
              <w:top w:val="nil"/>
              <w:left w:val="nil"/>
              <w:bottom w:val="single" w:color="auto" w:sz="4" w:space="0"/>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二级指标</w:t>
            </w:r>
          </w:p>
        </w:tc>
        <w:tc>
          <w:tcPr>
            <w:tcW w:w="1224" w:type="dxa"/>
            <w:tcBorders>
              <w:top w:val="nil"/>
              <w:left w:val="nil"/>
              <w:bottom w:val="single" w:color="auto" w:sz="4" w:space="0"/>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三级指标</w:t>
            </w:r>
          </w:p>
        </w:tc>
        <w:tc>
          <w:tcPr>
            <w:tcW w:w="1134" w:type="dxa"/>
            <w:tcBorders>
              <w:top w:val="nil"/>
              <w:left w:val="nil"/>
              <w:bottom w:val="single" w:color="auto" w:sz="4" w:space="0"/>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年度</w:t>
            </w:r>
          </w:p>
          <w:p>
            <w:pPr>
              <w:widowControl/>
              <w:spacing w:line="260" w:lineRule="exact"/>
              <w:jc w:val="center"/>
              <w:rPr>
                <w:rFonts w:eastAsia="仿宋_GB2312"/>
                <w:color w:val="000000"/>
                <w:sz w:val="20"/>
                <w:szCs w:val="20"/>
              </w:rPr>
            </w:pPr>
            <w:r>
              <w:rPr>
                <w:rFonts w:eastAsia="仿宋_GB2312"/>
                <w:color w:val="000000"/>
                <w:sz w:val="20"/>
                <w:szCs w:val="20"/>
              </w:rPr>
              <w:t>指标值</w:t>
            </w:r>
          </w:p>
        </w:tc>
        <w:tc>
          <w:tcPr>
            <w:tcW w:w="1134" w:type="dxa"/>
            <w:tcBorders>
              <w:top w:val="nil"/>
              <w:left w:val="nil"/>
              <w:bottom w:val="single" w:color="auto" w:sz="4" w:space="0"/>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实际</w:t>
            </w:r>
          </w:p>
          <w:p>
            <w:pPr>
              <w:widowControl/>
              <w:spacing w:line="260" w:lineRule="exact"/>
              <w:jc w:val="center"/>
              <w:rPr>
                <w:rFonts w:eastAsia="仿宋_GB2312"/>
                <w:color w:val="000000"/>
                <w:sz w:val="20"/>
                <w:szCs w:val="20"/>
              </w:rPr>
            </w:pPr>
            <w:r>
              <w:rPr>
                <w:rFonts w:eastAsia="仿宋_GB2312"/>
                <w:color w:val="000000"/>
                <w:sz w:val="20"/>
                <w:szCs w:val="20"/>
              </w:rPr>
              <w:t>完成值</w:t>
            </w:r>
          </w:p>
        </w:tc>
        <w:tc>
          <w:tcPr>
            <w:tcW w:w="828" w:type="dxa"/>
            <w:tcBorders>
              <w:top w:val="nil"/>
              <w:left w:val="nil"/>
              <w:bottom w:val="single" w:color="auto" w:sz="4" w:space="0"/>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分值</w:t>
            </w:r>
          </w:p>
        </w:tc>
        <w:tc>
          <w:tcPr>
            <w:tcW w:w="873" w:type="dxa"/>
            <w:tcBorders>
              <w:top w:val="nil"/>
              <w:left w:val="nil"/>
              <w:bottom w:val="single" w:color="auto" w:sz="4" w:space="0"/>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得分</w:t>
            </w:r>
          </w:p>
        </w:tc>
        <w:tc>
          <w:tcPr>
            <w:tcW w:w="1418" w:type="dxa"/>
            <w:tcBorders>
              <w:top w:val="nil"/>
              <w:left w:val="nil"/>
              <w:bottom w:val="single" w:color="auto" w:sz="4" w:space="0"/>
              <w:right w:val="single" w:color="auto" w:sz="4" w:space="0"/>
            </w:tcBorders>
            <w:noWrap/>
            <w:vAlign w:val="center"/>
          </w:tcPr>
          <w:p>
            <w:pPr>
              <w:widowControl/>
              <w:spacing w:line="260" w:lineRule="exact"/>
              <w:rPr>
                <w:rFonts w:eastAsia="仿宋_GB2312"/>
                <w:color w:val="000000"/>
                <w:sz w:val="20"/>
                <w:szCs w:val="20"/>
              </w:rPr>
            </w:pPr>
            <w:r>
              <w:rPr>
                <w:rFonts w:eastAsia="仿宋_GB2312"/>
                <w:color w:val="000000"/>
                <w:sz w:val="20"/>
                <w:szCs w:val="20"/>
              </w:rPr>
              <w:t>偏差原因分析及改进措施</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restart"/>
            <w:tcBorders>
              <w:top w:val="nil"/>
              <w:left w:val="nil"/>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产出指标</w:t>
            </w:r>
          </w:p>
          <w:p>
            <w:pPr>
              <w:widowControl/>
              <w:spacing w:line="260" w:lineRule="exact"/>
              <w:jc w:val="center"/>
              <w:rPr>
                <w:rFonts w:eastAsia="仿宋_GB2312"/>
                <w:color w:val="000000"/>
                <w:sz w:val="20"/>
                <w:szCs w:val="20"/>
              </w:rPr>
            </w:pPr>
            <w:r>
              <w:rPr>
                <w:rFonts w:eastAsia="仿宋_GB2312"/>
                <w:color w:val="000000"/>
                <w:sz w:val="20"/>
                <w:szCs w:val="20"/>
              </w:rPr>
              <w:t>(50分)</w:t>
            </w:r>
          </w:p>
        </w:tc>
        <w:tc>
          <w:tcPr>
            <w:tcW w:w="1080" w:type="dxa"/>
            <w:vMerge w:val="restart"/>
            <w:tcBorders>
              <w:top w:val="nil"/>
              <w:left w:val="nil"/>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数量指标</w:t>
            </w: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sz w:val="20"/>
                <w:szCs w:val="20"/>
              </w:rPr>
            </w:pPr>
            <w:r>
              <w:rPr>
                <w:rFonts w:hint="eastAsia" w:ascii="仿宋" w:hAnsi="仿宋" w:eastAsia="仿宋"/>
                <w:sz w:val="20"/>
                <w:szCs w:val="20"/>
              </w:rPr>
              <w:t>完成金融会议、活动</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sz w:val="20"/>
                <w:szCs w:val="20"/>
              </w:rPr>
            </w:pPr>
            <w:r>
              <w:rPr>
                <w:rFonts w:hint="eastAsia" w:ascii="仿宋" w:hAnsi="仿宋" w:eastAsia="仿宋"/>
                <w:sz w:val="20"/>
                <w:szCs w:val="20"/>
              </w:rPr>
              <w:t>完成2场以上</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sz w:val="20"/>
                <w:szCs w:val="20"/>
              </w:rPr>
            </w:pPr>
            <w:r>
              <w:rPr>
                <w:rFonts w:ascii="仿宋" w:hAnsi="仿宋" w:eastAsia="仿宋"/>
                <w:sz w:val="20"/>
                <w:szCs w:val="20"/>
              </w:rPr>
              <w:t>　</w:t>
            </w:r>
            <w:r>
              <w:rPr>
                <w:rFonts w:hint="eastAsia" w:ascii="仿宋" w:hAnsi="仿宋" w:eastAsia="仿宋"/>
                <w:sz w:val="20"/>
                <w:szCs w:val="20"/>
              </w:rPr>
              <w:t>4</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8</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8</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center"/>
              <w:rPr>
                <w:rFonts w:eastAsia="仿宋_GB2312"/>
                <w:color w:val="000000"/>
                <w:sz w:val="20"/>
                <w:szCs w:val="20"/>
              </w:rPr>
            </w:pP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sz w:val="20"/>
                <w:szCs w:val="20"/>
              </w:rPr>
            </w:pPr>
            <w:r>
              <w:rPr>
                <w:rFonts w:hint="eastAsia" w:ascii="仿宋" w:hAnsi="仿宋" w:eastAsia="仿宋" w:cs="仿宋_GB2312"/>
                <w:sz w:val="20"/>
                <w:szCs w:val="20"/>
              </w:rPr>
              <w:t>助力企业上市“金芙蓉”跃升行动</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sz w:val="20"/>
                <w:szCs w:val="20"/>
              </w:rPr>
            </w:pPr>
            <w:r>
              <w:rPr>
                <w:rFonts w:hint="eastAsia" w:ascii="仿宋" w:hAnsi="仿宋" w:eastAsia="仿宋" w:cs="仿宋_GB2312"/>
                <w:sz w:val="20"/>
                <w:szCs w:val="20"/>
              </w:rPr>
              <w:t>助力企业上市“金芙蓉”跃升行动</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sz w:val="20"/>
                <w:szCs w:val="20"/>
              </w:rPr>
            </w:pPr>
            <w:r>
              <w:rPr>
                <w:rFonts w:hint="eastAsia" w:ascii="仿宋" w:hAnsi="仿宋" w:eastAsia="仿宋" w:cs="仿宋_GB2312"/>
                <w:sz w:val="20"/>
                <w:szCs w:val="20"/>
              </w:rPr>
              <w:t>助力恒兴建材完成了上市计划的专项审计和验资程序</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6</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6</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trHeight w:val="697" w:hRule="atLeast"/>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bottom w:val="single" w:color="auto" w:sz="4" w:space="0"/>
              <w:right w:val="single" w:color="auto" w:sz="4" w:space="0"/>
            </w:tcBorders>
            <w:noWrap/>
            <w:vAlign w:val="center"/>
          </w:tcPr>
          <w:p>
            <w:pPr>
              <w:widowControl/>
              <w:spacing w:line="260" w:lineRule="exact"/>
              <w:jc w:val="center"/>
              <w:rPr>
                <w:rFonts w:eastAsia="仿宋_GB2312"/>
                <w:color w:val="000000"/>
                <w:sz w:val="20"/>
                <w:szCs w:val="20"/>
              </w:rPr>
            </w:pP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s="宋体"/>
                <w:sz w:val="20"/>
                <w:szCs w:val="20"/>
              </w:rPr>
            </w:pP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sz w:val="20"/>
                <w:szCs w:val="20"/>
              </w:rPr>
            </w:pP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sz w:val="20"/>
                <w:szCs w:val="20"/>
              </w:rPr>
            </w:pPr>
            <w:r>
              <w:rPr>
                <w:rFonts w:ascii="仿宋" w:hAnsi="仿宋" w:eastAsia="仿宋"/>
                <w:sz w:val="20"/>
                <w:szCs w:val="20"/>
              </w:rPr>
              <w:t>　</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hint="eastAsia" w:eastAsia="仿宋_GB2312"/>
                <w:color w:val="000000"/>
                <w:sz w:val="20"/>
                <w:szCs w:val="20"/>
              </w:rPr>
              <w:t xml:space="preserve">  </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left"/>
              <w:rPr>
                <w:rFonts w:eastAsia="仿宋_GB2312"/>
                <w:color w:val="000000"/>
                <w:sz w:val="20"/>
                <w:szCs w:val="20"/>
              </w:rPr>
            </w:pPr>
          </w:p>
        </w:tc>
        <w:tc>
          <w:tcPr>
            <w:tcW w:w="1080" w:type="dxa"/>
            <w:vMerge w:val="restart"/>
            <w:tcBorders>
              <w:top w:val="nil"/>
              <w:left w:val="nil"/>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质量指标</w:t>
            </w: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sz w:val="20"/>
                <w:szCs w:val="20"/>
              </w:rPr>
            </w:pPr>
            <w:r>
              <w:rPr>
                <w:rFonts w:hint="eastAsia" w:ascii="仿宋" w:hAnsi="仿宋" w:eastAsia="仿宋"/>
                <w:sz w:val="20"/>
                <w:szCs w:val="20"/>
              </w:rPr>
              <w:t>金融会议、活动是否安排执行到位</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sz w:val="20"/>
                <w:szCs w:val="20"/>
              </w:rPr>
            </w:pPr>
            <w:r>
              <w:rPr>
                <w:rFonts w:hint="eastAsia" w:ascii="仿宋" w:hAnsi="仿宋" w:eastAsia="仿宋"/>
                <w:sz w:val="20"/>
                <w:szCs w:val="20"/>
              </w:rPr>
              <w:t>高质量执行到位</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s="宋体"/>
                <w:sz w:val="20"/>
                <w:szCs w:val="20"/>
              </w:rPr>
            </w:pPr>
            <w:r>
              <w:rPr>
                <w:rFonts w:hint="eastAsia" w:ascii="仿宋" w:hAnsi="仿宋" w:eastAsia="仿宋" w:cs="宋体"/>
                <w:sz w:val="20"/>
                <w:szCs w:val="20"/>
              </w:rPr>
              <w:t>已高质量执行到位</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6</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6</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center"/>
              <w:rPr>
                <w:rFonts w:eastAsia="仿宋_GB2312"/>
                <w:color w:val="000000"/>
                <w:sz w:val="20"/>
                <w:szCs w:val="20"/>
              </w:rPr>
            </w:pP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sz w:val="20"/>
                <w:szCs w:val="20"/>
              </w:rPr>
            </w:pPr>
            <w:r>
              <w:rPr>
                <w:rFonts w:hint="eastAsia" w:ascii="仿宋" w:hAnsi="仿宋" w:eastAsia="仿宋"/>
                <w:sz w:val="20"/>
                <w:szCs w:val="20"/>
              </w:rPr>
              <w:t>金融工作是否落实到位</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sz w:val="20"/>
                <w:szCs w:val="20"/>
              </w:rPr>
            </w:pPr>
            <w:r>
              <w:rPr>
                <w:rFonts w:hint="eastAsia" w:ascii="仿宋" w:hAnsi="仿宋" w:eastAsia="仿宋"/>
                <w:sz w:val="20"/>
                <w:szCs w:val="20"/>
              </w:rPr>
              <w:t>高质量落实到位</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s="宋体"/>
                <w:sz w:val="20"/>
                <w:szCs w:val="20"/>
              </w:rPr>
            </w:pPr>
            <w:r>
              <w:rPr>
                <w:rFonts w:hint="eastAsia" w:ascii="仿宋" w:hAnsi="仿宋" w:eastAsia="仿宋" w:cs="宋体"/>
                <w:sz w:val="20"/>
                <w:szCs w:val="20"/>
              </w:rPr>
              <w:t>已高质量落实到位</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6</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6</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trHeight w:val="653" w:hRule="atLeast"/>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bottom w:val="single" w:color="auto" w:sz="4" w:space="0"/>
              <w:right w:val="single" w:color="auto" w:sz="4" w:space="0"/>
            </w:tcBorders>
            <w:noWrap/>
            <w:vAlign w:val="center"/>
          </w:tcPr>
          <w:p>
            <w:pPr>
              <w:widowControl/>
              <w:spacing w:line="260" w:lineRule="exact"/>
              <w:jc w:val="center"/>
              <w:rPr>
                <w:rFonts w:eastAsia="仿宋_GB2312"/>
                <w:color w:val="000000"/>
                <w:sz w:val="20"/>
                <w:szCs w:val="20"/>
              </w:rPr>
            </w:pP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sz w:val="20"/>
                <w:szCs w:val="20"/>
              </w:rPr>
            </w:pP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sz w:val="20"/>
                <w:szCs w:val="20"/>
              </w:rPr>
            </w:pPr>
            <w:r>
              <w:rPr>
                <w:rFonts w:ascii="仿宋" w:hAnsi="仿宋" w:eastAsia="仿宋"/>
                <w:sz w:val="20"/>
                <w:szCs w:val="20"/>
              </w:rPr>
              <w:t>　</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sz w:val="20"/>
                <w:szCs w:val="20"/>
              </w:rPr>
            </w:pPr>
            <w:r>
              <w:rPr>
                <w:rFonts w:ascii="仿宋" w:hAnsi="仿宋" w:eastAsia="仿宋"/>
                <w:sz w:val="20"/>
                <w:szCs w:val="20"/>
              </w:rPr>
              <w:t>　</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left"/>
              <w:rPr>
                <w:rFonts w:eastAsia="仿宋_GB2312"/>
                <w:color w:val="000000"/>
                <w:sz w:val="20"/>
                <w:szCs w:val="20"/>
              </w:rPr>
            </w:pPr>
          </w:p>
        </w:tc>
        <w:tc>
          <w:tcPr>
            <w:tcW w:w="1080" w:type="dxa"/>
            <w:vMerge w:val="restart"/>
            <w:tcBorders>
              <w:top w:val="nil"/>
              <w:left w:val="nil"/>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时效指标</w:t>
            </w: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sz w:val="20"/>
                <w:szCs w:val="20"/>
              </w:rPr>
            </w:pPr>
            <w:r>
              <w:rPr>
                <w:rFonts w:hint="eastAsia" w:ascii="仿宋" w:hAnsi="仿宋" w:eastAsia="仿宋"/>
                <w:sz w:val="20"/>
                <w:szCs w:val="20"/>
              </w:rPr>
              <w:t>金融会议、活动按方案及时举行</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sz w:val="20"/>
                <w:szCs w:val="20"/>
              </w:rPr>
            </w:pPr>
            <w:r>
              <w:rPr>
                <w:rFonts w:hint="eastAsia" w:ascii="仿宋" w:hAnsi="仿宋" w:eastAsia="仿宋"/>
                <w:sz w:val="20"/>
                <w:szCs w:val="20"/>
              </w:rPr>
              <w:t>按时举行</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s="宋体"/>
                <w:sz w:val="20"/>
                <w:szCs w:val="20"/>
              </w:rPr>
            </w:pPr>
            <w:r>
              <w:rPr>
                <w:rFonts w:hint="eastAsia" w:ascii="仿宋" w:hAnsi="仿宋" w:eastAsia="仿宋" w:cs="宋体"/>
                <w:sz w:val="20"/>
                <w:szCs w:val="20"/>
              </w:rPr>
              <w:t>已按时举行</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6</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6</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center"/>
              <w:rPr>
                <w:rFonts w:eastAsia="仿宋_GB2312"/>
                <w:color w:val="000000"/>
                <w:sz w:val="20"/>
                <w:szCs w:val="20"/>
              </w:rPr>
            </w:pP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sz w:val="20"/>
                <w:szCs w:val="20"/>
              </w:rPr>
            </w:pPr>
            <w:r>
              <w:rPr>
                <w:rFonts w:hint="eastAsia" w:ascii="仿宋" w:hAnsi="仿宋" w:eastAsia="仿宋"/>
                <w:sz w:val="20"/>
                <w:szCs w:val="20"/>
              </w:rPr>
              <w:t>及时完成</w:t>
            </w:r>
            <w:r>
              <w:rPr>
                <w:rFonts w:hint="eastAsia" w:ascii="仿宋" w:hAnsi="仿宋" w:eastAsia="仿宋" w:cs="宋体"/>
                <w:sz w:val="20"/>
                <w:szCs w:val="20"/>
              </w:rPr>
              <w:t>金融</w:t>
            </w:r>
            <w:r>
              <w:rPr>
                <w:rFonts w:hint="eastAsia" w:ascii="仿宋" w:hAnsi="仿宋" w:eastAsia="仿宋"/>
                <w:sz w:val="20"/>
                <w:szCs w:val="20"/>
              </w:rPr>
              <w:t>各项工作</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sz w:val="20"/>
                <w:szCs w:val="20"/>
              </w:rPr>
            </w:pPr>
            <w:r>
              <w:rPr>
                <w:rFonts w:hint="eastAsia" w:ascii="仿宋" w:hAnsi="仿宋" w:eastAsia="仿宋"/>
                <w:sz w:val="20"/>
                <w:szCs w:val="20"/>
              </w:rPr>
              <w:t>按时完成</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s="宋体"/>
                <w:sz w:val="20"/>
                <w:szCs w:val="20"/>
              </w:rPr>
            </w:pPr>
            <w:r>
              <w:rPr>
                <w:rFonts w:hint="eastAsia" w:ascii="仿宋" w:hAnsi="仿宋" w:eastAsia="仿宋" w:cs="宋体"/>
                <w:sz w:val="20"/>
                <w:szCs w:val="20"/>
              </w:rPr>
              <w:t>已按时完成</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6</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6</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trHeight w:val="797" w:hRule="atLeast"/>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bottom w:val="single" w:color="auto" w:sz="4" w:space="0"/>
              <w:right w:val="single" w:color="auto" w:sz="4" w:space="0"/>
            </w:tcBorders>
            <w:noWrap/>
            <w:vAlign w:val="center"/>
          </w:tcPr>
          <w:p>
            <w:pPr>
              <w:widowControl/>
              <w:spacing w:line="260" w:lineRule="exact"/>
              <w:jc w:val="center"/>
              <w:rPr>
                <w:rFonts w:eastAsia="仿宋_GB2312"/>
                <w:color w:val="000000"/>
                <w:sz w:val="20"/>
                <w:szCs w:val="20"/>
              </w:rPr>
            </w:pP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left"/>
              <w:rPr>
                <w:rFonts w:eastAsia="仿宋_GB2312"/>
                <w:color w:val="000000"/>
                <w:sz w:val="20"/>
                <w:szCs w:val="20"/>
              </w:rPr>
            </w:pPr>
          </w:p>
        </w:tc>
        <w:tc>
          <w:tcPr>
            <w:tcW w:w="1080" w:type="dxa"/>
            <w:vMerge w:val="restart"/>
            <w:tcBorders>
              <w:top w:val="nil"/>
              <w:left w:val="nil"/>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成本指标</w:t>
            </w: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hint="eastAsia" w:ascii="仿宋" w:hAnsi="仿宋" w:eastAsia="仿宋"/>
                <w:sz w:val="20"/>
                <w:szCs w:val="20"/>
              </w:rPr>
              <w:t>完成金融会议、活动，成效显著</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hint="eastAsia" w:ascii="仿宋" w:hAnsi="仿宋" w:eastAsia="仿宋"/>
                <w:sz w:val="20"/>
                <w:szCs w:val="20"/>
              </w:rPr>
              <w:t>完成金融会议、活动，成效显著</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hint="eastAsia" w:ascii="仿宋" w:hAnsi="仿宋" w:eastAsia="仿宋" w:cs="新宋体"/>
                <w:color w:val="000000"/>
                <w:sz w:val="20"/>
                <w:szCs w:val="20"/>
              </w:rPr>
              <w:t>已完成，成效显著</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6</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6</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left"/>
              <w:rPr>
                <w:rFonts w:eastAsia="仿宋_GB2312"/>
                <w:color w:val="000000"/>
                <w:sz w:val="20"/>
                <w:szCs w:val="20"/>
              </w:rPr>
            </w:pP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hint="eastAsia" w:ascii="仿宋" w:hAnsi="仿宋" w:eastAsia="仿宋" w:cs="新宋体"/>
                <w:color w:val="000000"/>
                <w:sz w:val="20"/>
                <w:szCs w:val="20"/>
              </w:rPr>
              <w:t>受到专题通报表扬或市委市政府、省委省政府表扬</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hint="eastAsia" w:ascii="仿宋" w:hAnsi="仿宋" w:eastAsia="仿宋" w:cs="新宋体"/>
                <w:color w:val="000000"/>
                <w:sz w:val="20"/>
                <w:szCs w:val="20"/>
              </w:rPr>
              <w:t>受到专题通报表扬或市委市政府、省委省政府表扬</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hint="eastAsia" w:ascii="仿宋" w:hAnsi="仿宋" w:eastAsia="仿宋" w:cs="仿宋_GB2312"/>
                <w:sz w:val="20"/>
                <w:szCs w:val="20"/>
              </w:rPr>
              <w:t>金融“活水”浇灌乡村振兴“良田”的典型经验做法获得了省政府督查激励通报表扬</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6</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6</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trHeight w:val="431" w:hRule="atLeast"/>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1080" w:type="dxa"/>
            <w:vMerge w:val="continue"/>
            <w:tcBorders>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restart"/>
            <w:tcBorders>
              <w:top w:val="nil"/>
              <w:left w:val="nil"/>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效益指标</w:t>
            </w:r>
          </w:p>
          <w:p>
            <w:pPr>
              <w:widowControl/>
              <w:spacing w:line="260" w:lineRule="exact"/>
              <w:jc w:val="left"/>
              <w:rPr>
                <w:rFonts w:eastAsia="仿宋_GB2312"/>
                <w:color w:val="000000"/>
                <w:sz w:val="20"/>
                <w:szCs w:val="20"/>
              </w:rPr>
            </w:pPr>
            <w:r>
              <w:rPr>
                <w:rFonts w:eastAsia="仿宋_GB2312"/>
                <w:color w:val="000000"/>
                <w:sz w:val="20"/>
                <w:szCs w:val="20"/>
              </w:rPr>
              <w:t>（30分）</w:t>
            </w:r>
          </w:p>
        </w:tc>
        <w:tc>
          <w:tcPr>
            <w:tcW w:w="1080" w:type="dxa"/>
            <w:vMerge w:val="restart"/>
            <w:tcBorders>
              <w:top w:val="nil"/>
              <w:left w:val="nil"/>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经济效</w:t>
            </w:r>
          </w:p>
          <w:p>
            <w:pPr>
              <w:widowControl/>
              <w:spacing w:line="260" w:lineRule="exact"/>
              <w:jc w:val="center"/>
              <w:rPr>
                <w:rFonts w:eastAsia="仿宋_GB2312"/>
                <w:color w:val="000000"/>
                <w:sz w:val="20"/>
                <w:szCs w:val="20"/>
              </w:rPr>
            </w:pPr>
            <w:r>
              <w:rPr>
                <w:rFonts w:eastAsia="仿宋_GB2312"/>
                <w:color w:val="000000"/>
                <w:sz w:val="20"/>
                <w:szCs w:val="20"/>
              </w:rPr>
              <w:t>益指标</w:t>
            </w: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hint="eastAsia" w:ascii="仿宋" w:hAnsi="仿宋" w:eastAsia="仿宋"/>
                <w:color w:val="000000"/>
                <w:sz w:val="20"/>
                <w:szCs w:val="20"/>
              </w:rPr>
              <w:t>经济效益提升</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hint="eastAsia" w:ascii="仿宋" w:hAnsi="仿宋" w:eastAsia="仿宋"/>
                <w:color w:val="000000"/>
                <w:sz w:val="20"/>
                <w:szCs w:val="20"/>
              </w:rPr>
              <w:t>有所提升</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hint="eastAsia" w:ascii="仿宋" w:hAnsi="仿宋" w:eastAsia="仿宋"/>
                <w:color w:val="000000"/>
                <w:sz w:val="20"/>
                <w:szCs w:val="20"/>
              </w:rPr>
              <w:t>有所提升</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9</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9</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trHeight w:val="445" w:hRule="atLeast"/>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center"/>
              <w:rPr>
                <w:rFonts w:eastAsia="仿宋_GB2312"/>
                <w:color w:val="000000"/>
                <w:sz w:val="20"/>
                <w:szCs w:val="20"/>
              </w:rPr>
            </w:pP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trHeight w:val="408" w:hRule="atLeast"/>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bottom w:val="single" w:color="auto" w:sz="4" w:space="0"/>
              <w:right w:val="single" w:color="auto" w:sz="4" w:space="0"/>
            </w:tcBorders>
            <w:noWrap/>
            <w:vAlign w:val="center"/>
          </w:tcPr>
          <w:p>
            <w:pPr>
              <w:widowControl/>
              <w:spacing w:line="260" w:lineRule="exact"/>
              <w:jc w:val="center"/>
              <w:rPr>
                <w:rFonts w:eastAsia="仿宋_GB2312"/>
                <w:color w:val="000000"/>
                <w:sz w:val="20"/>
                <w:szCs w:val="20"/>
              </w:rPr>
            </w:pP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left"/>
              <w:rPr>
                <w:rFonts w:eastAsia="仿宋_GB2312"/>
                <w:color w:val="000000"/>
                <w:sz w:val="20"/>
                <w:szCs w:val="20"/>
              </w:rPr>
            </w:pPr>
          </w:p>
        </w:tc>
        <w:tc>
          <w:tcPr>
            <w:tcW w:w="1080" w:type="dxa"/>
            <w:vMerge w:val="restart"/>
            <w:tcBorders>
              <w:top w:val="nil"/>
              <w:left w:val="nil"/>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社会效</w:t>
            </w:r>
          </w:p>
          <w:p>
            <w:pPr>
              <w:widowControl/>
              <w:spacing w:line="260" w:lineRule="exact"/>
              <w:jc w:val="center"/>
              <w:rPr>
                <w:rFonts w:eastAsia="仿宋_GB2312"/>
                <w:color w:val="000000"/>
                <w:sz w:val="20"/>
                <w:szCs w:val="20"/>
              </w:rPr>
            </w:pPr>
            <w:r>
              <w:rPr>
                <w:rFonts w:eastAsia="仿宋_GB2312"/>
                <w:color w:val="000000"/>
                <w:sz w:val="20"/>
                <w:szCs w:val="20"/>
              </w:rPr>
              <w:t>益指标</w:t>
            </w: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hint="eastAsia" w:ascii="仿宋" w:hAnsi="仿宋" w:eastAsia="仿宋"/>
                <w:color w:val="000000"/>
                <w:sz w:val="20"/>
                <w:szCs w:val="20"/>
              </w:rPr>
              <w:t>社会效益提升</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hint="eastAsia" w:ascii="仿宋" w:hAnsi="仿宋" w:eastAsia="仿宋"/>
                <w:color w:val="000000"/>
                <w:sz w:val="20"/>
                <w:szCs w:val="20"/>
              </w:rPr>
              <w:t>有所提升</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hint="eastAsia" w:ascii="仿宋" w:hAnsi="仿宋" w:eastAsia="仿宋"/>
                <w:color w:val="000000"/>
                <w:sz w:val="20"/>
                <w:szCs w:val="20"/>
              </w:rPr>
              <w:t>有所提升</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7</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7</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center"/>
              <w:rPr>
                <w:rFonts w:eastAsia="仿宋_GB2312"/>
                <w:color w:val="000000"/>
                <w:sz w:val="20"/>
                <w:szCs w:val="20"/>
              </w:rPr>
            </w:pP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bottom w:val="single" w:color="auto" w:sz="4" w:space="0"/>
              <w:right w:val="single" w:color="auto" w:sz="4" w:space="0"/>
            </w:tcBorders>
            <w:noWrap/>
            <w:vAlign w:val="center"/>
          </w:tcPr>
          <w:p>
            <w:pPr>
              <w:widowControl/>
              <w:spacing w:line="260" w:lineRule="exact"/>
              <w:jc w:val="center"/>
              <w:rPr>
                <w:rFonts w:eastAsia="仿宋_GB2312"/>
                <w:color w:val="000000"/>
                <w:sz w:val="20"/>
                <w:szCs w:val="20"/>
              </w:rPr>
            </w:pP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left"/>
              <w:rPr>
                <w:rFonts w:eastAsia="仿宋_GB2312"/>
                <w:color w:val="000000"/>
                <w:sz w:val="20"/>
                <w:szCs w:val="20"/>
              </w:rPr>
            </w:pPr>
          </w:p>
        </w:tc>
        <w:tc>
          <w:tcPr>
            <w:tcW w:w="1080" w:type="dxa"/>
            <w:vMerge w:val="restart"/>
            <w:tcBorders>
              <w:top w:val="nil"/>
              <w:left w:val="nil"/>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生态效</w:t>
            </w:r>
          </w:p>
          <w:p>
            <w:pPr>
              <w:widowControl/>
              <w:spacing w:line="260" w:lineRule="exact"/>
              <w:jc w:val="center"/>
              <w:rPr>
                <w:rFonts w:eastAsia="仿宋_GB2312"/>
                <w:color w:val="000000"/>
                <w:sz w:val="20"/>
                <w:szCs w:val="20"/>
              </w:rPr>
            </w:pPr>
            <w:r>
              <w:rPr>
                <w:rFonts w:eastAsia="仿宋_GB2312"/>
                <w:color w:val="000000"/>
                <w:sz w:val="20"/>
                <w:szCs w:val="20"/>
              </w:rPr>
              <w:t>益指标</w:t>
            </w: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hint="eastAsia" w:ascii="仿宋" w:hAnsi="仿宋" w:eastAsia="仿宋"/>
                <w:color w:val="000000"/>
                <w:sz w:val="20"/>
                <w:szCs w:val="20"/>
              </w:rPr>
              <w:t>满足生态需求</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hint="eastAsia" w:ascii="仿宋" w:hAnsi="仿宋" w:eastAsia="仿宋"/>
                <w:color w:val="000000"/>
                <w:sz w:val="20"/>
                <w:szCs w:val="20"/>
              </w:rPr>
              <w:t>满足生态需求</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hint="eastAsia" w:ascii="仿宋" w:hAnsi="仿宋" w:eastAsia="仿宋"/>
                <w:color w:val="000000"/>
                <w:sz w:val="20"/>
                <w:szCs w:val="20"/>
              </w:rPr>
              <w:t>生态需求得到满足</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7</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7</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left"/>
              <w:rPr>
                <w:rFonts w:eastAsia="仿宋_GB2312"/>
                <w:color w:val="000000"/>
                <w:sz w:val="20"/>
                <w:szCs w:val="20"/>
              </w:rPr>
            </w:pP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widowControl/>
              <w:spacing w:line="260" w:lineRule="exact"/>
              <w:jc w:val="left"/>
              <w:rPr>
                <w:rFonts w:eastAsia="仿宋_GB2312"/>
                <w:color w:val="000000"/>
                <w:sz w:val="20"/>
                <w:szCs w:val="20"/>
              </w:rPr>
            </w:pPr>
          </w:p>
        </w:tc>
        <w:tc>
          <w:tcPr>
            <w:tcW w:w="1080" w:type="dxa"/>
            <w:vMerge w:val="continue"/>
            <w:tcBorders>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ign w:val="center"/>
          </w:tcPr>
          <w:p>
            <w:pPr>
              <w:widowControl/>
              <w:spacing w:line="260" w:lineRule="exact"/>
              <w:jc w:val="center"/>
              <w:rPr>
                <w:rFonts w:eastAsia="仿宋_GB2312"/>
                <w:color w:val="000000"/>
                <w:sz w:val="20"/>
                <w:szCs w:val="20"/>
              </w:rPr>
            </w:pPr>
          </w:p>
        </w:tc>
        <w:tc>
          <w:tcPr>
            <w:tcW w:w="1080" w:type="dxa"/>
            <w:vMerge w:val="continue"/>
            <w:tcBorders>
              <w:left w:val="nil"/>
              <w:right w:val="single" w:color="auto" w:sz="4" w:space="0"/>
            </w:tcBorders>
            <w:noWrap/>
            <w:vAlign w:val="center"/>
          </w:tcPr>
          <w:p>
            <w:pPr>
              <w:widowControl/>
              <w:spacing w:line="260" w:lineRule="exact"/>
              <w:jc w:val="left"/>
              <w:rPr>
                <w:rFonts w:eastAsia="仿宋_GB2312"/>
                <w:color w:val="000000"/>
                <w:sz w:val="20"/>
                <w:szCs w:val="20"/>
              </w:rPr>
            </w:pPr>
          </w:p>
        </w:tc>
        <w:tc>
          <w:tcPr>
            <w:tcW w:w="1080" w:type="dxa"/>
            <w:vMerge w:val="restart"/>
            <w:tcBorders>
              <w:top w:val="single" w:color="auto" w:sz="4" w:space="0"/>
              <w:left w:val="single" w:color="auto" w:sz="4" w:space="0"/>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可持续</w:t>
            </w:r>
          </w:p>
          <w:p>
            <w:pPr>
              <w:widowControl/>
              <w:spacing w:line="260" w:lineRule="exact"/>
              <w:jc w:val="center"/>
              <w:rPr>
                <w:rFonts w:eastAsia="仿宋_GB2312"/>
                <w:color w:val="000000"/>
                <w:sz w:val="20"/>
                <w:szCs w:val="20"/>
              </w:rPr>
            </w:pPr>
            <w:r>
              <w:rPr>
                <w:rFonts w:eastAsia="仿宋_GB2312"/>
                <w:color w:val="000000"/>
                <w:sz w:val="20"/>
                <w:szCs w:val="20"/>
              </w:rPr>
              <w:t>影响指标</w:t>
            </w:r>
          </w:p>
        </w:tc>
        <w:tc>
          <w:tcPr>
            <w:tcW w:w="1224" w:type="dxa"/>
            <w:tcBorders>
              <w:top w:val="single" w:color="auto" w:sz="4" w:space="0"/>
              <w:left w:val="single" w:color="auto" w:sz="4" w:space="0"/>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hint="eastAsia" w:ascii="仿宋" w:hAnsi="仿宋" w:eastAsia="仿宋" w:cs="新宋体"/>
                <w:color w:val="000000"/>
                <w:sz w:val="20"/>
                <w:szCs w:val="20"/>
              </w:rPr>
              <w:t>保持可持续发展影响</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hint="eastAsia" w:ascii="仿宋" w:hAnsi="仿宋" w:eastAsia="仿宋" w:cs="新宋体"/>
                <w:color w:val="000000"/>
                <w:sz w:val="20"/>
                <w:szCs w:val="20"/>
              </w:rPr>
              <w:t>保持可持续发展影响</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hint="eastAsia" w:ascii="仿宋" w:hAnsi="仿宋" w:eastAsia="仿宋" w:cs="新宋体"/>
                <w:color w:val="000000"/>
                <w:sz w:val="20"/>
                <w:szCs w:val="20"/>
              </w:rPr>
              <w:t>保持可持续发展影响</w:t>
            </w:r>
          </w:p>
        </w:tc>
        <w:tc>
          <w:tcPr>
            <w:tcW w:w="828" w:type="dxa"/>
            <w:tcBorders>
              <w:top w:val="single" w:color="auto" w:sz="4" w:space="0"/>
              <w:left w:val="single" w:color="auto" w:sz="4" w:space="0"/>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7</w:t>
            </w:r>
          </w:p>
        </w:tc>
        <w:tc>
          <w:tcPr>
            <w:tcW w:w="873" w:type="dxa"/>
            <w:tcBorders>
              <w:top w:val="single" w:color="auto" w:sz="4" w:space="0"/>
              <w:left w:val="single" w:color="auto" w:sz="4" w:space="0"/>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7</w:t>
            </w:r>
          </w:p>
        </w:tc>
        <w:tc>
          <w:tcPr>
            <w:tcW w:w="1418" w:type="dxa"/>
            <w:tcBorders>
              <w:top w:val="single" w:color="auto" w:sz="4" w:space="0"/>
              <w:left w:val="single" w:color="auto" w:sz="4" w:space="0"/>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224" w:type="dxa"/>
            <w:tcBorders>
              <w:top w:val="single" w:color="auto" w:sz="4" w:space="0"/>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p>
        </w:tc>
        <w:tc>
          <w:tcPr>
            <w:tcW w:w="1134" w:type="dxa"/>
            <w:tcBorders>
              <w:top w:val="single" w:color="auto" w:sz="4" w:space="0"/>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p>
        </w:tc>
        <w:tc>
          <w:tcPr>
            <w:tcW w:w="1134" w:type="dxa"/>
            <w:tcBorders>
              <w:top w:val="single" w:color="auto" w:sz="4" w:space="0"/>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p>
        </w:tc>
        <w:tc>
          <w:tcPr>
            <w:tcW w:w="828" w:type="dxa"/>
            <w:tcBorders>
              <w:top w:val="single" w:color="auto" w:sz="4" w:space="0"/>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873" w:type="dxa"/>
            <w:tcBorders>
              <w:top w:val="single" w:color="auto" w:sz="4" w:space="0"/>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1418" w:type="dxa"/>
            <w:tcBorders>
              <w:top w:val="single" w:color="auto" w:sz="4" w:space="0"/>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1080" w:type="dxa"/>
            <w:vMerge w:val="continue"/>
            <w:tcBorders>
              <w:left w:val="single" w:color="auto" w:sz="4" w:space="0"/>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restart"/>
            <w:tcBorders>
              <w:top w:val="nil"/>
              <w:left w:val="nil"/>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满意度</w:t>
            </w:r>
          </w:p>
          <w:p>
            <w:pPr>
              <w:widowControl/>
              <w:spacing w:line="260" w:lineRule="exact"/>
              <w:jc w:val="center"/>
              <w:rPr>
                <w:rFonts w:eastAsia="仿宋_GB2312"/>
                <w:color w:val="000000"/>
                <w:sz w:val="20"/>
                <w:szCs w:val="20"/>
              </w:rPr>
            </w:pPr>
            <w:r>
              <w:rPr>
                <w:rFonts w:eastAsia="仿宋_GB2312"/>
                <w:color w:val="000000"/>
                <w:sz w:val="20"/>
                <w:szCs w:val="20"/>
              </w:rPr>
              <w:t>指标</w:t>
            </w:r>
          </w:p>
          <w:p>
            <w:pPr>
              <w:widowControl/>
              <w:spacing w:line="260" w:lineRule="exact"/>
              <w:jc w:val="center"/>
              <w:rPr>
                <w:rFonts w:eastAsia="仿宋_GB2312"/>
                <w:color w:val="000000"/>
                <w:sz w:val="20"/>
                <w:szCs w:val="20"/>
              </w:rPr>
            </w:pPr>
            <w:r>
              <w:rPr>
                <w:rFonts w:eastAsia="仿宋_GB2312"/>
                <w:color w:val="000000"/>
                <w:sz w:val="20"/>
                <w:szCs w:val="20"/>
              </w:rPr>
              <w:t>（10分）</w:t>
            </w:r>
          </w:p>
        </w:tc>
        <w:tc>
          <w:tcPr>
            <w:tcW w:w="1080" w:type="dxa"/>
            <w:vMerge w:val="restart"/>
            <w:tcBorders>
              <w:top w:val="nil"/>
              <w:left w:val="nil"/>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服务对象满意度</w:t>
            </w:r>
          </w:p>
          <w:p>
            <w:pPr>
              <w:widowControl/>
              <w:spacing w:line="260" w:lineRule="exact"/>
              <w:jc w:val="center"/>
              <w:rPr>
                <w:rFonts w:eastAsia="仿宋_GB2312"/>
                <w:color w:val="000000"/>
                <w:sz w:val="20"/>
                <w:szCs w:val="20"/>
              </w:rPr>
            </w:pPr>
            <w:r>
              <w:rPr>
                <w:rFonts w:eastAsia="仿宋_GB2312"/>
                <w:color w:val="000000"/>
                <w:sz w:val="20"/>
                <w:szCs w:val="20"/>
              </w:rPr>
              <w:t>指标</w:t>
            </w: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hint="eastAsia" w:ascii="仿宋" w:hAnsi="仿宋" w:eastAsia="仿宋" w:cs="新宋体"/>
                <w:color w:val="000000"/>
                <w:sz w:val="20"/>
                <w:szCs w:val="20"/>
              </w:rPr>
              <w:t>向社会公众提供金融法律法规及相关政策的宣传</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hint="eastAsia" w:ascii="仿宋" w:hAnsi="仿宋" w:eastAsia="仿宋" w:cs="新宋体"/>
                <w:color w:val="000000"/>
                <w:sz w:val="20"/>
                <w:szCs w:val="20"/>
              </w:rPr>
              <w:t>服务对象满意度≥90%</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ascii="仿宋" w:hAnsi="仿宋" w:eastAsia="仿宋"/>
                <w:color w:val="000000"/>
                <w:sz w:val="20"/>
                <w:szCs w:val="20"/>
              </w:rPr>
            </w:pPr>
            <w:r>
              <w:rPr>
                <w:rFonts w:hint="eastAsia" w:ascii="仿宋" w:hAnsi="仿宋" w:eastAsia="仿宋"/>
                <w:color w:val="000000"/>
                <w:sz w:val="20"/>
                <w:szCs w:val="20"/>
              </w:rPr>
              <w:t>满意度96%</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10</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10</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left"/>
              <w:rPr>
                <w:rFonts w:eastAsia="仿宋_GB2312"/>
                <w:color w:val="000000"/>
                <w:sz w:val="20"/>
                <w:szCs w:val="20"/>
              </w:rPr>
            </w:pPr>
          </w:p>
        </w:tc>
        <w:tc>
          <w:tcPr>
            <w:tcW w:w="1080" w:type="dxa"/>
            <w:vMerge w:val="continue"/>
            <w:tcBorders>
              <w:left w:val="nil"/>
              <w:right w:val="single" w:color="auto" w:sz="4" w:space="0"/>
            </w:tcBorders>
            <w:noWrap/>
            <w:vAlign w:val="center"/>
          </w:tcPr>
          <w:p>
            <w:pPr>
              <w:spacing w:line="260" w:lineRule="exact"/>
              <w:jc w:val="left"/>
              <w:rPr>
                <w:rFonts w:eastAsia="仿宋_GB2312"/>
                <w:color w:val="000000"/>
                <w:sz w:val="20"/>
                <w:szCs w:val="20"/>
              </w:rPr>
            </w:pP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1080" w:type="dxa"/>
            <w:vMerge w:val="continue"/>
            <w:tcBorders>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1080" w:type="dxa"/>
            <w:vMerge w:val="continue"/>
            <w:tcBorders>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122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1134"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82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r>
        <w:tblPrEx>
          <w:tblCellMar>
            <w:top w:w="0" w:type="dxa"/>
            <w:left w:w="108" w:type="dxa"/>
            <w:bottom w:w="0" w:type="dxa"/>
            <w:right w:w="108" w:type="dxa"/>
          </w:tblCellMar>
        </w:tblPrEx>
        <w:trPr>
          <w:jc w:val="center"/>
        </w:trPr>
        <w:tc>
          <w:tcPr>
            <w:tcW w:w="6732" w:type="dxa"/>
            <w:gridSpan w:val="6"/>
            <w:tcBorders>
              <w:top w:val="single" w:color="auto" w:sz="4" w:space="0"/>
              <w:left w:val="single" w:color="auto" w:sz="4" w:space="0"/>
              <w:bottom w:val="single" w:color="auto" w:sz="4" w:space="0"/>
              <w:right w:val="single" w:color="000000"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总分</w:t>
            </w:r>
          </w:p>
        </w:tc>
        <w:tc>
          <w:tcPr>
            <w:tcW w:w="828" w:type="dxa"/>
            <w:tcBorders>
              <w:top w:val="nil"/>
              <w:left w:val="nil"/>
              <w:bottom w:val="single" w:color="auto" w:sz="4" w:space="0"/>
              <w:right w:val="single" w:color="auto" w:sz="4" w:space="0"/>
            </w:tcBorders>
            <w:noWrap/>
            <w:vAlign w:val="center"/>
          </w:tcPr>
          <w:p>
            <w:pPr>
              <w:widowControl/>
              <w:spacing w:line="260" w:lineRule="exact"/>
              <w:jc w:val="center"/>
              <w:rPr>
                <w:rFonts w:eastAsia="仿宋_GB2312"/>
                <w:color w:val="000000"/>
                <w:sz w:val="20"/>
                <w:szCs w:val="20"/>
              </w:rPr>
            </w:pPr>
            <w:r>
              <w:rPr>
                <w:rFonts w:eastAsia="仿宋_GB2312"/>
                <w:color w:val="000000"/>
                <w:sz w:val="20"/>
                <w:szCs w:val="20"/>
              </w:rPr>
              <w:t>100</w:t>
            </w:r>
          </w:p>
        </w:tc>
        <w:tc>
          <w:tcPr>
            <w:tcW w:w="873"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100</w:t>
            </w:r>
          </w:p>
        </w:tc>
        <w:tc>
          <w:tcPr>
            <w:tcW w:w="1418" w:type="dxa"/>
            <w:tcBorders>
              <w:top w:val="nil"/>
              <w:left w:val="nil"/>
              <w:bottom w:val="single" w:color="auto" w:sz="4" w:space="0"/>
              <w:right w:val="single" w:color="auto" w:sz="4" w:space="0"/>
            </w:tcBorders>
            <w:noWrap/>
            <w:vAlign w:val="center"/>
          </w:tcPr>
          <w:p>
            <w:pPr>
              <w:widowControl/>
              <w:spacing w:line="260" w:lineRule="exact"/>
              <w:jc w:val="left"/>
              <w:rPr>
                <w:rFonts w:eastAsia="仿宋_GB2312"/>
                <w:color w:val="000000"/>
                <w:sz w:val="20"/>
                <w:szCs w:val="20"/>
              </w:rPr>
            </w:pPr>
            <w:r>
              <w:rPr>
                <w:rFonts w:eastAsia="仿宋_GB2312"/>
                <w:color w:val="000000"/>
                <w:sz w:val="20"/>
                <w:szCs w:val="20"/>
              </w:rPr>
              <w:t>　</w:t>
            </w:r>
          </w:p>
        </w:tc>
      </w:tr>
    </w:tbl>
    <w:p>
      <w:r>
        <w:rPr>
          <w:rFonts w:hint="eastAsia" w:ascii="新宋体" w:hAnsi="新宋体" w:eastAsia="新宋体" w:cs="新宋体"/>
          <w:szCs w:val="21"/>
        </w:rPr>
        <w:t>备注：一个一级项目支出一张表。如，业务工作经费，运行维护经费，XX项目资金…各一张表。</w:t>
      </w:r>
    </w:p>
    <w:p>
      <w:pPr>
        <w:jc w:val="left"/>
        <w:rPr>
          <w:rFonts w:ascii="新宋体" w:hAnsi="新宋体" w:eastAsia="新宋体" w:cs="新宋体"/>
          <w:szCs w:val="21"/>
        </w:rPr>
      </w:pPr>
      <w:r>
        <w:rPr>
          <w:rFonts w:hint="eastAsia" w:ascii="新宋体" w:hAnsi="新宋体" w:eastAsia="新宋体" w:cs="新宋体"/>
          <w:szCs w:val="21"/>
        </w:rPr>
        <w:t>填表人：赵梦雅 填报日期：2023年7月14日 联系电话：18390158809单位负责人签字：</w:t>
      </w:r>
    </w:p>
    <w:p>
      <w:pPr>
        <w:pStyle w:val="2"/>
      </w:pPr>
    </w:p>
    <w:p>
      <w:pPr>
        <w:rPr>
          <w:rFonts w:ascii="黑体" w:hAnsi="黑体" w:eastAsia="黑体" w:cs="黑体"/>
          <w:sz w:val="32"/>
          <w:szCs w:val="32"/>
        </w:rPr>
      </w:pPr>
      <w:bookmarkStart w:id="0" w:name="_GoBack"/>
      <w:bookmarkEnd w:id="0"/>
      <w:r>
        <w:rPr>
          <w:rFonts w:hint="eastAsia" w:ascii="黑体" w:hAnsi="黑体" w:eastAsia="黑体" w:cs="黑体"/>
          <w:sz w:val="32"/>
          <w:szCs w:val="32"/>
        </w:rPr>
        <w:t>附件6</w:t>
      </w:r>
    </w:p>
    <w:p>
      <w:pPr>
        <w:jc w:val="center"/>
        <w:rPr>
          <w:rFonts w:eastAsia="方正小标宋_GBK"/>
          <w:sz w:val="52"/>
          <w:szCs w:val="52"/>
        </w:rPr>
      </w:pPr>
    </w:p>
    <w:p>
      <w:pPr>
        <w:jc w:val="center"/>
        <w:rPr>
          <w:rFonts w:ascii="微软雅黑" w:hAnsi="微软雅黑" w:eastAsia="微软雅黑" w:cs="微软雅黑"/>
          <w:sz w:val="44"/>
          <w:szCs w:val="44"/>
        </w:rPr>
      </w:pPr>
      <w:r>
        <w:rPr>
          <w:rFonts w:hint="eastAsia" w:ascii="微软雅黑" w:hAnsi="微软雅黑" w:eastAsia="微软雅黑" w:cs="微软雅黑"/>
          <w:sz w:val="44"/>
          <w:szCs w:val="44"/>
        </w:rPr>
        <w:t>2022年度华容县人民政府办公室部门（单位）金融项目支出绩效自评报告</w:t>
      </w:r>
    </w:p>
    <w:p>
      <w:pPr>
        <w:jc w:val="center"/>
        <w:rPr>
          <w:rFonts w:eastAsia="方正小标宋_GBK"/>
          <w:b/>
          <w:sz w:val="52"/>
          <w:szCs w:val="52"/>
        </w:rPr>
      </w:pPr>
    </w:p>
    <w:p>
      <w:pPr>
        <w:jc w:val="center"/>
        <w:rPr>
          <w:rFonts w:eastAsia="楷体_GB2312"/>
          <w:b/>
          <w:sz w:val="32"/>
          <w:szCs w:val="32"/>
        </w:rPr>
      </w:pPr>
    </w:p>
    <w:p>
      <w:pPr>
        <w:jc w:val="center"/>
        <w:rPr>
          <w:rFonts w:eastAsia="楷体_GB2312"/>
          <w:b/>
          <w:sz w:val="32"/>
          <w:szCs w:val="32"/>
        </w:rPr>
      </w:pPr>
    </w:p>
    <w:p>
      <w:pPr>
        <w:jc w:val="center"/>
        <w:rPr>
          <w:rFonts w:eastAsia="楷体_GB2312"/>
          <w:b/>
          <w:sz w:val="32"/>
          <w:szCs w:val="32"/>
        </w:rPr>
      </w:pPr>
    </w:p>
    <w:p>
      <w:pPr>
        <w:jc w:val="center"/>
        <w:rPr>
          <w:rFonts w:eastAsia="楷体_GB2312"/>
          <w:b/>
          <w:sz w:val="32"/>
          <w:szCs w:val="32"/>
        </w:rPr>
      </w:pPr>
    </w:p>
    <w:p>
      <w:pPr>
        <w:jc w:val="center"/>
        <w:rPr>
          <w:rFonts w:eastAsia="楷体_GB2312"/>
          <w:b/>
          <w:sz w:val="32"/>
          <w:szCs w:val="32"/>
        </w:rPr>
      </w:pPr>
    </w:p>
    <w:p>
      <w:pPr>
        <w:jc w:val="center"/>
        <w:rPr>
          <w:rFonts w:eastAsia="楷体_GB2312"/>
          <w:b/>
          <w:sz w:val="32"/>
          <w:szCs w:val="32"/>
        </w:rPr>
      </w:pPr>
    </w:p>
    <w:p>
      <w:pPr>
        <w:jc w:val="center"/>
        <w:rPr>
          <w:rFonts w:eastAsia="黑体"/>
          <w:sz w:val="32"/>
          <w:szCs w:val="32"/>
        </w:rPr>
      </w:pPr>
    </w:p>
    <w:p>
      <w:pPr>
        <w:jc w:val="center"/>
        <w:rPr>
          <w:rFonts w:eastAsia="黑体"/>
          <w:sz w:val="32"/>
          <w:szCs w:val="32"/>
        </w:rPr>
      </w:pPr>
    </w:p>
    <w:p>
      <w:pPr>
        <w:rPr>
          <w:rFonts w:eastAsia="黑体"/>
          <w:sz w:val="32"/>
          <w:szCs w:val="32"/>
        </w:rPr>
      </w:pPr>
    </w:p>
    <w:p>
      <w:pPr>
        <w:rPr>
          <w:rFonts w:eastAsia="黑体"/>
          <w:sz w:val="32"/>
          <w:szCs w:val="32"/>
        </w:rPr>
      </w:pPr>
    </w:p>
    <w:p>
      <w:pPr>
        <w:spacing w:line="600" w:lineRule="exact"/>
        <w:jc w:val="center"/>
        <w:rPr>
          <w:rFonts w:eastAsia="仿宋_GB2312"/>
          <w:sz w:val="32"/>
          <w:szCs w:val="32"/>
          <w:u w:val="single"/>
        </w:rPr>
      </w:pPr>
      <w:r>
        <w:rPr>
          <w:rFonts w:eastAsia="仿宋_GB2312"/>
          <w:sz w:val="32"/>
          <w:szCs w:val="32"/>
        </w:rPr>
        <w:t>部门（单位）名称：</w:t>
      </w:r>
      <w:r>
        <w:rPr>
          <w:rFonts w:hint="eastAsia" w:ascii="仿宋" w:hAnsi="仿宋" w:eastAsia="仿宋"/>
          <w:sz w:val="32"/>
          <w:szCs w:val="32"/>
          <w:u w:val="single"/>
        </w:rPr>
        <w:t>华容县人民政府办公室</w:t>
      </w:r>
    </w:p>
    <w:p>
      <w:pPr>
        <w:spacing w:line="600" w:lineRule="exact"/>
        <w:jc w:val="center"/>
        <w:rPr>
          <w:rFonts w:eastAsia="楷体_GB2312"/>
          <w:sz w:val="32"/>
          <w:szCs w:val="32"/>
        </w:rPr>
      </w:pPr>
      <w:r>
        <w:rPr>
          <w:rFonts w:hint="eastAsia" w:ascii="宋体" w:hAnsi="宋体" w:cs="宋体"/>
          <w:sz w:val="32"/>
          <w:szCs w:val="32"/>
        </w:rPr>
        <w:t>2023</w:t>
      </w:r>
      <w:r>
        <w:rPr>
          <w:rFonts w:eastAsia="楷体_GB2312"/>
          <w:sz w:val="32"/>
          <w:szCs w:val="32"/>
        </w:rPr>
        <w:t>年</w:t>
      </w:r>
      <w:r>
        <w:rPr>
          <w:rFonts w:hint="eastAsia" w:eastAsia="楷体_GB2312"/>
          <w:sz w:val="32"/>
          <w:szCs w:val="32"/>
        </w:rPr>
        <w:t>7</w:t>
      </w:r>
      <w:r>
        <w:rPr>
          <w:rFonts w:eastAsia="楷体_GB2312"/>
          <w:sz w:val="32"/>
          <w:szCs w:val="32"/>
        </w:rPr>
        <w:t>月</w:t>
      </w:r>
      <w:r>
        <w:rPr>
          <w:rFonts w:hint="eastAsia" w:eastAsia="楷体_GB2312"/>
          <w:sz w:val="32"/>
          <w:szCs w:val="32"/>
        </w:rPr>
        <w:t>14</w:t>
      </w:r>
      <w:r>
        <w:rPr>
          <w:rFonts w:eastAsia="楷体_GB2312"/>
          <w:sz w:val="32"/>
          <w:szCs w:val="32"/>
        </w:rPr>
        <w:t>日</w:t>
      </w:r>
    </w:p>
    <w:p>
      <w:pPr>
        <w:jc w:val="center"/>
        <w:rPr>
          <w:rFonts w:eastAsia="仿宋_GB2312"/>
          <w:sz w:val="32"/>
          <w:szCs w:val="32"/>
        </w:rPr>
      </w:pPr>
    </w:p>
    <w:p>
      <w:pPr>
        <w:spacing w:line="610" w:lineRule="exact"/>
        <w:jc w:val="center"/>
        <w:rPr>
          <w:rFonts w:ascii="微软雅黑" w:hAnsi="微软雅黑" w:eastAsia="微软雅黑" w:cs="微软雅黑"/>
          <w:sz w:val="44"/>
          <w:szCs w:val="44"/>
        </w:rPr>
      </w:pPr>
      <w:r>
        <w:rPr>
          <w:rFonts w:eastAsia="仿宋_GB2312"/>
          <w:sz w:val="32"/>
          <w:szCs w:val="32"/>
        </w:rPr>
        <w:br w:type="page"/>
      </w:r>
      <w:r>
        <w:rPr>
          <w:rFonts w:hint="eastAsia" w:ascii="微软雅黑" w:hAnsi="微软雅黑" w:eastAsia="微软雅黑" w:cs="微软雅黑"/>
          <w:sz w:val="44"/>
          <w:szCs w:val="44"/>
        </w:rPr>
        <w:t>2022年度容县人民政府办公室部门（单位）金融项目支出绩效自评报告</w:t>
      </w:r>
    </w:p>
    <w:p>
      <w:pPr>
        <w:spacing w:line="610" w:lineRule="exact"/>
        <w:ind w:firstLine="600" w:firstLineChars="200"/>
        <w:rPr>
          <w:rFonts w:ascii="黑体" w:hAnsi="黑体" w:eastAsia="黑体" w:cs="黑体"/>
          <w:sz w:val="30"/>
          <w:szCs w:val="30"/>
        </w:rPr>
      </w:pPr>
    </w:p>
    <w:p>
      <w:pPr>
        <w:spacing w:line="610" w:lineRule="exact"/>
        <w:ind w:firstLine="600" w:firstLineChars="200"/>
        <w:rPr>
          <w:rFonts w:ascii="黑体" w:hAnsi="黑体" w:eastAsia="黑体" w:cs="黑体"/>
          <w:sz w:val="30"/>
          <w:szCs w:val="30"/>
        </w:rPr>
      </w:pPr>
      <w:r>
        <w:rPr>
          <w:rFonts w:hint="eastAsia" w:ascii="黑体" w:hAnsi="黑体" w:eastAsia="黑体" w:cs="黑体"/>
          <w:sz w:val="30"/>
          <w:szCs w:val="30"/>
        </w:rPr>
        <w:t>一、基本情况</w:t>
      </w:r>
    </w:p>
    <w:p>
      <w:pPr>
        <w:spacing w:line="610" w:lineRule="exact"/>
        <w:ind w:firstLine="600" w:firstLineChars="200"/>
        <w:rPr>
          <w:rFonts w:eastAsia="仿宋_GB2312"/>
          <w:sz w:val="30"/>
          <w:szCs w:val="30"/>
        </w:rPr>
      </w:pPr>
      <w:r>
        <w:rPr>
          <w:rFonts w:hint="eastAsia" w:eastAsia="仿宋_GB2312"/>
          <w:sz w:val="30"/>
          <w:szCs w:val="30"/>
        </w:rPr>
        <w:t>(一)项目概况。</w:t>
      </w:r>
    </w:p>
    <w:p>
      <w:pPr>
        <w:pStyle w:val="2"/>
        <w:spacing w:line="560" w:lineRule="exact"/>
        <w:ind w:firstLine="600" w:firstLineChars="200"/>
        <w:rPr>
          <w:rFonts w:ascii="仿宋" w:hAnsi="仿宋" w:eastAsia="仿宋"/>
          <w:sz w:val="30"/>
          <w:szCs w:val="30"/>
        </w:rPr>
      </w:pPr>
      <w:r>
        <w:rPr>
          <w:rFonts w:hint="eastAsia" w:ascii="仿宋" w:hAnsi="仿宋" w:eastAsia="仿宋"/>
          <w:sz w:val="30"/>
          <w:szCs w:val="30"/>
        </w:rPr>
        <w:t>金融办提高金融服务实体经济质效，促进经济金融良性互动和县域经济高质量发展；充分发挥金融支持经济发展的血脉作用，积极创新新金融产品、科学引导金融机构为县域经济发展做贡献，加快华容芥菜产业高质量发展；助推乡村振兴，实施“党建+诚信金融”模式全覆盖；大力实施企业上市“金芙蓉”跃升行动；切实防控化解金融风险，全面推进不良贷款清收。2022年全年金融项目支出64万元。</w:t>
      </w:r>
    </w:p>
    <w:p>
      <w:pPr>
        <w:spacing w:line="610" w:lineRule="exact"/>
        <w:ind w:firstLine="600" w:firstLineChars="200"/>
        <w:rPr>
          <w:rFonts w:eastAsia="仿宋_GB2312"/>
          <w:sz w:val="30"/>
          <w:szCs w:val="30"/>
        </w:rPr>
      </w:pPr>
      <w:r>
        <w:rPr>
          <w:rFonts w:hint="eastAsia" w:eastAsia="仿宋_GB2312"/>
          <w:sz w:val="30"/>
          <w:szCs w:val="30"/>
        </w:rPr>
        <w:t>(二)项目绩效目标。</w:t>
      </w:r>
    </w:p>
    <w:p>
      <w:pPr>
        <w:spacing w:line="560" w:lineRule="exact"/>
        <w:ind w:firstLine="600" w:firstLineChars="200"/>
        <w:rPr>
          <w:rFonts w:ascii="仿宋" w:hAnsi="仿宋" w:eastAsia="仿宋"/>
          <w:sz w:val="30"/>
          <w:szCs w:val="30"/>
        </w:rPr>
      </w:pPr>
      <w:r>
        <w:rPr>
          <w:rFonts w:hint="eastAsia" w:ascii="仿宋" w:hAnsi="仿宋" w:eastAsia="仿宋"/>
          <w:sz w:val="30"/>
          <w:szCs w:val="30"/>
        </w:rPr>
        <w:t>2022年单位项目资金支付都是按照预算执行，实行专款专用，项目实施完成后，达到了预期经济效益及社会效益，圆满的完成了各项任务。</w:t>
      </w:r>
    </w:p>
    <w:p>
      <w:pPr>
        <w:spacing w:line="560" w:lineRule="exact"/>
        <w:ind w:firstLine="600" w:firstLineChars="200"/>
        <w:rPr>
          <w:rFonts w:ascii="仿宋" w:hAnsi="仿宋" w:eastAsia="仿宋"/>
          <w:sz w:val="30"/>
          <w:szCs w:val="30"/>
        </w:rPr>
      </w:pPr>
      <w:r>
        <w:rPr>
          <w:rFonts w:hint="eastAsia" w:ascii="仿宋" w:hAnsi="仿宋" w:eastAsia="仿宋"/>
          <w:sz w:val="30"/>
          <w:szCs w:val="30"/>
        </w:rPr>
        <w:t>总体目标：提高金融服务实体经济质效，促进经济金融良性互动和县域经济高质量发展，群众安全感和满意度得到进一步提升。</w:t>
      </w:r>
    </w:p>
    <w:p>
      <w:pPr>
        <w:pStyle w:val="2"/>
        <w:spacing w:line="560" w:lineRule="exact"/>
        <w:ind w:firstLine="600" w:firstLineChars="200"/>
        <w:rPr>
          <w:rFonts w:ascii="仿宋" w:hAnsi="仿宋" w:eastAsia="仿宋"/>
          <w:sz w:val="30"/>
          <w:szCs w:val="30"/>
        </w:rPr>
      </w:pPr>
      <w:r>
        <w:rPr>
          <w:rFonts w:hint="eastAsia" w:ascii="仿宋" w:hAnsi="仿宋" w:eastAsia="仿宋"/>
          <w:sz w:val="30"/>
          <w:szCs w:val="30"/>
        </w:rPr>
        <w:t>阶段性目标：2022年加快华容芥菜产业高质量发展；助推乡村振兴，实施“党建+诚信金融”模式全覆盖；大力实施企业上市“金芙蓉”跃升行动；切实防控化解金融风险，全面推进不良贷款清收。</w:t>
      </w:r>
    </w:p>
    <w:p>
      <w:pPr>
        <w:pStyle w:val="2"/>
        <w:spacing w:line="400" w:lineRule="exact"/>
        <w:ind w:firstLine="600" w:firstLineChars="200"/>
        <w:rPr>
          <w:rFonts w:ascii="黑体" w:hAnsi="黑体" w:eastAsia="黑体" w:cs="黑体"/>
          <w:sz w:val="30"/>
          <w:szCs w:val="30"/>
        </w:rPr>
      </w:pPr>
      <w:r>
        <w:rPr>
          <w:rFonts w:hint="eastAsia" w:ascii="黑体" w:hAnsi="黑体" w:eastAsia="黑体" w:cs="黑体"/>
          <w:sz w:val="30"/>
          <w:szCs w:val="30"/>
        </w:rPr>
        <w:t>二、绩效评价工作开展情况</w:t>
      </w:r>
    </w:p>
    <w:p>
      <w:pPr>
        <w:spacing w:line="610" w:lineRule="exact"/>
        <w:ind w:firstLine="600" w:firstLineChars="200"/>
        <w:rPr>
          <w:rFonts w:eastAsia="仿宋_GB2312"/>
          <w:sz w:val="30"/>
          <w:szCs w:val="30"/>
        </w:rPr>
      </w:pPr>
      <w:r>
        <w:rPr>
          <w:rFonts w:hint="eastAsia" w:eastAsia="仿宋_GB2312"/>
          <w:sz w:val="30"/>
          <w:szCs w:val="30"/>
        </w:rPr>
        <w:t>(一)绩效评价目的、对象和范围。</w:t>
      </w:r>
    </w:p>
    <w:p>
      <w:pPr>
        <w:pStyle w:val="2"/>
        <w:spacing w:line="560" w:lineRule="exact"/>
        <w:ind w:firstLine="600" w:firstLineChars="200"/>
        <w:rPr>
          <w:rFonts w:ascii="仿宋" w:hAnsi="仿宋" w:eastAsia="仿宋"/>
          <w:sz w:val="30"/>
          <w:szCs w:val="30"/>
        </w:rPr>
      </w:pPr>
      <w:r>
        <w:rPr>
          <w:rFonts w:ascii="仿宋" w:hAnsi="仿宋" w:eastAsia="仿宋"/>
          <w:sz w:val="30"/>
          <w:szCs w:val="30"/>
        </w:rPr>
        <w:t>20</w:t>
      </w:r>
      <w:r>
        <w:rPr>
          <w:rFonts w:hint="eastAsia" w:ascii="仿宋" w:hAnsi="仿宋" w:eastAsia="仿宋"/>
          <w:sz w:val="30"/>
          <w:szCs w:val="30"/>
        </w:rPr>
        <w:t>22年度预算安排的项目支出自行开展专项绩效自评。</w:t>
      </w:r>
    </w:p>
    <w:p>
      <w:pPr>
        <w:spacing w:line="610" w:lineRule="exact"/>
        <w:ind w:firstLine="600" w:firstLineChars="200"/>
        <w:rPr>
          <w:rFonts w:eastAsia="仿宋_GB2312"/>
          <w:sz w:val="30"/>
          <w:szCs w:val="30"/>
        </w:rPr>
      </w:pPr>
      <w:r>
        <w:rPr>
          <w:rFonts w:hint="eastAsia" w:eastAsia="仿宋_GB2312"/>
          <w:sz w:val="30"/>
          <w:szCs w:val="30"/>
        </w:rPr>
        <w:t>(二)绩效评价原则、评价指标体系(附表说明)、评价方法、 评价标准等。</w:t>
      </w:r>
    </w:p>
    <w:p>
      <w:pPr>
        <w:spacing w:line="560" w:lineRule="exact"/>
        <w:ind w:firstLine="600" w:firstLineChars="200"/>
        <w:rPr>
          <w:rFonts w:eastAsia="仿宋_GB2312"/>
          <w:sz w:val="30"/>
          <w:szCs w:val="30"/>
        </w:rPr>
      </w:pPr>
      <w:r>
        <w:rPr>
          <w:rFonts w:hint="eastAsia" w:eastAsia="仿宋_GB2312"/>
          <w:sz w:val="30"/>
          <w:szCs w:val="30"/>
        </w:rPr>
        <w:t>根据项目实际，在《项目支出绩效评价指标评分表（共性）》上进一步完善、量化、细化个性指标，形成本项目的指标体系。</w:t>
      </w:r>
    </w:p>
    <w:p>
      <w:pPr>
        <w:spacing w:line="610" w:lineRule="exact"/>
        <w:ind w:firstLine="600" w:firstLineChars="200"/>
        <w:rPr>
          <w:rFonts w:eastAsia="仿宋_GB2312"/>
          <w:sz w:val="30"/>
          <w:szCs w:val="30"/>
        </w:rPr>
      </w:pPr>
      <w:r>
        <w:rPr>
          <w:rFonts w:hint="eastAsia" w:eastAsia="仿宋_GB2312"/>
          <w:sz w:val="30"/>
          <w:szCs w:val="30"/>
        </w:rPr>
        <w:t>(三)绩效评价工作过程。</w:t>
      </w:r>
    </w:p>
    <w:p>
      <w:pPr>
        <w:spacing w:line="560" w:lineRule="exact"/>
        <w:ind w:firstLine="600" w:firstLineChars="200"/>
        <w:rPr>
          <w:rFonts w:ascii="仿宋" w:hAnsi="仿宋" w:eastAsia="仿宋"/>
          <w:sz w:val="30"/>
          <w:szCs w:val="30"/>
        </w:rPr>
      </w:pPr>
      <w:r>
        <w:rPr>
          <w:rFonts w:hint="eastAsia" w:ascii="仿宋" w:hAnsi="仿宋" w:eastAsia="仿宋"/>
          <w:sz w:val="30"/>
          <w:szCs w:val="30"/>
        </w:rPr>
        <w:t>单位高度重视预算支出绩效自评工作，认真制定绩效评价工作方案，成立绩效自评工作组，选用科学合理的评价指标反应预算支出绩效水平。</w:t>
      </w:r>
    </w:p>
    <w:p>
      <w:pPr>
        <w:spacing w:line="610" w:lineRule="exact"/>
        <w:ind w:firstLine="600" w:firstLineChars="200"/>
        <w:rPr>
          <w:rFonts w:ascii="黑体" w:hAnsi="黑体" w:eastAsia="黑体" w:cs="黑体"/>
          <w:sz w:val="30"/>
          <w:szCs w:val="30"/>
        </w:rPr>
      </w:pPr>
      <w:r>
        <w:rPr>
          <w:rFonts w:hint="eastAsia" w:ascii="黑体" w:hAnsi="黑体" w:eastAsia="黑体" w:cs="黑体"/>
          <w:sz w:val="30"/>
          <w:szCs w:val="30"/>
        </w:rPr>
        <w:t xml:space="preserve">三、综合评价情况及评价结论 </w:t>
      </w:r>
    </w:p>
    <w:p>
      <w:pPr>
        <w:spacing w:line="560" w:lineRule="exact"/>
        <w:ind w:firstLine="600" w:firstLineChars="200"/>
        <w:rPr>
          <w:rFonts w:ascii="仿宋" w:hAnsi="仿宋" w:eastAsia="仿宋"/>
          <w:sz w:val="30"/>
          <w:szCs w:val="30"/>
        </w:rPr>
      </w:pPr>
      <w:r>
        <w:rPr>
          <w:rFonts w:hint="eastAsia" w:ascii="仿宋" w:hAnsi="仿宋" w:eastAsia="仿宋"/>
          <w:sz w:val="30"/>
          <w:szCs w:val="30"/>
        </w:rPr>
        <w:t>通过对2022年的项目决策、项目过程、项目产出、项目效益等内容的绩效考评，提高财政资金的使用效率，保障了机构的正常运转。2022年，较好地完成了项目工作目标，部门项目支出绩效评价为优。</w:t>
      </w:r>
    </w:p>
    <w:p>
      <w:pPr>
        <w:spacing w:line="610" w:lineRule="exact"/>
        <w:ind w:firstLine="600" w:firstLineChars="200"/>
        <w:rPr>
          <w:rFonts w:ascii="黑体" w:hAnsi="黑体" w:eastAsia="黑体" w:cs="黑体"/>
          <w:sz w:val="30"/>
          <w:szCs w:val="30"/>
        </w:rPr>
      </w:pPr>
      <w:r>
        <w:rPr>
          <w:rFonts w:hint="eastAsia" w:ascii="黑体" w:hAnsi="黑体" w:eastAsia="黑体" w:cs="黑体"/>
          <w:sz w:val="30"/>
          <w:szCs w:val="30"/>
        </w:rPr>
        <w:t>四、绩效评价指标分析</w:t>
      </w:r>
    </w:p>
    <w:p>
      <w:pPr>
        <w:spacing w:line="610" w:lineRule="exact"/>
        <w:ind w:firstLine="600" w:firstLineChars="200"/>
        <w:rPr>
          <w:rFonts w:eastAsia="仿宋_GB2312"/>
          <w:sz w:val="30"/>
          <w:szCs w:val="30"/>
        </w:rPr>
      </w:pPr>
      <w:r>
        <w:rPr>
          <w:rFonts w:hint="eastAsia" w:eastAsia="仿宋_GB2312"/>
          <w:sz w:val="30"/>
          <w:szCs w:val="30"/>
        </w:rPr>
        <w:t>(一)项目决策情况。</w:t>
      </w:r>
    </w:p>
    <w:p>
      <w:pPr>
        <w:spacing w:line="560" w:lineRule="exact"/>
        <w:ind w:firstLine="600" w:firstLineChars="200"/>
        <w:rPr>
          <w:rFonts w:ascii="仿宋" w:hAnsi="仿宋" w:eastAsia="仿宋"/>
          <w:sz w:val="30"/>
          <w:szCs w:val="30"/>
        </w:rPr>
      </w:pPr>
      <w:r>
        <w:rPr>
          <w:rFonts w:hint="eastAsia" w:ascii="仿宋" w:hAnsi="仿宋" w:eastAsia="仿宋"/>
          <w:sz w:val="30"/>
          <w:szCs w:val="30"/>
        </w:rPr>
        <w:t>2022年单位项目资金下达及时，支付都是按照预算执行，及时完成支付。</w:t>
      </w:r>
    </w:p>
    <w:p>
      <w:pPr>
        <w:spacing w:line="610" w:lineRule="exact"/>
        <w:ind w:firstLine="600" w:firstLineChars="200"/>
        <w:rPr>
          <w:rFonts w:eastAsia="仿宋_GB2312"/>
          <w:sz w:val="30"/>
          <w:szCs w:val="30"/>
        </w:rPr>
      </w:pPr>
      <w:r>
        <w:rPr>
          <w:rFonts w:hint="eastAsia" w:eastAsia="仿宋_GB2312"/>
          <w:sz w:val="30"/>
          <w:szCs w:val="30"/>
        </w:rPr>
        <w:t xml:space="preserve"> (二)项目过程情况。</w:t>
      </w:r>
    </w:p>
    <w:p>
      <w:pPr>
        <w:spacing w:line="560" w:lineRule="exact"/>
        <w:ind w:firstLine="600" w:firstLineChars="200"/>
        <w:rPr>
          <w:rFonts w:ascii="仿宋" w:hAnsi="仿宋" w:eastAsia="仿宋"/>
          <w:sz w:val="30"/>
          <w:szCs w:val="30"/>
        </w:rPr>
      </w:pPr>
      <w:r>
        <w:rPr>
          <w:rFonts w:hint="eastAsia" w:ascii="仿宋" w:hAnsi="仿宋" w:eastAsia="仿宋"/>
          <w:sz w:val="30"/>
          <w:szCs w:val="30"/>
        </w:rPr>
        <w:t>2022年单位项目资金在资金使用和管理中，实际支出与计划规定的用途一致，资金收支平衡，资金分配做到公开、公平，按程序上报和审批，配备了工作能力强的工作人员，严格执行财务制度，无截留、挤占、挪用资金等违规行为，提高财政资金的使用效率。</w:t>
      </w:r>
    </w:p>
    <w:p>
      <w:pPr>
        <w:spacing w:line="610" w:lineRule="exact"/>
        <w:ind w:firstLine="600" w:firstLineChars="200"/>
        <w:rPr>
          <w:rFonts w:eastAsia="仿宋_GB2312"/>
          <w:sz w:val="30"/>
          <w:szCs w:val="30"/>
        </w:rPr>
      </w:pPr>
      <w:r>
        <w:rPr>
          <w:rFonts w:hint="eastAsia" w:eastAsia="仿宋_GB2312"/>
          <w:sz w:val="30"/>
          <w:szCs w:val="30"/>
        </w:rPr>
        <w:t>(三)项目产出情况。</w:t>
      </w:r>
    </w:p>
    <w:p>
      <w:pPr>
        <w:spacing w:line="560" w:lineRule="exact"/>
        <w:ind w:firstLine="600" w:firstLineChars="200"/>
        <w:rPr>
          <w:rFonts w:ascii="仿宋" w:hAnsi="仿宋" w:eastAsia="仿宋"/>
          <w:sz w:val="30"/>
          <w:szCs w:val="30"/>
        </w:rPr>
      </w:pPr>
      <w:r>
        <w:rPr>
          <w:rFonts w:hint="eastAsia" w:ascii="仿宋" w:hAnsi="仿宋" w:eastAsia="仿宋"/>
          <w:sz w:val="30"/>
          <w:szCs w:val="30"/>
        </w:rPr>
        <w:t>2022年单位项目实施完成后，成功完成了各项目标工作任务。</w:t>
      </w:r>
    </w:p>
    <w:p>
      <w:pPr>
        <w:spacing w:line="610" w:lineRule="exact"/>
        <w:ind w:firstLine="600" w:firstLineChars="200"/>
        <w:rPr>
          <w:rFonts w:eastAsia="仿宋_GB2312"/>
          <w:sz w:val="30"/>
          <w:szCs w:val="30"/>
        </w:rPr>
      </w:pPr>
      <w:r>
        <w:rPr>
          <w:rFonts w:hint="eastAsia" w:eastAsia="仿宋_GB2312"/>
          <w:sz w:val="30"/>
          <w:szCs w:val="30"/>
        </w:rPr>
        <w:t>(四)项目效益情况。</w:t>
      </w:r>
    </w:p>
    <w:p>
      <w:pPr>
        <w:spacing w:line="560" w:lineRule="exact"/>
        <w:ind w:firstLine="600" w:firstLineChars="200"/>
        <w:rPr>
          <w:rFonts w:ascii="仿宋" w:hAnsi="仿宋" w:eastAsia="仿宋"/>
          <w:sz w:val="30"/>
          <w:szCs w:val="30"/>
        </w:rPr>
      </w:pPr>
      <w:r>
        <w:rPr>
          <w:rFonts w:hint="eastAsia" w:ascii="仿宋" w:hAnsi="仿宋" w:eastAsia="仿宋"/>
          <w:sz w:val="30"/>
          <w:szCs w:val="30"/>
        </w:rPr>
        <w:t>2022年单位圆满的完成了各项任务，项目达到了预期经济效益及社会效益。</w:t>
      </w:r>
    </w:p>
    <w:p>
      <w:pPr>
        <w:spacing w:line="610" w:lineRule="exact"/>
        <w:ind w:firstLine="600" w:firstLineChars="200"/>
        <w:rPr>
          <w:rFonts w:ascii="黑体" w:hAnsi="黑体" w:eastAsia="黑体" w:cs="黑体"/>
          <w:sz w:val="30"/>
          <w:szCs w:val="30"/>
        </w:rPr>
      </w:pPr>
      <w:r>
        <w:rPr>
          <w:rFonts w:hint="eastAsia" w:ascii="黑体" w:hAnsi="黑体" w:eastAsia="黑体" w:cs="黑体"/>
          <w:sz w:val="30"/>
          <w:szCs w:val="30"/>
        </w:rPr>
        <w:t>五、主要经验及做法、存在的问题及原因分析</w:t>
      </w:r>
    </w:p>
    <w:p>
      <w:pPr>
        <w:spacing w:line="560" w:lineRule="exact"/>
        <w:ind w:firstLine="600" w:firstLineChars="200"/>
        <w:rPr>
          <w:rFonts w:ascii="仿宋" w:hAnsi="仿宋" w:eastAsia="仿宋"/>
          <w:sz w:val="30"/>
          <w:szCs w:val="30"/>
        </w:rPr>
      </w:pPr>
      <w:r>
        <w:rPr>
          <w:rFonts w:hint="eastAsia" w:ascii="仿宋" w:hAnsi="仿宋" w:eastAsia="仿宋"/>
          <w:sz w:val="30"/>
          <w:szCs w:val="30"/>
        </w:rPr>
        <w:t>1、项目成本（预算）控制:严格成本预算，严格控制成本支出，不乱花一分钱。</w:t>
      </w:r>
    </w:p>
    <w:p>
      <w:pPr>
        <w:spacing w:line="560" w:lineRule="exact"/>
        <w:ind w:firstLine="600" w:firstLineChars="200"/>
        <w:rPr>
          <w:rFonts w:ascii="仿宋" w:hAnsi="仿宋" w:eastAsia="仿宋"/>
          <w:sz w:val="30"/>
          <w:szCs w:val="30"/>
        </w:rPr>
      </w:pPr>
      <w:r>
        <w:rPr>
          <w:rFonts w:hint="eastAsia" w:ascii="仿宋" w:hAnsi="仿宋" w:eastAsia="仿宋"/>
          <w:sz w:val="30"/>
          <w:szCs w:val="30"/>
        </w:rPr>
        <w:t>2、项目成本（预算）节约:加强成本预算管理，杜绝不必要开支，厉行节约，年度无超预算支出。</w:t>
      </w:r>
    </w:p>
    <w:p>
      <w:pPr>
        <w:widowControl/>
        <w:spacing w:line="610" w:lineRule="exact"/>
        <w:ind w:firstLine="600" w:firstLineChars="200"/>
        <w:rPr>
          <w:rFonts w:ascii="仿宋_GB2312" w:eastAsia="仿宋_GB2312"/>
          <w:sz w:val="32"/>
          <w:szCs w:val="32"/>
        </w:rPr>
      </w:pPr>
      <w:r>
        <w:rPr>
          <w:rFonts w:hint="eastAsia" w:ascii="黑体" w:hAnsi="黑体" w:eastAsia="黑体" w:cs="黑体"/>
          <w:sz w:val="30"/>
          <w:szCs w:val="30"/>
        </w:rPr>
        <w:t>六、其他需要说明的问题</w:t>
      </w:r>
    </w:p>
    <w:p>
      <w:pPr>
        <w:rPr>
          <w:rFonts w:ascii="仿宋" w:hAnsi="仿宋" w:eastAsia="仿宋"/>
          <w:sz w:val="30"/>
          <w:szCs w:val="30"/>
        </w:rPr>
      </w:pPr>
      <w:r>
        <w:rPr>
          <w:rFonts w:hint="eastAsia"/>
        </w:rPr>
        <w:t xml:space="preserve">      </w:t>
      </w:r>
      <w:r>
        <w:rPr>
          <w:rFonts w:hint="eastAsia" w:ascii="仿宋" w:hAnsi="仿宋" w:eastAsia="仿宋"/>
          <w:sz w:val="30"/>
          <w:szCs w:val="30"/>
        </w:rPr>
        <w:t>无。</w:t>
      </w:r>
    </w:p>
    <w:p>
      <w:pPr>
        <w:rPr>
          <w:rFonts w:ascii="仿宋_GB2312" w:eastAsia="仿宋_GB2312"/>
          <w:sz w:val="32"/>
          <w:szCs w:val="32"/>
        </w:rPr>
      </w:pPr>
    </w:p>
    <w:sectPr>
      <w:pgSz w:w="11906" w:h="16838"/>
      <w:pgMar w:top="1984" w:right="1701" w:bottom="1984" w:left="1701"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B89E9DE-A59F-4BB2-A418-7BA385FF911E}"/>
  </w:font>
  <w:font w:name="Arial">
    <w:panose1 w:val="020B0604020202020204"/>
    <w:charset w:val="01"/>
    <w:family w:val="swiss"/>
    <w:pitch w:val="default"/>
    <w:sig w:usb0="E0002AFF" w:usb1="C0007843" w:usb2="00000009" w:usb3="00000000" w:csb0="400001FF" w:csb1="FFFF0000"/>
    <w:embedRegular r:id="rId2" w:fontKey="{9D22F4AF-6981-4CD9-8E25-85B054E3F8FC}"/>
  </w:font>
  <w:font w:name="黑体">
    <w:panose1 w:val="02010609060101010101"/>
    <w:charset w:val="86"/>
    <w:family w:val="auto"/>
    <w:pitch w:val="default"/>
    <w:sig w:usb0="800002BF" w:usb1="38CF7CFA" w:usb2="00000016" w:usb3="00000000" w:csb0="00040001" w:csb1="00000000"/>
    <w:embedRegular r:id="rId3" w:fontKey="{285997CC-ECCD-43E9-B5A9-E9F33555FBA1}"/>
  </w:font>
  <w:font w:name="Courier New">
    <w:panose1 w:val="02070309020205020404"/>
    <w:charset w:val="01"/>
    <w:family w:val="modern"/>
    <w:pitch w:val="default"/>
    <w:sig w:usb0="E0002AFF" w:usb1="C0007843" w:usb2="00000009" w:usb3="00000000" w:csb0="400001FF" w:csb1="FFFF0000"/>
    <w:embedRegular r:id="rId4" w:fontKey="{DEA5BA60-528D-4B3C-BA36-FBDB20B82FF6}"/>
  </w:font>
  <w:font w:name="Symbol">
    <w:panose1 w:val="05050102010706020507"/>
    <w:charset w:val="02"/>
    <w:family w:val="roman"/>
    <w:pitch w:val="default"/>
    <w:sig w:usb0="00000000" w:usb1="00000000" w:usb2="00000000" w:usb3="00000000" w:csb0="80000000" w:csb1="00000000"/>
    <w:embedRegular r:id="rId5" w:fontKey="{0938A825-475D-48A0-952A-D115A98CA8C1}"/>
  </w:font>
  <w:font w:name="Calibri">
    <w:panose1 w:val="020F0502020204030204"/>
    <w:charset w:val="00"/>
    <w:family w:val="swiss"/>
    <w:pitch w:val="default"/>
    <w:sig w:usb0="E10002FF" w:usb1="4000ACFF" w:usb2="00000009" w:usb3="00000000" w:csb0="2000019F" w:csb1="00000000"/>
    <w:embedRegular r:id="rId6" w:fontKey="{B7D7D1AF-047D-4DD5-8BC6-DB4D1DCBF7C6}"/>
  </w:font>
  <w:font w:name="方正小标宋简体">
    <w:panose1 w:val="02010601030101010101"/>
    <w:charset w:val="86"/>
    <w:family w:val="auto"/>
    <w:pitch w:val="default"/>
    <w:sig w:usb0="00000001" w:usb1="080E0000" w:usb2="00000000" w:usb3="00000000" w:csb0="00040000" w:csb1="00000000"/>
  </w:font>
  <w:font w:name="新宋体">
    <w:panose1 w:val="02010609030101010101"/>
    <w:charset w:val="86"/>
    <w:family w:val="modern"/>
    <w:pitch w:val="default"/>
    <w:sig w:usb0="00000003" w:usb1="288F0000" w:usb2="00000006" w:usb3="00000000" w:csb0="00040001" w:csb1="00000000"/>
    <w:embedRegular r:id="rId7" w:fontKey="{2825F7EE-8651-4002-AC54-DEA5BC3A2544}"/>
  </w:font>
  <w:font w:name="仿宋_GB2312">
    <w:altName w:val="仿宋"/>
    <w:panose1 w:val="00000000000000000000"/>
    <w:charset w:val="86"/>
    <w:family w:val="auto"/>
    <w:pitch w:val="default"/>
    <w:sig w:usb0="00000000" w:usb1="00000000" w:usb2="00000000" w:usb3="00000000" w:csb0="00040000" w:csb1="00000000"/>
    <w:embedRegular r:id="rId8" w:fontKey="{849587FB-97EA-450C-BBA8-3535DDAF8388}"/>
  </w:font>
  <w:font w:name="方正小标宋_GBK">
    <w:panose1 w:val="03000509000000000000"/>
    <w:charset w:val="86"/>
    <w:family w:val="script"/>
    <w:pitch w:val="default"/>
    <w:sig w:usb0="00000001" w:usb1="080E0000" w:usb2="00000000" w:usb3="00000000" w:csb0="00040000" w:csb1="00000000"/>
    <w:embedRegular r:id="rId9" w:fontKey="{59482E27-2303-42D3-8861-6A4FD579D371}"/>
  </w:font>
  <w:font w:name="楷体_GB2312">
    <w:altName w:val="楷体"/>
    <w:panose1 w:val="00000000000000000000"/>
    <w:charset w:val="86"/>
    <w:family w:val="auto"/>
    <w:pitch w:val="default"/>
    <w:sig w:usb0="00000000" w:usb1="00000000" w:usb2="00000000" w:usb3="00000000" w:csb0="00040000" w:csb1="00000000"/>
    <w:embedRegular r:id="rId10" w:fontKey="{9CD417F5-8AF0-43DC-B3CF-CD9D66BF14A2}"/>
  </w:font>
  <w:font w:name="仿宋">
    <w:panose1 w:val="02010609060101010101"/>
    <w:charset w:val="86"/>
    <w:family w:val="modern"/>
    <w:pitch w:val="default"/>
    <w:sig w:usb0="800002BF" w:usb1="38CF7CFA" w:usb2="00000016" w:usb3="00000000" w:csb0="00040001" w:csb1="00000000"/>
    <w:embedRegular r:id="rId11" w:fontKey="{BAB5F948-AA9F-4827-A226-A5163C8028EB}"/>
  </w:font>
  <w:font w:name="楷体">
    <w:panose1 w:val="02010609060101010101"/>
    <w:charset w:val="86"/>
    <w:family w:val="modern"/>
    <w:pitch w:val="default"/>
    <w:sig w:usb0="800002BF" w:usb1="38CF7CFA" w:usb2="00000016" w:usb3="00000000" w:csb0="00040001" w:csb1="00000000"/>
    <w:embedRegular r:id="rId12" w:fontKey="{4F6E5D5A-5E6B-4D9C-A03F-64F580BB2EA1}"/>
  </w:font>
  <w:font w:name="___WRD_EMBED_SUB_40">
    <w:panose1 w:val="02010609030101010101"/>
    <w:charset w:val="86"/>
    <w:family w:val="auto"/>
    <w:pitch w:val="default"/>
    <w:sig w:usb0="00000001" w:usb1="080E0000" w:usb2="00000000" w:usb3="00000000" w:csb0="00040000" w:csb1="00000000"/>
    <w:embedRegular r:id="rId13" w:fontKey="{D5F0CE3E-72BE-44EF-8923-9BF8B5F41F71}"/>
  </w:font>
  <w:font w:name="仿宋_GB2312">
    <w:altName w:val="仿宋"/>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embedRegular r:id="rId14" w:fontKey="{0446C336-04B8-4FAE-8AFA-D34500CED6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right="360"/>
      <w:rPr>
        <w:rFonts w:ascii="仿宋_GB2312" w:eastAsia="仿宋_GB2312"/>
        <w:sz w:val="28"/>
        <w:szCs w:val="28"/>
      </w:rPr>
    </w:pPr>
    <w:r>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path/>
          <v:fill on="f" focussize="0,0"/>
          <v:stroke on="f" weight="0.5pt" joinstyle="miter"/>
          <v:imagedata o:title=""/>
          <o:lock v:ext="edit"/>
          <v:textbox inset="0mm,0mm,0mm,0mm" style="mso-fit-shape-to-text:t;">
            <w:txbxContent>
              <w:p>
                <w:pPr>
                  <w:pStyle w:val="4"/>
                  <w:jc w:val="right"/>
                </w:pPr>
                <w:r>
                  <w:rPr>
                    <w:rFonts w:ascii="仿宋_GB2312" w:eastAsia="仿宋_GB2312"/>
                    <w:sz w:val="28"/>
                    <w:szCs w:val="28"/>
                  </w:rPr>
                  <w:t>-</w:t>
                </w:r>
                <w:r>
                  <w:rPr>
                    <w:rFonts w:ascii="仿宋_GB2312" w:eastAsia="仿宋_GB2312"/>
                    <w:sz w:val="28"/>
                    <w:szCs w:val="28"/>
                  </w:rPr>
                  <w:fldChar w:fldCharType="begin"/>
                </w:r>
                <w:r>
                  <w:rPr>
                    <w:rFonts w:ascii="仿宋_GB2312" w:eastAsia="仿宋_GB2312"/>
                    <w:sz w:val="28"/>
                    <w:szCs w:val="28"/>
                  </w:rPr>
                  <w:instrText xml:space="preserve"> PAGE   \* MERGEFORMAT </w:instrText>
                </w:r>
                <w:r>
                  <w:rPr>
                    <w:rFonts w:ascii="仿宋_GB2312" w:eastAsia="仿宋_GB2312"/>
                    <w:sz w:val="28"/>
                    <w:szCs w:val="28"/>
                  </w:rPr>
                  <w:fldChar w:fldCharType="separate"/>
                </w:r>
                <w:r>
                  <w:rPr>
                    <w:rFonts w:ascii="仿宋_GB2312" w:eastAsia="仿宋_GB2312"/>
                    <w:sz w:val="28"/>
                    <w:szCs w:val="28"/>
                    <w:lang w:val="zh-CN"/>
                  </w:rPr>
                  <w:t>30</w:t>
                </w:r>
                <w:r>
                  <w:rPr>
                    <w:rFonts w:ascii="仿宋_GB2312" w:eastAsia="仿宋_GB2312"/>
                    <w:sz w:val="28"/>
                    <w:szCs w:val="28"/>
                  </w:rPr>
                  <w:fldChar w:fldCharType="end"/>
                </w:r>
                <w:r>
                  <w:rPr>
                    <w:rFonts w:ascii="仿宋_GB2312" w:eastAsia="仿宋_GB2312"/>
                    <w:sz w:val="28"/>
                    <w:szCs w:val="28"/>
                  </w:rPr>
                  <w:t>-</w:t>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1167612"/>
    <w:multiLevelType w:val="multilevel"/>
    <w:tmpl w:val="21167612"/>
    <w:lvl w:ilvl="0" w:tentative="0">
      <w:start w:val="3"/>
      <w:numFmt w:val="japaneseCounting"/>
      <w:lvlText w:val="%1、"/>
      <w:lvlJc w:val="left"/>
      <w:pPr>
        <w:ind w:left="1360" w:hanging="72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
    <w:nsid w:val="54A179C4"/>
    <w:multiLevelType w:val="multilevel"/>
    <w:tmpl w:val="54A179C4"/>
    <w:lvl w:ilvl="0" w:tentative="0">
      <w:start w:val="1"/>
      <w:numFmt w:val="japaneseCounting"/>
      <w:lvlText w:val="%1、"/>
      <w:lvlJc w:val="left"/>
      <w:pPr>
        <w:ind w:left="1312" w:hanging="672"/>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2">
    <w:nsid w:val="580E68C7"/>
    <w:multiLevelType w:val="multilevel"/>
    <w:tmpl w:val="580E68C7"/>
    <w:lvl w:ilvl="0" w:tentative="0">
      <w:start w:val="1"/>
      <w:numFmt w:val="decimalEnclosedCircle"/>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1"/>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ZDQzZjc5NTllMGFiYmY5NmVhMTllZTJlYTQ3YTVjMjgifQ=="/>
  </w:docVars>
  <w:rsids>
    <w:rsidRoot w:val="0CCB7736"/>
    <w:rsid w:val="00005865"/>
    <w:rsid w:val="00005B92"/>
    <w:rsid w:val="000069CB"/>
    <w:rsid w:val="00016352"/>
    <w:rsid w:val="00016D00"/>
    <w:rsid w:val="000238DA"/>
    <w:rsid w:val="00024425"/>
    <w:rsid w:val="00047FEF"/>
    <w:rsid w:val="00063484"/>
    <w:rsid w:val="00071D92"/>
    <w:rsid w:val="000726B4"/>
    <w:rsid w:val="00073DC9"/>
    <w:rsid w:val="000820BC"/>
    <w:rsid w:val="000828F4"/>
    <w:rsid w:val="00082AD4"/>
    <w:rsid w:val="00084609"/>
    <w:rsid w:val="000A3906"/>
    <w:rsid w:val="000B276D"/>
    <w:rsid w:val="000B2864"/>
    <w:rsid w:val="000B4740"/>
    <w:rsid w:val="000B4AF3"/>
    <w:rsid w:val="000D0E72"/>
    <w:rsid w:val="000E6244"/>
    <w:rsid w:val="000F34BB"/>
    <w:rsid w:val="000F6BA9"/>
    <w:rsid w:val="0010059E"/>
    <w:rsid w:val="001008B1"/>
    <w:rsid w:val="00123592"/>
    <w:rsid w:val="00140571"/>
    <w:rsid w:val="001436CC"/>
    <w:rsid w:val="001520C2"/>
    <w:rsid w:val="00155EFB"/>
    <w:rsid w:val="001776F1"/>
    <w:rsid w:val="001818B8"/>
    <w:rsid w:val="001911A0"/>
    <w:rsid w:val="00192B23"/>
    <w:rsid w:val="00194E6B"/>
    <w:rsid w:val="001B18A9"/>
    <w:rsid w:val="001B354B"/>
    <w:rsid w:val="001C5E5E"/>
    <w:rsid w:val="001C7E3D"/>
    <w:rsid w:val="001D16DB"/>
    <w:rsid w:val="001D4750"/>
    <w:rsid w:val="001E54FF"/>
    <w:rsid w:val="00205A3B"/>
    <w:rsid w:val="00212BA0"/>
    <w:rsid w:val="0022267F"/>
    <w:rsid w:val="0022379C"/>
    <w:rsid w:val="00224527"/>
    <w:rsid w:val="002413B2"/>
    <w:rsid w:val="002455A2"/>
    <w:rsid w:val="0024574C"/>
    <w:rsid w:val="0025097C"/>
    <w:rsid w:val="00261A38"/>
    <w:rsid w:val="00264DBF"/>
    <w:rsid w:val="0028489D"/>
    <w:rsid w:val="002862E8"/>
    <w:rsid w:val="002A4AAC"/>
    <w:rsid w:val="002C0675"/>
    <w:rsid w:val="002D09B3"/>
    <w:rsid w:val="002E5882"/>
    <w:rsid w:val="0031016A"/>
    <w:rsid w:val="00316756"/>
    <w:rsid w:val="00317491"/>
    <w:rsid w:val="003238E9"/>
    <w:rsid w:val="00324ED9"/>
    <w:rsid w:val="00326799"/>
    <w:rsid w:val="00331644"/>
    <w:rsid w:val="00336196"/>
    <w:rsid w:val="0033699B"/>
    <w:rsid w:val="00342CA0"/>
    <w:rsid w:val="003471EF"/>
    <w:rsid w:val="00352637"/>
    <w:rsid w:val="003706FC"/>
    <w:rsid w:val="003904E9"/>
    <w:rsid w:val="00393EF6"/>
    <w:rsid w:val="003947EF"/>
    <w:rsid w:val="003B27D6"/>
    <w:rsid w:val="003C091A"/>
    <w:rsid w:val="003C73AB"/>
    <w:rsid w:val="003E1A07"/>
    <w:rsid w:val="003E21FC"/>
    <w:rsid w:val="003E3DCF"/>
    <w:rsid w:val="003E6670"/>
    <w:rsid w:val="00401D92"/>
    <w:rsid w:val="004128E3"/>
    <w:rsid w:val="00416C70"/>
    <w:rsid w:val="004239BF"/>
    <w:rsid w:val="00425676"/>
    <w:rsid w:val="00426839"/>
    <w:rsid w:val="00432FD2"/>
    <w:rsid w:val="00441F25"/>
    <w:rsid w:val="00453D0F"/>
    <w:rsid w:val="00455625"/>
    <w:rsid w:val="00470F2E"/>
    <w:rsid w:val="00493191"/>
    <w:rsid w:val="00493CBD"/>
    <w:rsid w:val="004A4BA3"/>
    <w:rsid w:val="004B6828"/>
    <w:rsid w:val="004C0F2A"/>
    <w:rsid w:val="00513DD9"/>
    <w:rsid w:val="00514BF1"/>
    <w:rsid w:val="00516189"/>
    <w:rsid w:val="00525028"/>
    <w:rsid w:val="005303FC"/>
    <w:rsid w:val="0055160B"/>
    <w:rsid w:val="00567846"/>
    <w:rsid w:val="005934E2"/>
    <w:rsid w:val="005B79A1"/>
    <w:rsid w:val="005C3A48"/>
    <w:rsid w:val="005D3162"/>
    <w:rsid w:val="005D4556"/>
    <w:rsid w:val="005F16D9"/>
    <w:rsid w:val="00610E00"/>
    <w:rsid w:val="00626F17"/>
    <w:rsid w:val="00637482"/>
    <w:rsid w:val="0065322B"/>
    <w:rsid w:val="0065360C"/>
    <w:rsid w:val="00654C07"/>
    <w:rsid w:val="006621C9"/>
    <w:rsid w:val="0066742E"/>
    <w:rsid w:val="006926D4"/>
    <w:rsid w:val="00697A85"/>
    <w:rsid w:val="00697F39"/>
    <w:rsid w:val="006A4D42"/>
    <w:rsid w:val="006A6B61"/>
    <w:rsid w:val="006B366F"/>
    <w:rsid w:val="006B7606"/>
    <w:rsid w:val="006C3926"/>
    <w:rsid w:val="006E1C6F"/>
    <w:rsid w:val="006E3605"/>
    <w:rsid w:val="006E42A2"/>
    <w:rsid w:val="006F0A16"/>
    <w:rsid w:val="00702BF5"/>
    <w:rsid w:val="007169B5"/>
    <w:rsid w:val="00722951"/>
    <w:rsid w:val="0073530D"/>
    <w:rsid w:val="00736BDA"/>
    <w:rsid w:val="0076318C"/>
    <w:rsid w:val="00773328"/>
    <w:rsid w:val="00773C04"/>
    <w:rsid w:val="00786C66"/>
    <w:rsid w:val="00790E9D"/>
    <w:rsid w:val="007C07C3"/>
    <w:rsid w:val="007C2D27"/>
    <w:rsid w:val="007C3BCE"/>
    <w:rsid w:val="00804A80"/>
    <w:rsid w:val="008152CF"/>
    <w:rsid w:val="00821399"/>
    <w:rsid w:val="00821883"/>
    <w:rsid w:val="008311FE"/>
    <w:rsid w:val="00834B9C"/>
    <w:rsid w:val="0084451A"/>
    <w:rsid w:val="0085321A"/>
    <w:rsid w:val="00865437"/>
    <w:rsid w:val="00873438"/>
    <w:rsid w:val="00894FCE"/>
    <w:rsid w:val="0089577C"/>
    <w:rsid w:val="008A207B"/>
    <w:rsid w:val="008D16C6"/>
    <w:rsid w:val="008F20B5"/>
    <w:rsid w:val="00901024"/>
    <w:rsid w:val="00917857"/>
    <w:rsid w:val="00922476"/>
    <w:rsid w:val="00934402"/>
    <w:rsid w:val="0094026C"/>
    <w:rsid w:val="00941D90"/>
    <w:rsid w:val="00944347"/>
    <w:rsid w:val="009452EB"/>
    <w:rsid w:val="00951C47"/>
    <w:rsid w:val="0095419A"/>
    <w:rsid w:val="009564D5"/>
    <w:rsid w:val="00961F71"/>
    <w:rsid w:val="00964F22"/>
    <w:rsid w:val="00976733"/>
    <w:rsid w:val="00986287"/>
    <w:rsid w:val="00995C3D"/>
    <w:rsid w:val="009A5ED8"/>
    <w:rsid w:val="009B3E84"/>
    <w:rsid w:val="009C0A8D"/>
    <w:rsid w:val="009D25E1"/>
    <w:rsid w:val="009E145D"/>
    <w:rsid w:val="009E57E4"/>
    <w:rsid w:val="009E7F0F"/>
    <w:rsid w:val="009F7D7B"/>
    <w:rsid w:val="00A03418"/>
    <w:rsid w:val="00A1319C"/>
    <w:rsid w:val="00A22E6A"/>
    <w:rsid w:val="00A52BB6"/>
    <w:rsid w:val="00A5531E"/>
    <w:rsid w:val="00A640DE"/>
    <w:rsid w:val="00A755C2"/>
    <w:rsid w:val="00A85102"/>
    <w:rsid w:val="00AA4034"/>
    <w:rsid w:val="00AB37C5"/>
    <w:rsid w:val="00AD3545"/>
    <w:rsid w:val="00AD4D9F"/>
    <w:rsid w:val="00AD768A"/>
    <w:rsid w:val="00AF5AE2"/>
    <w:rsid w:val="00B03015"/>
    <w:rsid w:val="00B102E2"/>
    <w:rsid w:val="00B11C4F"/>
    <w:rsid w:val="00B21932"/>
    <w:rsid w:val="00B46848"/>
    <w:rsid w:val="00B762AC"/>
    <w:rsid w:val="00B85828"/>
    <w:rsid w:val="00BB0ACB"/>
    <w:rsid w:val="00BB4A54"/>
    <w:rsid w:val="00BC61DC"/>
    <w:rsid w:val="00BD0EE4"/>
    <w:rsid w:val="00BD4073"/>
    <w:rsid w:val="00C1763A"/>
    <w:rsid w:val="00C17E20"/>
    <w:rsid w:val="00C232A9"/>
    <w:rsid w:val="00C27A9A"/>
    <w:rsid w:val="00C33453"/>
    <w:rsid w:val="00C431B2"/>
    <w:rsid w:val="00C51989"/>
    <w:rsid w:val="00C66C84"/>
    <w:rsid w:val="00C7378A"/>
    <w:rsid w:val="00C742F5"/>
    <w:rsid w:val="00C913D1"/>
    <w:rsid w:val="00CB315D"/>
    <w:rsid w:val="00CB594F"/>
    <w:rsid w:val="00CC09D3"/>
    <w:rsid w:val="00CC50F6"/>
    <w:rsid w:val="00CE3DB1"/>
    <w:rsid w:val="00CF1233"/>
    <w:rsid w:val="00CF572C"/>
    <w:rsid w:val="00CF6913"/>
    <w:rsid w:val="00D032FA"/>
    <w:rsid w:val="00D03C1D"/>
    <w:rsid w:val="00D10BCB"/>
    <w:rsid w:val="00D26CEC"/>
    <w:rsid w:val="00D3687A"/>
    <w:rsid w:val="00D40AA4"/>
    <w:rsid w:val="00D525CB"/>
    <w:rsid w:val="00D57834"/>
    <w:rsid w:val="00D66850"/>
    <w:rsid w:val="00D66E1E"/>
    <w:rsid w:val="00D8646C"/>
    <w:rsid w:val="00D948FD"/>
    <w:rsid w:val="00DA6B34"/>
    <w:rsid w:val="00DB5C0A"/>
    <w:rsid w:val="00DB6B29"/>
    <w:rsid w:val="00DD715F"/>
    <w:rsid w:val="00DE4586"/>
    <w:rsid w:val="00DE721E"/>
    <w:rsid w:val="00E05444"/>
    <w:rsid w:val="00E137D7"/>
    <w:rsid w:val="00E211BC"/>
    <w:rsid w:val="00E33845"/>
    <w:rsid w:val="00E40190"/>
    <w:rsid w:val="00E5565E"/>
    <w:rsid w:val="00E71E9E"/>
    <w:rsid w:val="00E72263"/>
    <w:rsid w:val="00E76A91"/>
    <w:rsid w:val="00E85ECE"/>
    <w:rsid w:val="00E932F8"/>
    <w:rsid w:val="00ED1C4A"/>
    <w:rsid w:val="00ED50B6"/>
    <w:rsid w:val="00ED6AF6"/>
    <w:rsid w:val="00EE134F"/>
    <w:rsid w:val="00EE64C3"/>
    <w:rsid w:val="00EE6B0C"/>
    <w:rsid w:val="00EF1285"/>
    <w:rsid w:val="00F01844"/>
    <w:rsid w:val="00F03D51"/>
    <w:rsid w:val="00F06857"/>
    <w:rsid w:val="00F353E0"/>
    <w:rsid w:val="00F43193"/>
    <w:rsid w:val="00F46CB5"/>
    <w:rsid w:val="00F623C9"/>
    <w:rsid w:val="00F753AF"/>
    <w:rsid w:val="00F75589"/>
    <w:rsid w:val="00F86AFA"/>
    <w:rsid w:val="00F93909"/>
    <w:rsid w:val="00FA7044"/>
    <w:rsid w:val="00FB5D8C"/>
    <w:rsid w:val="00FD1A14"/>
    <w:rsid w:val="00FF35C2"/>
    <w:rsid w:val="016A347B"/>
    <w:rsid w:val="02B50488"/>
    <w:rsid w:val="0338470A"/>
    <w:rsid w:val="034822A9"/>
    <w:rsid w:val="03D86621"/>
    <w:rsid w:val="04EE6171"/>
    <w:rsid w:val="05395EA9"/>
    <w:rsid w:val="0ABD557B"/>
    <w:rsid w:val="0BBB5A8D"/>
    <w:rsid w:val="0C104906"/>
    <w:rsid w:val="0CCB7736"/>
    <w:rsid w:val="0D9E0E8D"/>
    <w:rsid w:val="0EAB7397"/>
    <w:rsid w:val="0EF755B3"/>
    <w:rsid w:val="0F17035E"/>
    <w:rsid w:val="0F4E168D"/>
    <w:rsid w:val="11404466"/>
    <w:rsid w:val="11963ADD"/>
    <w:rsid w:val="11EB0F5C"/>
    <w:rsid w:val="11F20483"/>
    <w:rsid w:val="136F31F8"/>
    <w:rsid w:val="138750E0"/>
    <w:rsid w:val="15A620D3"/>
    <w:rsid w:val="16A3369E"/>
    <w:rsid w:val="178536BD"/>
    <w:rsid w:val="19516372"/>
    <w:rsid w:val="19575CC2"/>
    <w:rsid w:val="19A80228"/>
    <w:rsid w:val="1A101464"/>
    <w:rsid w:val="1AB74849"/>
    <w:rsid w:val="1AC52FF2"/>
    <w:rsid w:val="1AE6175D"/>
    <w:rsid w:val="1B742AA7"/>
    <w:rsid w:val="1CA34935"/>
    <w:rsid w:val="1D5A640E"/>
    <w:rsid w:val="1F7640EC"/>
    <w:rsid w:val="20D76C5F"/>
    <w:rsid w:val="21057490"/>
    <w:rsid w:val="214A230E"/>
    <w:rsid w:val="21B052C4"/>
    <w:rsid w:val="22FF5445"/>
    <w:rsid w:val="238D0E57"/>
    <w:rsid w:val="24256710"/>
    <w:rsid w:val="251E7983"/>
    <w:rsid w:val="260D5D83"/>
    <w:rsid w:val="284A2254"/>
    <w:rsid w:val="292F1467"/>
    <w:rsid w:val="29786927"/>
    <w:rsid w:val="297B51B4"/>
    <w:rsid w:val="29E40467"/>
    <w:rsid w:val="29F527E2"/>
    <w:rsid w:val="2BF35971"/>
    <w:rsid w:val="2C487650"/>
    <w:rsid w:val="2E4F43C0"/>
    <w:rsid w:val="2EC7368E"/>
    <w:rsid w:val="30FB4B41"/>
    <w:rsid w:val="31621165"/>
    <w:rsid w:val="323C5548"/>
    <w:rsid w:val="37450F88"/>
    <w:rsid w:val="37D6106F"/>
    <w:rsid w:val="38F862EB"/>
    <w:rsid w:val="39343807"/>
    <w:rsid w:val="39887BBC"/>
    <w:rsid w:val="3A53023B"/>
    <w:rsid w:val="3AF42D2D"/>
    <w:rsid w:val="3B3A041F"/>
    <w:rsid w:val="3BAE6BF9"/>
    <w:rsid w:val="3CCA47F2"/>
    <w:rsid w:val="3CDE0708"/>
    <w:rsid w:val="3D5877DF"/>
    <w:rsid w:val="3DC55CAA"/>
    <w:rsid w:val="3DD556CA"/>
    <w:rsid w:val="3F450429"/>
    <w:rsid w:val="40226C80"/>
    <w:rsid w:val="40C451A5"/>
    <w:rsid w:val="4156470B"/>
    <w:rsid w:val="41943ACE"/>
    <w:rsid w:val="425D4066"/>
    <w:rsid w:val="43173FD4"/>
    <w:rsid w:val="44143822"/>
    <w:rsid w:val="44654A12"/>
    <w:rsid w:val="457C5F26"/>
    <w:rsid w:val="49CF255F"/>
    <w:rsid w:val="4B2C5DCD"/>
    <w:rsid w:val="4B7D1173"/>
    <w:rsid w:val="4C150E22"/>
    <w:rsid w:val="4C6A38FC"/>
    <w:rsid w:val="4CE74BC3"/>
    <w:rsid w:val="4CF5000E"/>
    <w:rsid w:val="4DB17672"/>
    <w:rsid w:val="50AC44C4"/>
    <w:rsid w:val="50EA6DB9"/>
    <w:rsid w:val="51CA7471"/>
    <w:rsid w:val="521C2FA3"/>
    <w:rsid w:val="522529B2"/>
    <w:rsid w:val="53910AF4"/>
    <w:rsid w:val="555952B3"/>
    <w:rsid w:val="556B5A36"/>
    <w:rsid w:val="55AF40BB"/>
    <w:rsid w:val="56F72F7C"/>
    <w:rsid w:val="586243BF"/>
    <w:rsid w:val="58FD3402"/>
    <w:rsid w:val="5AAF7799"/>
    <w:rsid w:val="5B5C1753"/>
    <w:rsid w:val="5E134100"/>
    <w:rsid w:val="5F7A1C50"/>
    <w:rsid w:val="601C4AB5"/>
    <w:rsid w:val="60BE691E"/>
    <w:rsid w:val="61444403"/>
    <w:rsid w:val="62265BDF"/>
    <w:rsid w:val="62E1699A"/>
    <w:rsid w:val="64147F0D"/>
    <w:rsid w:val="64D66362"/>
    <w:rsid w:val="65860217"/>
    <w:rsid w:val="667E0AA1"/>
    <w:rsid w:val="68FB17C3"/>
    <w:rsid w:val="695F12F9"/>
    <w:rsid w:val="69636C3A"/>
    <w:rsid w:val="69CF7B2C"/>
    <w:rsid w:val="6A0B0004"/>
    <w:rsid w:val="6BA1010E"/>
    <w:rsid w:val="6CE47E41"/>
    <w:rsid w:val="6CED5810"/>
    <w:rsid w:val="6CF92413"/>
    <w:rsid w:val="6DFE5E04"/>
    <w:rsid w:val="6E87203D"/>
    <w:rsid w:val="6EE75117"/>
    <w:rsid w:val="6F9278BB"/>
    <w:rsid w:val="71572F19"/>
    <w:rsid w:val="719B7427"/>
    <w:rsid w:val="724A6793"/>
    <w:rsid w:val="72655E48"/>
    <w:rsid w:val="741F26FA"/>
    <w:rsid w:val="74470DF8"/>
    <w:rsid w:val="75FD1676"/>
    <w:rsid w:val="799536BA"/>
    <w:rsid w:val="7B170752"/>
    <w:rsid w:val="7B8F681B"/>
    <w:rsid w:val="7DD96C0E"/>
    <w:rsid w:val="7E474F7B"/>
    <w:rsid w:val="7E8F7AC1"/>
  </w:rsids>
  <m:mathPr>
    <m:mathFont m:val="Cambria Math"/>
    <m:brkBin m:val="before"/>
    <m:brkBinSub m:val="--"/>
    <m:smallFrac m:val="1"/>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0"/>
    <w:pPr>
      <w:keepNext/>
      <w:keepLines/>
      <w:outlineLvl w:val="0"/>
    </w:pPr>
    <w:rPr>
      <w:rFonts w:eastAsia="黑体"/>
      <w:bCs/>
      <w:kern w:val="44"/>
      <w:szCs w:val="44"/>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footnote text"/>
    <w:basedOn w:val="1"/>
    <w:next w:val="1"/>
    <w:qFormat/>
    <w:uiPriority w:val="0"/>
    <w:pPr>
      <w:snapToGrid w:val="0"/>
      <w:jc w:val="left"/>
    </w:pPr>
    <w:rPr>
      <w:sz w:val="18"/>
      <w:szCs w:val="18"/>
    </w:rPr>
  </w:style>
  <w:style w:type="paragraph" w:styleId="4">
    <w:name w:val="footer"/>
    <w:basedOn w:val="1"/>
    <w:link w:val="11"/>
    <w:qFormat/>
    <w:uiPriority w:val="99"/>
    <w:pPr>
      <w:tabs>
        <w:tab w:val="center" w:pos="4153"/>
        <w:tab w:val="right" w:pos="8306"/>
      </w:tabs>
      <w:snapToGrid w:val="0"/>
      <w:jc w:val="left"/>
    </w:pPr>
    <w:rPr>
      <w:sz w:val="18"/>
      <w:szCs w:val="18"/>
    </w:rPr>
  </w:style>
  <w:style w:type="paragraph" w:styleId="5">
    <w:name w:val="header"/>
    <w:basedOn w:val="1"/>
    <w:link w:val="12"/>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table" w:styleId="8">
    <w:name w:val="Table Grid"/>
    <w:basedOn w:val="7"/>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page number"/>
    <w:basedOn w:val="9"/>
    <w:qFormat/>
    <w:uiPriority w:val="99"/>
    <w:rPr>
      <w:rFonts w:cs="Times New Roman"/>
    </w:rPr>
  </w:style>
  <w:style w:type="character" w:customStyle="1" w:styleId="11">
    <w:name w:val="页脚 Char"/>
    <w:basedOn w:val="9"/>
    <w:link w:val="4"/>
    <w:qFormat/>
    <w:uiPriority w:val="99"/>
    <w:rPr>
      <w:sz w:val="18"/>
      <w:szCs w:val="18"/>
    </w:rPr>
  </w:style>
  <w:style w:type="character" w:customStyle="1" w:styleId="12">
    <w:name w:val="页眉 Char"/>
    <w:basedOn w:val="9"/>
    <w:link w:val="5"/>
    <w:semiHidden/>
    <w:qFormat/>
    <w:uiPriority w:val="99"/>
    <w:rPr>
      <w:sz w:val="18"/>
      <w:szCs w:val="18"/>
    </w:rPr>
  </w:style>
  <w:style w:type="paragraph" w:styleId="13">
    <w:name w:val="List Paragraph"/>
    <w:basedOn w:val="1"/>
    <w:qFormat/>
    <w:uiPriority w:val="99"/>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30</Pages>
  <Words>13839</Words>
  <Characters>14627</Characters>
  <Lines>120</Lines>
  <Paragraphs>34</Paragraphs>
  <TotalTime>1141</TotalTime>
  <ScaleCrop>false</ScaleCrop>
  <LinksUpToDate>false</LinksUpToDate>
  <CharactersWithSpaces>14980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2020-06-04T01:07:00Z</dcterms:created>
  <dc:creator>Administrator</dc:creator>
  <cp:lastModifiedBy>戴</cp:lastModifiedBy>
  <cp:lastPrinted>2023-06-29T01:04:00Z</cp:lastPrinted>
  <dcterms:modified xsi:type="dcterms:W3CDTF">2023-07-17T02:52:15Z</dcterms:modified>
  <cp:revision>388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KSOSaveFontToCloudKey">
    <vt:lpwstr>386772509_embed</vt:lpwstr>
  </property>
  <property fmtid="{D5CDD505-2E9C-101B-9397-08002B2CF9AE}" pid="4" name="ICV">
    <vt:lpwstr>BCEA63DAF624456AADE85B6B06C14A45_13</vt:lpwstr>
  </property>
</Properties>
</file>