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华容县</w:t>
      </w:r>
      <w:r>
        <w:rPr>
          <w:rFonts w:hint="eastAsia" w:eastAsia="仿宋_GB2312"/>
          <w:sz w:val="32"/>
          <w:szCs w:val="32"/>
          <w:u w:val="single"/>
          <w:lang w:val="en-US" w:eastAsia="zh-CN"/>
        </w:rPr>
        <w:t>注滋口</w:t>
      </w:r>
      <w:r>
        <w:rPr>
          <w:rFonts w:hint="eastAsia" w:eastAsia="仿宋_GB2312"/>
          <w:sz w:val="32"/>
          <w:szCs w:val="32"/>
          <w:u w:val="single"/>
          <w:lang w:eastAsia="zh-CN"/>
        </w:rPr>
        <w:t>镇</w:t>
      </w:r>
      <w:r>
        <w:rPr>
          <w:rFonts w:hint="eastAsia" w:eastAsia="仿宋_GB2312"/>
          <w:sz w:val="32"/>
          <w:szCs w:val="32"/>
          <w:u w:val="single"/>
          <w:lang w:val="en-US" w:eastAsia="zh-CN"/>
        </w:rPr>
        <w:t>人民政府</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 xml:space="preserve">      </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 xml:space="preserve"> 年</w:t>
      </w:r>
      <w:r>
        <w:rPr>
          <w:rFonts w:hint="eastAsia" w:eastAsia="仿宋_GB2312"/>
          <w:sz w:val="32"/>
          <w:lang w:val="en-US" w:eastAsia="zh-CN"/>
        </w:rPr>
        <w:t>10</w:t>
      </w:r>
      <w:r>
        <w:rPr>
          <w:rFonts w:hint="eastAsia" w:eastAsia="仿宋_GB2312"/>
          <w:sz w:val="32"/>
        </w:rPr>
        <w:t xml:space="preserve">月 </w:t>
      </w:r>
      <w:r>
        <w:rPr>
          <w:rFonts w:hint="eastAsia" w:eastAsia="仿宋_GB2312"/>
          <w:sz w:val="32"/>
          <w:lang w:val="en-US" w:eastAsia="zh-CN"/>
        </w:rPr>
        <w:t>11</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8"/>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陈雅丽</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themeColor="text1"/>
                <w:sz w:val="24"/>
                <w:lang w:val="en-US" w:eastAsia="zh-CN"/>
                <w14:textFill>
                  <w14:solidFill>
                    <w14:schemeClr w14:val="tx1"/>
                  </w14:solidFill>
                </w14:textFill>
              </w:rPr>
              <w:t>99</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firstLine="320" w:firstLineChars="100"/>
              <w:jc w:val="both"/>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 全民贯彻落实党和国家在农村的各项方针政策和法律法规，加强基层组织建设，完善党对农村工作的领导，紧紧围绕促进经济发展、增加农民收入，强化公共服务、着力改善民生，加强社会管理、维护农村稳定，推进基层民主、促进农村和谐四个方面履职。</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319" w:leftChars="152" w:right="0" w:rightChars="0" w:firstLine="0" w:firstLineChars="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进一步抓好政治建设。</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319" w:leftChars="152" w:right="0" w:rightChars="0" w:firstLine="0" w:firstLineChars="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进一步抓好党性锤炼。</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319" w:leftChars="152" w:right="0" w:rightChars="0" w:firstLine="0" w:firstLineChars="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进一步抓好为民服务。</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319" w:leftChars="152" w:right="0" w:rightChars="0" w:firstLine="0" w:firstLineChars="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进一步抓好履职担当。</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319" w:leftChars="152" w:right="0" w:rightChars="0" w:firstLine="0" w:firstLineChars="0"/>
              <w:jc w:val="left"/>
              <w:rPr>
                <w:rFonts w:hint="eastAsia" w:ascii="仿宋_GB2312" w:hAnsi="仿宋_GB2312" w:eastAsia="仿宋_GB2312" w:cs="仿宋_GB2312"/>
                <w:b/>
                <w:bCs/>
                <w:i w:val="0"/>
                <w:iCs w:val="0"/>
                <w:sz w:val="32"/>
                <w:szCs w:val="32"/>
                <w:lang w:val="en-US" w:eastAsia="zh-CN"/>
              </w:rPr>
            </w:pPr>
            <w:r>
              <w:rPr>
                <w:rFonts w:hint="eastAsia" w:ascii="Times New Roman" w:hAnsi="Times New Roman" w:eastAsia="仿宋_GB2312" w:cs="Times New Roman"/>
                <w:kern w:val="2"/>
                <w:sz w:val="32"/>
                <w:szCs w:val="32"/>
                <w:lang w:val="en-US" w:eastAsia="zh-CN" w:bidi="ar-SA"/>
              </w:rPr>
              <w:t>进一步抓好廉政建设。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lang w:eastAsia="zh-CN"/>
              </w:rPr>
              <w:t>2021</w:t>
            </w:r>
            <w:r>
              <w:rPr>
                <w:rFonts w:hint="eastAsia" w:ascii="Times New Roman" w:hAnsi="Times New Roman" w:eastAsia="仿宋_GB2312" w:cs="Times New Roman"/>
                <w:snapToGrid w:val="0"/>
                <w:kern w:val="0"/>
                <w:sz w:val="32"/>
                <w:szCs w:val="32"/>
              </w:rPr>
              <w:t>年，</w:t>
            </w:r>
            <w:r>
              <w:rPr>
                <w:rFonts w:hint="eastAsia" w:ascii="Times New Roman" w:hAnsi="Times New Roman" w:eastAsia="仿宋_GB2312" w:cs="Times New Roman"/>
                <w:snapToGrid w:val="0"/>
                <w:kern w:val="0"/>
                <w:sz w:val="32"/>
                <w:szCs w:val="32"/>
                <w:lang w:eastAsia="zh-CN"/>
              </w:rPr>
              <w:t>注滋口</w:t>
            </w:r>
            <w:r>
              <w:rPr>
                <w:rFonts w:hint="eastAsia" w:ascii="Times New Roman" w:hAnsi="Times New Roman" w:eastAsia="仿宋_GB2312" w:cs="Times New Roman"/>
                <w:snapToGrid w:val="0"/>
                <w:kern w:val="0"/>
                <w:sz w:val="32"/>
                <w:szCs w:val="32"/>
              </w:rPr>
              <w:t>镇党委、政府</w:t>
            </w:r>
            <w:r>
              <w:rPr>
                <w:rFonts w:hint="eastAsia" w:ascii="Times New Roman" w:hAnsi="Times New Roman" w:eastAsia="仿宋_GB2312" w:cs="Times New Roman"/>
                <w:snapToGrid w:val="0"/>
                <w:kern w:val="0"/>
                <w:sz w:val="32"/>
                <w:szCs w:val="32"/>
                <w:lang w:val="en-US" w:eastAsia="zh-CN"/>
              </w:rPr>
              <w:t>以“三品牌一中心”富美强镇建设为目标</w:t>
            </w:r>
            <w:r>
              <w:rPr>
                <w:rFonts w:hint="eastAsia" w:ascii="Times New Roman" w:hAnsi="Times New Roman" w:eastAsia="仿宋_GB2312" w:cs="Times New Roman"/>
                <w:snapToGrid w:val="0"/>
                <w:kern w:val="0"/>
                <w:sz w:val="32"/>
                <w:szCs w:val="32"/>
              </w:rPr>
              <w:t>，在攻坚克难中彰显担当，在爬坡过坎中砥励前行，各项工作顺利推进。</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Times New Roman" w:hAnsi="Times New Roman" w:eastAsia="仿宋_GB2312" w:cs="Times New Roman"/>
                <w:snapToGrid w:val="0"/>
                <w:kern w:val="0"/>
                <w:sz w:val="32"/>
                <w:szCs w:val="32"/>
                <w:lang w:eastAsia="zh-CN"/>
              </w:rPr>
            </w:pPr>
            <w:r>
              <w:rPr>
                <w:rFonts w:hint="eastAsia" w:ascii="楷体_GB2312" w:hAnsi="仿宋_GB2312" w:eastAsia="楷体_GB2312" w:cs="仿宋_GB2312"/>
                <w:b/>
                <w:bCs/>
                <w:sz w:val="32"/>
                <w:szCs w:val="32"/>
                <w:lang w:val="en-US" w:eastAsia="zh-CN"/>
              </w:rPr>
              <w:t>1.</w:t>
            </w:r>
            <w:r>
              <w:rPr>
                <w:rFonts w:hint="eastAsia" w:ascii="楷体_GB2312" w:hAnsi="仿宋_GB2312" w:eastAsia="楷体_GB2312" w:cs="仿宋_GB2312"/>
                <w:b/>
                <w:bCs/>
                <w:sz w:val="32"/>
                <w:szCs w:val="32"/>
              </w:rPr>
              <w:t>疫情防控书写新担当。</w:t>
            </w:r>
            <w:r>
              <w:rPr>
                <w:rFonts w:hint="eastAsia" w:ascii="Times New Roman" w:hAnsi="Times New Roman" w:eastAsia="仿宋_GB2312" w:cs="Times New Roman"/>
                <w:snapToGrid w:val="0"/>
                <w:kern w:val="0"/>
                <w:sz w:val="32"/>
                <w:szCs w:val="32"/>
                <w:lang w:eastAsia="zh-CN"/>
              </w:rPr>
              <w:t>坚持领导靠前指挥，干部力量下沉，镇突发公共卫生事件应急指挥所分为执法维稳组、后勤保障组等“一办六组”，实行党政负责人包片、办点干部包村、村干部包组、党员组长包户的“四包一”网格管控机制，全体干部在常态化疫情防控中连续作战，抵御住了一波又一波疫情。</w:t>
            </w:r>
            <w:r>
              <w:rPr>
                <w:rFonts w:hint="eastAsia" w:ascii="Times New Roman" w:hAnsi="Times New Roman" w:eastAsia="仿宋_GB2312" w:cs="Times New Roman"/>
                <w:snapToGrid w:val="0"/>
                <w:kern w:val="0"/>
                <w:sz w:val="32"/>
                <w:szCs w:val="32"/>
                <w:lang w:val="en-US" w:eastAsia="zh-CN"/>
              </w:rPr>
              <w:t>通过“村村响”广播、张贴通告、上门走访、微信推送、发放资料等方式开展形式多样宣传活动，</w:t>
            </w:r>
            <w:r>
              <w:rPr>
                <w:rFonts w:hint="eastAsia" w:ascii="Times New Roman" w:hAnsi="Times New Roman" w:eastAsia="仿宋_GB2312" w:cs="Times New Roman"/>
                <w:snapToGrid w:val="0"/>
                <w:kern w:val="0"/>
                <w:sz w:val="32"/>
                <w:szCs w:val="32"/>
                <w:lang w:eastAsia="zh-CN"/>
              </w:rPr>
              <w:t>引导群众科学理性对待并做好自身防护。全面开展</w:t>
            </w:r>
            <w:r>
              <w:rPr>
                <w:rFonts w:hint="eastAsia" w:ascii="Times New Roman" w:hAnsi="Times New Roman" w:eastAsia="仿宋_GB2312" w:cs="Times New Roman"/>
                <w:snapToGrid w:val="0"/>
                <w:kern w:val="0"/>
                <w:sz w:val="32"/>
                <w:szCs w:val="32"/>
                <w:lang w:val="en-US" w:eastAsia="zh-CN"/>
              </w:rPr>
              <w:t>3岁以上人群疫苗接种工作，</w:t>
            </w:r>
            <w:r>
              <w:rPr>
                <w:rFonts w:hint="eastAsia" w:ascii="Times New Roman" w:hAnsi="Times New Roman" w:eastAsia="仿宋_GB2312" w:cs="Times New Roman"/>
                <w:snapToGrid w:val="0"/>
                <w:kern w:val="0"/>
                <w:sz w:val="32"/>
                <w:szCs w:val="32"/>
                <w:lang w:eastAsia="zh-CN"/>
              </w:rPr>
              <w:t>结合大数据和网格化摸排开展全面核查，进一步核实未接种疫苗底数，并对未接种人员不能接种人员核准原因台账，镇村干部做好疫苗接种配套服务，确保了本地人员适合接种的全接种。全镇上下众志成城，保证了新冠肺炎零感染，守护了一方净土。</w:t>
            </w:r>
          </w:p>
          <w:p>
            <w:pPr>
              <w:pStyle w:val="7"/>
              <w:keepNext w:val="0"/>
              <w:keepLines w:val="0"/>
              <w:pageBreakBefore w:val="0"/>
              <w:widowControl/>
              <w:kinsoku/>
              <w:wordWrap/>
              <w:overflowPunct/>
              <w:topLinePunct w:val="0"/>
              <w:autoSpaceDE/>
              <w:autoSpaceDN/>
              <w:bidi w:val="0"/>
              <w:spacing w:beforeAutospacing="0" w:afterAutospacing="0" w:line="560" w:lineRule="exact"/>
              <w:ind w:firstLine="643" w:firstLineChars="200"/>
              <w:jc w:val="both"/>
              <w:textAlignment w:val="auto"/>
              <w:rPr>
                <w:rFonts w:ascii="仿宋_GB2312" w:hAnsi="仿宋_GB2312" w:eastAsia="仿宋_GB2312" w:cs="仿宋_GB2312"/>
                <w:kern w:val="2"/>
                <w:sz w:val="32"/>
                <w:szCs w:val="32"/>
              </w:rPr>
            </w:pPr>
            <w:r>
              <w:rPr>
                <w:rFonts w:hint="eastAsia" w:ascii="楷体_GB2312" w:hAnsi="仿宋_GB2312" w:eastAsia="楷体_GB2312" w:cs="仿宋_GB2312"/>
                <w:b/>
                <w:bCs/>
                <w:sz w:val="32"/>
                <w:szCs w:val="32"/>
                <w:lang w:val="en-US" w:eastAsia="zh-CN"/>
              </w:rPr>
              <w:t>2.全面小康</w:t>
            </w:r>
            <w:r>
              <w:rPr>
                <w:rFonts w:hint="eastAsia" w:ascii="楷体_GB2312" w:hAnsi="仿宋_GB2312" w:eastAsia="楷体_GB2312" w:cs="仿宋_GB2312"/>
                <w:b/>
                <w:bCs/>
                <w:sz w:val="32"/>
                <w:szCs w:val="32"/>
              </w:rPr>
              <w:t>谱写新篇章。</w:t>
            </w:r>
            <w:r>
              <w:rPr>
                <w:rFonts w:hint="eastAsia" w:ascii="Times New Roman" w:hAnsi="Times New Roman" w:eastAsia="仿宋_GB2312" w:cs="Times New Roman"/>
                <w:snapToGrid w:val="0"/>
                <w:kern w:val="0"/>
                <w:sz w:val="32"/>
                <w:szCs w:val="32"/>
                <w:lang w:val="en-US" w:eastAsia="zh-CN" w:bidi="ar-SA"/>
              </w:rPr>
              <w:t>脱贫攻坚圆满胜利后，我镇全力巩固脱贫攻坚成果，严格落实“四个不摘”要求，完善防止返贫监测和帮扶机制，对易返贫致贫人口及时发现、及时帮扶，巩固产业扶贫、就业扶贫、消费扶贫、易地搬迁后扶等成效，实现巩固脱贫成果与乡村振兴有效衔接；切实抓好城乡低保动态管理，通过低保提标、五保核实申报等措施，完成贫困人口低保提标579人次；继续优化教育资源调整，完成春季义务教育阶段助学金发放330人，春季雨露计划21人；切实保障妇女儿童、老龄人、残疾人合法权益，对行动不便人员根据残疾人下乡评残服务活动上门办理，完成贫困人口残疾上门办证12人次；根据贫困户实际情况，筛选具有劳动能力贫困人口申报安排公益岗位，上半年完成贫困户公益岗位申报识别31人，其中贫困村汀头村申报公益岗位10人。</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楷体_GB2312" w:hAnsi="仿宋_GB2312" w:eastAsia="楷体_GB2312" w:cs="仿宋_GB2312"/>
                <w:b/>
                <w:bCs/>
                <w:sz w:val="32"/>
                <w:szCs w:val="32"/>
                <w:lang w:val="en-US" w:eastAsia="zh-CN"/>
              </w:rPr>
              <w:t>3.</w:t>
            </w:r>
            <w:r>
              <w:rPr>
                <w:rFonts w:hint="eastAsia" w:ascii="楷体_GB2312" w:hAnsi="仿宋_GB2312" w:eastAsia="楷体_GB2312" w:cs="仿宋_GB2312"/>
                <w:b/>
                <w:bCs/>
                <w:sz w:val="32"/>
                <w:szCs w:val="32"/>
                <w:lang w:eastAsia="zh-CN"/>
              </w:rPr>
              <w:t>产业</w:t>
            </w:r>
            <w:r>
              <w:rPr>
                <w:rFonts w:hint="eastAsia" w:ascii="楷体_GB2312" w:hAnsi="仿宋_GB2312" w:eastAsia="楷体_GB2312" w:cs="仿宋_GB2312"/>
                <w:b/>
                <w:bCs/>
                <w:sz w:val="32"/>
                <w:szCs w:val="32"/>
              </w:rPr>
              <w:t>发展凸显新特色。</w:t>
            </w:r>
            <w:r>
              <w:rPr>
                <w:rFonts w:hint="eastAsia" w:ascii="仿宋_GB2312" w:hAnsi="仿宋_GB2312" w:eastAsia="仿宋_GB2312" w:cs="仿宋_GB2312"/>
                <w:b/>
                <w:bCs/>
                <w:sz w:val="32"/>
                <w:szCs w:val="32"/>
                <w:lang w:eastAsia="zh-CN"/>
              </w:rPr>
              <w:t>一是促进农村农业发展。</w:t>
            </w:r>
            <w:r>
              <w:rPr>
                <w:rFonts w:hint="eastAsia" w:ascii="Times New Roman" w:hAnsi="Times New Roman" w:eastAsia="仿宋_GB2312" w:cs="Times New Roman"/>
                <w:snapToGrid w:val="0"/>
                <w:kern w:val="0"/>
                <w:sz w:val="32"/>
                <w:szCs w:val="32"/>
                <w:lang w:val="en-US" w:eastAsia="zh-CN" w:bidi="ar-SA"/>
              </w:rPr>
              <w:t>今年来，全镇充分发挥地域特色，主抓“优质米”、“生态鱼”品质提升。上半年，全镇建设早稻集中育秧示范区3000多亩，带动辐射全镇6553亩大田进行早稻集中育秧，实现全镇优质稻种植面积达到6万多亩，进一步保障了粮食安全底线。大力发展稻田特色种养，发展“稻虾”、“稻蛙”、“稻鳖”等4万多亩，进一步发展同丰浃村片区黄鳝养殖基地、八千村片区才鱼养殖基地等一批特色品种板块，全镇“一村一品、一区一业”的良好局面更加显现。抓好农业机械化生产，今年成功申创全省平安农机示范乡镇。抓好农业规模化生产，全镇土地流转和托管面积达到9万多亩，流转率超过80%，合作社达147家、家庭农场162家，大大推进了我镇农业产业化经营，农业劳动力转移机制得到进一步完善。</w:t>
            </w:r>
            <w:r>
              <w:rPr>
                <w:rFonts w:hint="eastAsia" w:ascii="仿宋_GB2312" w:hAnsi="仿宋_GB2312" w:eastAsia="仿宋_GB2312" w:cs="仿宋_GB2312"/>
                <w:b/>
                <w:bCs/>
                <w:kern w:val="2"/>
                <w:sz w:val="32"/>
                <w:szCs w:val="32"/>
                <w:lang w:val="en-US" w:eastAsia="zh-CN" w:bidi="ar-SA"/>
              </w:rPr>
              <w:t>二是促进集镇商业发展。</w:t>
            </w:r>
            <w:r>
              <w:rPr>
                <w:rFonts w:hint="eastAsia" w:ascii="Times New Roman" w:hAnsi="Times New Roman" w:eastAsia="仿宋_GB2312" w:cs="Times New Roman"/>
                <w:snapToGrid w:val="0"/>
                <w:kern w:val="0"/>
                <w:sz w:val="32"/>
                <w:szCs w:val="32"/>
                <w:lang w:val="en-US" w:eastAsia="zh-CN" w:bidi="ar-SA"/>
              </w:rPr>
              <w:t>通过本土小品牌到代理店、加盟商的转变，进一步提升门店层次；对老街进行统一规划，计划打造美食特色街，对九龙商场拆除后新建“汉口街”商业街，进一步丰富全镇居民消费升级需求。目前，注滋口镇集镇已有经营主体446家，其中大型超市、茶楼宾馆、休闲农庄近50余家。</w:t>
            </w:r>
            <w:r>
              <w:rPr>
                <w:rFonts w:hint="eastAsia" w:ascii="仿宋_GB2312" w:hAnsi="仿宋_GB2312" w:eastAsia="仿宋_GB2312" w:cs="仿宋_GB2312"/>
                <w:b/>
                <w:bCs/>
                <w:sz w:val="32"/>
                <w:szCs w:val="32"/>
                <w:lang w:val="en-US" w:eastAsia="zh-CN"/>
              </w:rPr>
              <w:t>三是促进</w:t>
            </w:r>
            <w:r>
              <w:rPr>
                <w:rFonts w:hint="eastAsia" w:ascii="仿宋_GB2312" w:hAnsi="仿宋_GB2312" w:eastAsia="仿宋_GB2312" w:cs="仿宋_GB2312"/>
                <w:b/>
                <w:bCs/>
                <w:kern w:val="2"/>
                <w:sz w:val="32"/>
                <w:szCs w:val="32"/>
                <w:lang w:val="en-US" w:eastAsia="zh-CN" w:bidi="ar-SA"/>
              </w:rPr>
              <w:t>本土工业发展。</w:t>
            </w:r>
            <w:r>
              <w:rPr>
                <w:rFonts w:hint="eastAsia" w:ascii="Times New Roman" w:hAnsi="Times New Roman" w:eastAsia="仿宋_GB2312" w:cs="Times New Roman"/>
                <w:snapToGrid w:val="0"/>
                <w:kern w:val="0"/>
                <w:sz w:val="32"/>
                <w:szCs w:val="32"/>
                <w:lang w:val="en-US" w:eastAsia="zh-CN" w:bidi="ar-SA"/>
              </w:rPr>
              <w:t>全力引导培育农业现代化。通过重点发展、引进加工、储运、物流等环节，延伸产业链。注滋口镇积极支持新富水产、鱼丽享、滋油坊等企业发展，新富水产主要从事虾尾加工，日加工量可达100吨；鱼丽享专业生产运营鱼排、鱼尾等休闲麻辣食品；滋油坊主要加工本地菜籽油，目前已完成商标注册。结合现有资源优势，正促成两家大米烘干厂组建大米加工设备，通过延伸产业链，进一步提升农产品附加值。</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楷体_GB2312" w:hAnsi="仿宋_GB2312" w:eastAsia="楷体_GB2312" w:cs="仿宋_GB2312"/>
                <w:b/>
                <w:bCs/>
                <w:kern w:val="0"/>
                <w:sz w:val="32"/>
                <w:szCs w:val="32"/>
                <w:lang w:val="en-US" w:eastAsia="zh-CN" w:bidi="ar-SA"/>
              </w:rPr>
              <w:t>4.项目建设焕发新活力。</w:t>
            </w:r>
            <w:r>
              <w:rPr>
                <w:rFonts w:hint="eastAsia" w:ascii="仿宋_GB2312" w:hAnsi="仿宋_GB2312" w:eastAsia="仿宋_GB2312" w:cs="仿宋_GB2312"/>
                <w:color w:val="000000"/>
                <w:kern w:val="2"/>
                <w:sz w:val="32"/>
                <w:szCs w:val="32"/>
                <w:lang w:val="en-US" w:eastAsia="zh-CN" w:bidi="ar-SA"/>
              </w:rPr>
              <w:t>镇党委一直把加快基础设施建设作为推动注滋口发展的重要举措。投资2亿元的大通湖东垸分洪闸工程已基本完工，下一步充分依托项目建设，整合资源，用好乡村旅游资源，打造水利风景区，促进乡村振兴和城乡统筹发展；投资近亿元的县二医院已基本完工，即将投入运行，将为注滋口镇及周边区域提供更好的医疗保障；洞庭新城二期、汉口街、汇泽雅苑小区建设正加速推进，将新增集镇住房面积15万平方米。目前，还在积极推进注滋口镇中心敬老院二期、三级客运站建设、注朝线公路修复等项目，将进一步提升注滋口镇基础设施水平。</w:t>
            </w:r>
          </w:p>
          <w:p>
            <w:pPr>
              <w:pStyle w:val="7"/>
              <w:keepNext w:val="0"/>
              <w:keepLines w:val="0"/>
              <w:pageBreakBefore w:val="0"/>
              <w:widowControl/>
              <w:kinsoku/>
              <w:wordWrap/>
              <w:overflowPunct/>
              <w:topLinePunct w:val="0"/>
              <w:autoSpaceDE/>
              <w:autoSpaceDN/>
              <w:bidi w:val="0"/>
              <w:spacing w:beforeAutospacing="0" w:afterAutospacing="0" w:line="560" w:lineRule="exact"/>
              <w:ind w:firstLine="643"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楷体_GB2312" w:hAnsi="仿宋_GB2312" w:eastAsia="楷体_GB2312" w:cs="仿宋_GB2312"/>
                <w:b/>
                <w:bCs/>
                <w:sz w:val="32"/>
                <w:szCs w:val="32"/>
                <w:lang w:val="en-US" w:eastAsia="zh-CN"/>
              </w:rPr>
              <w:t>5.</w:t>
            </w:r>
            <w:r>
              <w:rPr>
                <w:rFonts w:hint="eastAsia" w:ascii="楷体_GB2312" w:hAnsi="仿宋_GB2312" w:eastAsia="楷体_GB2312" w:cs="仿宋_GB2312"/>
                <w:b/>
                <w:bCs/>
                <w:sz w:val="32"/>
                <w:szCs w:val="32"/>
                <w:lang w:eastAsia="zh-CN"/>
              </w:rPr>
              <w:t>环境整治</w:t>
            </w:r>
            <w:r>
              <w:rPr>
                <w:rFonts w:hint="eastAsia" w:ascii="楷体_GB2312" w:hAnsi="仿宋_GB2312" w:eastAsia="楷体_GB2312" w:cs="仿宋_GB2312"/>
                <w:b/>
                <w:bCs/>
                <w:sz w:val="32"/>
                <w:szCs w:val="32"/>
              </w:rPr>
              <w:t>展</w:t>
            </w:r>
            <w:r>
              <w:rPr>
                <w:rFonts w:hint="eastAsia" w:ascii="楷体_GB2312" w:hAnsi="仿宋_GB2312" w:eastAsia="楷体_GB2312" w:cs="仿宋_GB2312"/>
                <w:b/>
                <w:bCs/>
                <w:sz w:val="32"/>
                <w:szCs w:val="32"/>
                <w:lang w:eastAsia="zh-CN"/>
              </w:rPr>
              <w:t>现</w:t>
            </w:r>
            <w:r>
              <w:rPr>
                <w:rFonts w:hint="eastAsia" w:ascii="楷体_GB2312" w:hAnsi="仿宋_GB2312" w:eastAsia="楷体_GB2312" w:cs="仿宋_GB2312"/>
                <w:b/>
                <w:bCs/>
                <w:sz w:val="32"/>
                <w:szCs w:val="32"/>
              </w:rPr>
              <w:t>新作为。</w:t>
            </w:r>
            <w:r>
              <w:rPr>
                <w:rFonts w:hint="eastAsia" w:ascii="仿宋_GB2312" w:hAnsi="仿宋_GB2312" w:eastAsia="仿宋_GB2312" w:cs="仿宋_GB2312"/>
                <w:b/>
                <w:bCs/>
                <w:color w:val="000000"/>
                <w:kern w:val="2"/>
                <w:sz w:val="32"/>
                <w:szCs w:val="32"/>
                <w:lang w:val="en-US" w:eastAsia="zh-CN" w:bidi="ar-SA"/>
              </w:rPr>
              <w:t>一是进一步优化生态环境。</w:t>
            </w:r>
            <w:r>
              <w:rPr>
                <w:rFonts w:hint="eastAsia" w:ascii="仿宋_GB2312" w:hAnsi="仿宋_GB2312" w:eastAsia="仿宋_GB2312" w:cs="仿宋_GB2312"/>
                <w:color w:val="000000"/>
                <w:kern w:val="2"/>
                <w:sz w:val="32"/>
                <w:szCs w:val="32"/>
                <w:lang w:val="en-US" w:eastAsia="zh-CN" w:bidi="ar-SA"/>
              </w:rPr>
              <w:t>继续打好“蓝天碧水净土”保卫战和长江十年禁渔持久战，守护好注滋口镇的山山水水，切实抓好中央和省环保督察组督察反馈问题和信访件整改落实，深入推进河（湖）长制，做好秸秆禁烧工作，持续推进禁捕退捕日常巡查工作，加大打击力度，紧抓化肥农药减量增效、畜禽粪污资源化利用，推进饮用水源、黑臭水体等整治，全面改善镇域生态环境。</w:t>
            </w:r>
            <w:r>
              <w:rPr>
                <w:rFonts w:hint="eastAsia" w:ascii="仿宋_GB2312" w:hAnsi="仿宋_GB2312" w:eastAsia="仿宋_GB2312" w:cs="仿宋_GB2312"/>
                <w:b/>
                <w:bCs/>
                <w:color w:val="000000"/>
                <w:kern w:val="2"/>
                <w:sz w:val="32"/>
                <w:szCs w:val="32"/>
                <w:lang w:val="en-US" w:eastAsia="zh-CN" w:bidi="ar-SA"/>
              </w:rPr>
              <w:t>二是进一步优化村庄建设。</w:t>
            </w:r>
            <w:r>
              <w:rPr>
                <w:rFonts w:hint="eastAsia" w:ascii="仿宋_GB2312" w:hAnsi="仿宋_GB2312" w:eastAsia="仿宋_GB2312" w:cs="仿宋_GB2312"/>
                <w:color w:val="000000"/>
                <w:kern w:val="2"/>
                <w:sz w:val="32"/>
                <w:szCs w:val="32"/>
                <w:lang w:val="en-US" w:eastAsia="zh-CN" w:bidi="ar-SA"/>
              </w:rPr>
              <w:t>自今年3月份开展禁违拆违专项整治以来，按照“拆除一批违章建筑物、新建一批住宅、改造一批危旧房”三个一批的措施，共集中拆除了104处违章建（构）筑物，拆除面积约10200㎡。规范安全区垸内建房，镇规委会召开2次专题会议，审批村民建房4户，审查集镇开发项目2个。同时对全镇范围内主沟渠、主干道沿线的村民建房实行严力管控，对全镇房屋普查中26845个图斑进行了全面的安全隐患排查和风险普查，完成了数据采集工作。三</w:t>
            </w:r>
            <w:r>
              <w:rPr>
                <w:rFonts w:hint="eastAsia" w:ascii="仿宋_GB2312" w:hAnsi="仿宋_GB2312" w:eastAsia="仿宋_GB2312" w:cs="仿宋_GB2312"/>
                <w:b/>
                <w:bCs/>
                <w:color w:val="000000"/>
                <w:kern w:val="2"/>
                <w:sz w:val="32"/>
                <w:szCs w:val="32"/>
                <w:lang w:val="en-US" w:eastAsia="zh-CN" w:bidi="ar-SA"/>
              </w:rPr>
              <w:t>是进一步优化人居环境整治。</w:t>
            </w:r>
            <w:r>
              <w:rPr>
                <w:rFonts w:hint="eastAsia" w:ascii="仿宋_GB2312" w:hAnsi="仿宋_GB2312" w:eastAsia="仿宋_GB2312" w:cs="仿宋_GB2312"/>
                <w:color w:val="000000"/>
                <w:kern w:val="2"/>
                <w:sz w:val="32"/>
                <w:szCs w:val="32"/>
                <w:lang w:val="en-US" w:eastAsia="zh-CN" w:bidi="ar-SA"/>
              </w:rPr>
              <w:t>全面实施农村人居环境整治五年提升行动，深化“三清理”“四拆除”“三提升”工作重点，抓好“四化一评比”工作提升，进一步推进农村厕所革命，今年按县指挥部安排改厕户厕950个、公厕2个，严格落实“首厕过关制”，严格把控质量和标准，重点解决好农户厕所不规范、污水乱流的问题。健全完善农村垃圾分类、清扫保洁、清运处理和投入保障机制，拆除全部垃圾池12396个，并新增垃圾桶24760个，切实引导农村群众形成良好的生活习惯，农村居民居住环境得到进一步改善。</w:t>
            </w:r>
          </w:p>
          <w:p>
            <w:pPr>
              <w:keepNext w:val="0"/>
              <w:keepLines w:val="0"/>
              <w:pageBreakBefore w:val="0"/>
              <w:widowControl/>
              <w:kinsoku/>
              <w:wordWrap/>
              <w:overflowPunct/>
              <w:topLinePunct w:val="0"/>
              <w:autoSpaceDE/>
              <w:autoSpaceDN/>
              <w:bidi w:val="0"/>
              <w:adjustRightInd/>
              <w:snapToGrid/>
              <w:spacing w:line="576" w:lineRule="exact"/>
              <w:ind w:firstLine="643" w:firstLineChars="200"/>
              <w:textAlignment w:val="auto"/>
              <w:rPr>
                <w:rFonts w:hint="eastAsia" w:ascii="楷体_GB2312" w:hAnsi="仿宋_GB2312" w:eastAsia="楷体_GB2312" w:cs="仿宋_GB2312"/>
                <w:b/>
                <w:bCs/>
                <w:kern w:val="2"/>
                <w:sz w:val="32"/>
                <w:szCs w:val="32"/>
              </w:rPr>
            </w:pPr>
            <w:r>
              <w:rPr>
                <w:rFonts w:hint="eastAsia" w:ascii="楷体_GB2312" w:hAnsi="仿宋_GB2312" w:eastAsia="楷体_GB2312" w:cs="仿宋_GB2312"/>
                <w:b/>
                <w:bCs/>
                <w:sz w:val="32"/>
                <w:szCs w:val="32"/>
                <w:lang w:val="en-US" w:eastAsia="zh-CN"/>
              </w:rPr>
              <w:t>6.</w:t>
            </w:r>
            <w:r>
              <w:rPr>
                <w:rFonts w:hint="eastAsia" w:ascii="楷体_GB2312" w:hAnsi="仿宋_GB2312" w:eastAsia="楷体_GB2312" w:cs="仿宋_GB2312"/>
                <w:b/>
                <w:bCs/>
                <w:sz w:val="32"/>
                <w:szCs w:val="32"/>
              </w:rPr>
              <w:t>社会治理开启新征程</w:t>
            </w:r>
            <w:r>
              <w:rPr>
                <w:rFonts w:hint="eastAsia" w:ascii="楷体_GB2312" w:hAnsi="仿宋_GB2312" w:eastAsia="楷体_GB2312" w:cs="仿宋_GB2312"/>
                <w:b/>
                <w:bCs/>
                <w:kern w:val="2"/>
                <w:sz w:val="32"/>
                <w:szCs w:val="32"/>
              </w:rPr>
              <w:t>。</w:t>
            </w:r>
            <w:r>
              <w:rPr>
                <w:rFonts w:hint="eastAsia" w:ascii="方正仿宋_GB2312" w:hAnsi="方正仿宋_GB2312" w:eastAsia="方正仿宋_GB2312" w:cs="方正仿宋_GB2312"/>
                <w:b/>
                <w:bCs/>
                <w:color w:val="000000" w:themeColor="text1"/>
                <w:sz w:val="32"/>
                <w:szCs w:val="32"/>
                <w:lang w:val="en-US" w:eastAsia="zh-CN"/>
                <w14:textFill>
                  <w14:solidFill>
                    <w14:schemeClr w14:val="tx1"/>
                  </w14:solidFill>
                </w14:textFill>
              </w:rPr>
              <w:t>一是全面完善“党建+诚信金融”体系。</w:t>
            </w:r>
            <w:r>
              <w:rPr>
                <w:rFonts w:hint="eastAsia" w:ascii="仿宋_GB2312" w:hAnsi="仿宋_GB2312" w:eastAsia="仿宋_GB2312" w:cs="仿宋_GB2312"/>
                <w:color w:val="000000"/>
                <w:kern w:val="2"/>
                <w:sz w:val="32"/>
                <w:szCs w:val="32"/>
                <w:lang w:val="en-US" w:eastAsia="zh-CN" w:bidi="ar-SA"/>
              </w:rPr>
              <w:t>按镇主责、村主建、群众主体、银行共建的工作模式，全力推进“党建+诚信金融”工作，让诚实守信的农户享受信贷优惠和便利。充分发挥“党总支(支部)-党小组-党员-群众”的党建网格化治理效能，将“诚信金融”纳入村规民约范围，建立诚信“黑白名单”，营造整村守信良好氛围。自今年3月“党建+诚信金融”工作开展以来，全镇已建成6个“信用示范村”，评定“信用户”315户，农业银行注滋口支行累计为6个信用示范村14户信用户发放贷款270万元，今年累计发放惠农贷款4000万元。</w:t>
            </w:r>
            <w:r>
              <w:rPr>
                <w:rFonts w:hint="eastAsia" w:ascii="方正仿宋_GB2312" w:hAnsi="方正仿宋_GB2312" w:eastAsia="方正仿宋_GB2312" w:cs="方正仿宋_GB2312"/>
                <w:b/>
                <w:bCs/>
                <w:color w:val="000000" w:themeColor="text1"/>
                <w:sz w:val="32"/>
                <w:szCs w:val="32"/>
                <w:lang w:val="en-US" w:eastAsia="zh-CN"/>
                <w14:textFill>
                  <w14:solidFill>
                    <w14:schemeClr w14:val="tx1"/>
                  </w14:solidFill>
                </w14:textFill>
              </w:rPr>
              <w:t>二是全面完善乡风文明治理体系。</w:t>
            </w:r>
            <w:r>
              <w:rPr>
                <w:rFonts w:hint="eastAsia" w:ascii="仿宋_GB2312" w:hAnsi="仿宋_GB2312" w:eastAsia="仿宋_GB2312" w:cs="仿宋_GB2312"/>
                <w:color w:val="000000"/>
                <w:kern w:val="2"/>
                <w:sz w:val="32"/>
                <w:szCs w:val="32"/>
                <w:lang w:val="en-US" w:eastAsia="zh-CN" w:bidi="ar-SA"/>
              </w:rPr>
              <w:t>进一步新时代文明实践站（所）效能，将文明实践与一门式、12345热线，民政救助、妇联活动、乡村振兴等基层工作服务对接，找准志愿服务活动切入点，其中，县河长办对我镇“河小青”志愿服务队工作开展模式在全县进行了推介。落实“治陋习、树新风”工作要求，全域范围内禁止违规办宴，禁止燃放烟花鞭炮。</w:t>
            </w:r>
            <w:r>
              <w:rPr>
                <w:rFonts w:hint="eastAsia" w:ascii="方正仿宋_GB2312" w:hAnsi="方正仿宋_GB2312" w:eastAsia="方正仿宋_GB2312" w:cs="方正仿宋_GB2312"/>
                <w:b/>
                <w:bCs/>
                <w:color w:val="000000" w:themeColor="text1"/>
                <w:sz w:val="32"/>
                <w:szCs w:val="32"/>
                <w:lang w:val="en-US" w:eastAsia="zh-CN"/>
                <w14:textFill>
                  <w14:solidFill>
                    <w14:schemeClr w14:val="tx1"/>
                  </w14:solidFill>
                </w14:textFill>
              </w:rPr>
              <w:t>三是全面完善养老服务体系。</w:t>
            </w:r>
            <w:r>
              <w:rPr>
                <w:rFonts w:hint="eastAsia" w:ascii="仿宋_GB2312" w:hAnsi="仿宋_GB2312" w:eastAsia="仿宋_GB2312" w:cs="仿宋_GB2312"/>
                <w:color w:val="000000"/>
                <w:kern w:val="2"/>
                <w:sz w:val="32"/>
                <w:szCs w:val="32"/>
                <w:lang w:val="en-US" w:eastAsia="zh-CN" w:bidi="ar-SA"/>
              </w:rPr>
              <w:t>镇党委、政府高度重视养老事业发展，为进一步提升全镇养老服务水平，今年</w:t>
            </w:r>
            <w:r>
              <w:rPr>
                <w:rFonts w:hint="eastAsia" w:ascii="仿宋_GB2312" w:hAnsi="仿宋_GB2312" w:eastAsia="仿宋_GB2312" w:cs="仿宋_GB2312"/>
                <w:sz w:val="32"/>
                <w:szCs w:val="32"/>
                <w:lang w:val="en-US" w:eastAsia="zh-CN"/>
              </w:rPr>
              <w:t>将幸福卫生院确定为“医养结合”定点医疗单位，同时</w:t>
            </w:r>
            <w:r>
              <w:rPr>
                <w:rFonts w:hint="eastAsia" w:ascii="仿宋_GB2312" w:hAnsi="仿宋_GB2312" w:eastAsia="仿宋_GB2312" w:cs="仿宋_GB2312"/>
                <w:color w:val="000000"/>
                <w:kern w:val="2"/>
                <w:sz w:val="32"/>
                <w:szCs w:val="32"/>
                <w:lang w:val="en-US" w:eastAsia="zh-CN" w:bidi="ar-SA"/>
              </w:rPr>
              <w:t>健全完善镇、村两级养老服务制度，优化文化体育活动场所和基础设施，大力推行送戏下乡村，送文化书籍进书屋等活动，丰富老年群众文化生活，在全镇形成</w:t>
            </w:r>
            <w:r>
              <w:rPr>
                <w:rFonts w:hint="eastAsia" w:ascii="仿宋_GB2312" w:hAnsi="仿宋_GB2312" w:eastAsia="仿宋_GB2312" w:cs="仿宋_GB2312"/>
                <w:sz w:val="32"/>
                <w:szCs w:val="32"/>
                <w:lang w:val="en-US" w:eastAsia="zh-CN"/>
              </w:rPr>
              <w:t>关心养老服务工作的新格局。</w:t>
            </w:r>
            <w:r>
              <w:rPr>
                <w:rFonts w:hint="eastAsia" w:ascii="仿宋_GB2312" w:hAnsi="仿宋_GB2312" w:eastAsia="仿宋_GB2312" w:cs="仿宋_GB2312"/>
                <w:color w:val="000000"/>
                <w:kern w:val="2"/>
                <w:sz w:val="32"/>
                <w:szCs w:val="32"/>
                <w:lang w:val="en-US" w:eastAsia="zh-CN" w:bidi="ar-SA"/>
              </w:rPr>
              <w:t>今年，已完成省级“医养结合”示范乡镇创建。</w:t>
            </w:r>
          </w:p>
          <w:p>
            <w:pPr>
              <w:pStyle w:val="7"/>
              <w:keepNext w:val="0"/>
              <w:keepLines w:val="0"/>
              <w:pageBreakBefore w:val="0"/>
              <w:widowControl/>
              <w:kinsoku/>
              <w:wordWrap/>
              <w:overflowPunct/>
              <w:topLinePunct w:val="0"/>
              <w:autoSpaceDE/>
              <w:autoSpaceDN/>
              <w:bidi w:val="0"/>
              <w:spacing w:beforeAutospacing="0" w:afterAutospacing="0" w:line="560" w:lineRule="exact"/>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楷体_GB2312" w:hAnsi="仿宋_GB2312" w:eastAsia="楷体_GB2312" w:cs="仿宋_GB2312"/>
                <w:b/>
                <w:bCs/>
                <w:kern w:val="2"/>
                <w:sz w:val="32"/>
                <w:szCs w:val="32"/>
                <w:lang w:val="en-US" w:eastAsia="zh-CN"/>
              </w:rPr>
              <w:t>7.</w:t>
            </w:r>
            <w:r>
              <w:rPr>
                <w:rFonts w:hint="eastAsia" w:ascii="楷体_GB2312" w:hAnsi="仿宋_GB2312" w:eastAsia="楷体_GB2312" w:cs="仿宋_GB2312"/>
                <w:b/>
                <w:bCs/>
                <w:kern w:val="2"/>
                <w:sz w:val="32"/>
                <w:szCs w:val="32"/>
                <w:lang w:eastAsia="zh-CN"/>
              </w:rPr>
              <w:t>民生保障取得新成效。</w:t>
            </w:r>
            <w:r>
              <w:rPr>
                <w:rFonts w:hint="eastAsia" w:ascii="仿宋_GB2312" w:hAnsi="仿宋_GB2312" w:eastAsia="仿宋_GB2312" w:cs="仿宋_GB2312"/>
                <w:kern w:val="2"/>
                <w:sz w:val="32"/>
                <w:szCs w:val="32"/>
                <w:lang w:val="en-US" w:eastAsia="zh-CN" w:bidi="ar-SA"/>
              </w:rPr>
              <w:t>切实保障改善民生。解决了一批群众最关心最直接的生产、生活问题，让发展的成果全民共享。</w:t>
            </w:r>
            <w:r>
              <w:rPr>
                <w:rFonts w:hint="eastAsia" w:ascii="方正仿宋_GB2312" w:hAnsi="方正仿宋_GB2312" w:eastAsia="方正仿宋_GB2312" w:cs="方正仿宋_GB2312"/>
                <w:b/>
                <w:bCs/>
                <w:color w:val="000000" w:themeColor="text1"/>
                <w:kern w:val="2"/>
                <w:sz w:val="32"/>
                <w:szCs w:val="32"/>
                <w:lang w:val="en-US" w:eastAsia="zh-CN" w:bidi="ar-SA"/>
                <w14:textFill>
                  <w14:solidFill>
                    <w14:schemeClr w14:val="tx1"/>
                  </w14:solidFill>
                </w14:textFill>
              </w:rPr>
              <w:t>一是养老保险参保工作。</w:t>
            </w:r>
            <w:r>
              <w:rPr>
                <w:rFonts w:hint="eastAsia" w:ascii="仿宋_GB2312" w:hAnsi="仿宋_GB2312" w:eastAsia="仿宋_GB2312" w:cs="仿宋_GB2312"/>
                <w:kern w:val="2"/>
                <w:sz w:val="32"/>
                <w:szCs w:val="32"/>
                <w:lang w:val="en-US" w:eastAsia="zh-CN" w:bidi="ar-SA"/>
              </w:rPr>
              <w:t>本着全民参保的原则，广泛宣传，做好了动员参保，信息精准，审核待遇发放，稽核死亡认证，保证社保卡及时发放到位。全面开展的社保待遇“回头看”及整改工作，我镇的各项任务完成情况均排在前列。尤其待遇冒领追缴工作排名稳居首位，得到了县社保中心的肯定。医疗保险参保工作。截止目前我镇共28216人已参保，上缴医保资金共902.9万元。</w:t>
            </w:r>
            <w:r>
              <w:rPr>
                <w:rFonts w:hint="eastAsia" w:ascii="仿宋_GB2312" w:hAnsi="仿宋_GB2312" w:eastAsia="仿宋_GB2312" w:cs="仿宋_GB2312"/>
                <w:b/>
                <w:bCs/>
                <w:kern w:val="2"/>
                <w:sz w:val="32"/>
                <w:szCs w:val="32"/>
                <w:lang w:val="en-US" w:eastAsia="zh-CN" w:bidi="ar-SA"/>
              </w:rPr>
              <w:t>二是劳动就业工作。</w:t>
            </w:r>
            <w:r>
              <w:rPr>
                <w:rFonts w:hint="eastAsia" w:ascii="仿宋_GB2312" w:hAnsi="仿宋_GB2312" w:eastAsia="仿宋_GB2312" w:cs="仿宋_GB2312"/>
                <w:kern w:val="2"/>
                <w:sz w:val="32"/>
                <w:szCs w:val="32"/>
                <w:lang w:val="en-US" w:eastAsia="zh-CN" w:bidi="ar-SA"/>
              </w:rPr>
              <w:t>针对离校未就业大学生、禁捕退捕渔民、返乡回流农民工以及外出务工贫困户（脱贫户）等各类群体开展就业服务，通过组织群众参加招聘会，省公共就业服务平台系统岗位推荐，开展劳动技能提升培训班，职业介绍等方式开展一系列帮扶工作。今年共实施大型招聘会2次，对有招聘需求的270人次进行了就业帮扶。每周对我镇2个省充分就业村（社区）试点建设进行工作指导，2个村的排名在均在县前五。</w:t>
            </w:r>
            <w:r>
              <w:rPr>
                <w:rFonts w:hint="eastAsia" w:ascii="仿宋_GB2312" w:hAnsi="仿宋_GB2312" w:eastAsia="仿宋_GB2312" w:cs="仿宋_GB2312"/>
                <w:b/>
                <w:bCs/>
                <w:kern w:val="2"/>
                <w:sz w:val="32"/>
                <w:szCs w:val="32"/>
                <w:lang w:val="en-US" w:eastAsia="zh-CN" w:bidi="ar-SA"/>
              </w:rPr>
              <w:t>三是民政救助工作。</w:t>
            </w:r>
            <w:r>
              <w:rPr>
                <w:rFonts w:hint="eastAsia" w:ascii="仿宋_GB2312" w:hAnsi="仿宋_GB2312" w:eastAsia="仿宋_GB2312" w:cs="仿宋_GB2312"/>
                <w:kern w:val="2"/>
                <w:sz w:val="32"/>
                <w:szCs w:val="32"/>
                <w:lang w:val="en-US" w:eastAsia="zh-CN" w:bidi="ar-SA"/>
              </w:rPr>
              <w:t>做好大病重残（灾）贫困家庭临时救助工作，今年共为1702人次发放临时救助资金133.53万元。为3名事实无人抚养儿童和3名困境儿童申报了生活困难补助。为残疾对象申请普通轮椅8台，儿童轮椅2台，助听器两台，代办残疾证到期换证12人，无障碍改造11户。同时加强灾害应急处置，及时开展救灾救济工作，发放自然灾害救助资金24万元，救助947人。</w:t>
            </w:r>
          </w:p>
          <w:p>
            <w:pPr>
              <w:keepNext w:val="0"/>
              <w:keepLines w:val="0"/>
              <w:pageBreakBefore w:val="0"/>
              <w:kinsoku/>
              <w:wordWrap/>
              <w:overflowPunct/>
              <w:topLinePunct w:val="0"/>
              <w:autoSpaceDE/>
              <w:autoSpaceDN/>
              <w:bidi w:val="0"/>
              <w:spacing w:line="560" w:lineRule="exact"/>
              <w:ind w:firstLine="643" w:firstLineChars="200"/>
              <w:textAlignment w:val="auto"/>
              <w:rPr>
                <w:rFonts w:ascii="仿宋_GB2312" w:hAnsi="仿宋_GB2312" w:eastAsia="仿宋_GB2312" w:cs="仿宋_GB2312"/>
                <w:kern w:val="0"/>
                <w:sz w:val="32"/>
                <w:szCs w:val="32"/>
                <w:lang w:bidi="ar"/>
              </w:rPr>
            </w:pPr>
            <w:r>
              <w:rPr>
                <w:rFonts w:hint="eastAsia" w:ascii="楷体_GB2312" w:hAnsi="仿宋_GB2312" w:eastAsia="楷体_GB2312" w:cs="仿宋_GB2312"/>
                <w:b/>
                <w:bCs/>
                <w:sz w:val="32"/>
                <w:szCs w:val="32"/>
                <w:lang w:val="en-US" w:eastAsia="zh-CN"/>
              </w:rPr>
              <w:t>8.</w:t>
            </w:r>
            <w:r>
              <w:rPr>
                <w:rFonts w:hint="eastAsia" w:ascii="楷体_GB2312" w:hAnsi="仿宋_GB2312" w:eastAsia="楷体_GB2312" w:cs="仿宋_GB2312"/>
                <w:b/>
                <w:bCs/>
                <w:sz w:val="32"/>
                <w:szCs w:val="32"/>
              </w:rPr>
              <w:t>改革创新</w:t>
            </w:r>
            <w:r>
              <w:rPr>
                <w:rFonts w:hint="eastAsia" w:ascii="楷体_GB2312" w:hAnsi="仿宋_GB2312" w:eastAsia="楷体_GB2312" w:cs="仿宋_GB2312"/>
                <w:b/>
                <w:bCs/>
                <w:sz w:val="32"/>
                <w:szCs w:val="32"/>
                <w:lang w:eastAsia="zh-CN"/>
              </w:rPr>
              <w:t>迈上新台阶</w:t>
            </w:r>
            <w:r>
              <w:rPr>
                <w:rFonts w:hint="eastAsia" w:ascii="楷体_GB2312" w:hAnsi="仿宋_GB2312" w:eastAsia="楷体_GB2312" w:cs="仿宋_GB2312"/>
                <w:b/>
                <w:bCs/>
                <w:sz w:val="32"/>
                <w:szCs w:val="32"/>
              </w:rPr>
              <w:t>。</w:t>
            </w:r>
            <w:r>
              <w:rPr>
                <w:rFonts w:hint="eastAsia" w:ascii="仿宋_GB2312" w:hAnsi="仿宋_GB2312" w:eastAsia="仿宋_GB2312" w:cs="仿宋_GB2312"/>
                <w:sz w:val="32"/>
                <w:szCs w:val="32"/>
                <w:lang w:val="en-US" w:eastAsia="zh-CN"/>
              </w:rPr>
              <w:t>组织镇村干部学习贯彻《基层群众性自治组织依法自治事项清单、协助政府工作事项清单和减负工作事项清单（试行）》，各村（社区）公示三个清单，并加强“三个清单”及相关政策法规的宣传教育和学习培训，增强党员干部现代社会治理理念，提升基层社会治理能力。积极推行依法行政，进一步转变政府职能。“放管服”改革、“最多跑一次”改革全面落实，一门式服务开展有序，加速政务服务提质提效，全面加强了政府能级管理、精细管理、绩效管理，政府职能有效转变，行政效能不断提高，人武、妇联、统计、国土、财政、食监、金融等工作也得到明显进步。</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lang w:val="en-US" w:eastAsia="zh-CN"/>
              </w:rPr>
              <w:t>4360.35</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2804.65</w:t>
            </w:r>
          </w:p>
        </w:tc>
        <w:tc>
          <w:tcPr>
            <w:tcW w:w="1705"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1555.7</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1、机关</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4360.35</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2804.65</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1555.7</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
                <w:bCs/>
                <w:color w:val="000000"/>
                <w:sz w:val="24"/>
                <w:szCs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2804.65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1177.55</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878.71</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298.84</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3182.8</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2804.65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1177.55</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878.71</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298.84</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3182.8</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三公经费</w:t>
            </w:r>
          </w:p>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4.77</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4.77</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4.77</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4.77</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固定资产</w:t>
            </w:r>
          </w:p>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442</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442</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442</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442</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color w:val="000000" w:themeColor="text1"/>
                <w:sz w:val="24"/>
                <w14:textFill>
                  <w14:solidFill>
                    <w14:schemeClr w14:val="tx1"/>
                  </w14:solidFill>
                </w14:textFill>
              </w:rPr>
            </w:pPr>
          </w:p>
        </w:tc>
        <w:tc>
          <w:tcPr>
            <w:tcW w:w="3774" w:type="dxa"/>
            <w:gridSpan w:val="7"/>
            <w:noWrap w:val="0"/>
            <w:vAlign w:val="center"/>
          </w:tcPr>
          <w:p>
            <w:pPr>
              <w:pStyle w:val="6"/>
              <w:numPr>
                <w:ilvl w:val="0"/>
                <w:numId w:val="0"/>
              </w:num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1、切实抓好城乡低保动态管理，完成贫困人口低保提标579人次；</w:t>
            </w:r>
          </w:p>
          <w:p>
            <w:pPr>
              <w:pStyle w:val="6"/>
              <w:numPr>
                <w:ilvl w:val="0"/>
                <w:numId w:val="0"/>
              </w:num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2、建设早稻集中育秧示范区；</w:t>
            </w:r>
          </w:p>
          <w:p>
            <w:pPr>
              <w:numPr>
                <w:ilvl w:val="0"/>
                <w:numId w:val="0"/>
              </w:numPr>
              <w:ind w:lef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cs="Times New Roman"/>
                <w:color w:val="000000" w:themeColor="text1"/>
                <w:kern w:val="2"/>
                <w:sz w:val="21"/>
                <w:szCs w:val="24"/>
                <w:lang w:val="en-US" w:eastAsia="zh-CN" w:bidi="ar-SA"/>
                <w14:textFill>
                  <w14:solidFill>
                    <w14:schemeClr w14:val="tx1"/>
                  </w14:solidFill>
                </w14:textFill>
              </w:rPr>
              <w:t>3、</w:t>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垃圾资源绿色化处理项目；</w:t>
            </w:r>
          </w:p>
          <w:p>
            <w:pPr>
              <w:numPr>
                <w:ilvl w:val="0"/>
                <w:numId w:val="0"/>
              </w:numPr>
              <w:ind w:leftChars="0"/>
              <w:rPr>
                <w:rFonts w:hint="default"/>
                <w:color w:val="000000" w:themeColor="text1"/>
                <w:lang w:val="en-US" w:eastAsia="zh-CN"/>
                <w14:textFill>
                  <w14:solidFill>
                    <w14:schemeClr w14:val="tx1"/>
                  </w14:solidFill>
                </w14:textFill>
              </w:rPr>
            </w:pPr>
            <w:r>
              <w:rPr>
                <w:rFonts w:hint="eastAsia" w:cs="Times New Roman"/>
                <w:color w:val="000000" w:themeColor="text1"/>
                <w:kern w:val="2"/>
                <w:sz w:val="21"/>
                <w:szCs w:val="24"/>
                <w:lang w:val="en-US" w:eastAsia="zh-CN" w:bidi="ar-SA"/>
                <w14:textFill>
                  <w14:solidFill>
                    <w14:schemeClr w14:val="tx1"/>
                  </w14:solidFill>
                </w14:textFill>
              </w:rPr>
              <w:t>4、按上级文件要求</w:t>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安排乡村振兴资金；</w:t>
            </w:r>
          </w:p>
          <w:p>
            <w:pPr>
              <w:numPr>
                <w:ilvl w:val="0"/>
                <w:numId w:val="0"/>
              </w:numPr>
              <w:ind w:leftChars="0"/>
              <w:rPr>
                <w:rFonts w:hint="default"/>
                <w:color w:val="000000" w:themeColor="text1"/>
                <w:lang w:val="en-US" w:eastAsia="zh-CN"/>
                <w14:textFill>
                  <w14:solidFill>
                    <w14:schemeClr w14:val="tx1"/>
                  </w14:solidFill>
                </w14:textFill>
              </w:rPr>
            </w:pPr>
            <w:r>
              <w:rPr>
                <w:rFonts w:hint="eastAsia" w:cs="Times New Roman"/>
                <w:color w:val="000000" w:themeColor="text1"/>
                <w:kern w:val="2"/>
                <w:sz w:val="21"/>
                <w:szCs w:val="24"/>
                <w:lang w:val="en-US" w:eastAsia="zh-CN" w:bidi="ar-SA"/>
                <w14:textFill>
                  <w14:solidFill>
                    <w14:schemeClr w14:val="tx1"/>
                  </w14:solidFill>
                </w14:textFill>
              </w:rPr>
              <w:t>5、按实际</w:t>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空心房项目拨付资金；</w:t>
            </w:r>
          </w:p>
          <w:p>
            <w:pPr>
              <w:numPr>
                <w:ilvl w:val="0"/>
                <w:numId w:val="0"/>
              </w:numPr>
              <w:ind w:leftChars="0"/>
              <w:rPr>
                <w:rFonts w:hint="default"/>
                <w:color w:val="000000" w:themeColor="text1"/>
                <w:lang w:val="en-US" w:eastAsia="zh-CN"/>
                <w14:textFill>
                  <w14:solidFill>
                    <w14:schemeClr w14:val="tx1"/>
                  </w14:solidFill>
                </w14:textFill>
              </w:rPr>
            </w:pPr>
          </w:p>
        </w:tc>
        <w:tc>
          <w:tcPr>
            <w:tcW w:w="4585" w:type="dxa"/>
            <w:gridSpan w:val="9"/>
            <w:noWrap w:val="0"/>
            <w:vAlign w:val="center"/>
          </w:tcPr>
          <w:p>
            <w:pPr>
              <w:numPr>
                <w:ilvl w:val="0"/>
                <w:numId w:val="0"/>
              </w:numPr>
              <w:autoSpaceDN w:val="0"/>
              <w:spacing w:line="320" w:lineRule="exact"/>
              <w:jc w:val="center"/>
              <w:textAlignment w:val="center"/>
              <w:rPr>
                <w:rFonts w:hint="eastAsia" w:ascii="Times New Roman" w:hAnsi="Times New Roman" w:cs="Times New Roman"/>
                <w:lang w:val="en-US" w:eastAsia="zh-CN"/>
              </w:rPr>
            </w:pPr>
            <w:r>
              <w:rPr>
                <w:rFonts w:hint="eastAsia" w:ascii="仿宋" w:hAnsi="仿宋" w:eastAsia="仿宋" w:cs="仿宋"/>
                <w:color w:val="000000"/>
                <w:sz w:val="24"/>
              </w:rPr>
              <w:t>按要求已完成。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全镇建设早稻集中育秧示范区3000多亩，带动辐射全镇6553亩大田进行早稻集中育秧</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全力推进“党建+诚信金融”工作，让诚实守信的农户享受信贷优惠和便利</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themeColor="text1"/>
                <w:sz w:val="24"/>
                <w14:textFill>
                  <w14:solidFill>
                    <w14:schemeClr w14:val="tx1"/>
                  </w14:solidFill>
                </w14:textFill>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安排改厕户厕950个、公厕2个，严格落实“首厕过关制”</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拆除全部垃圾池12396个，并新增垃圾桶24760个，切实引导农村群众形成良好的生活习惯，农村居民居住环境得到进一步改善</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 w:hAnsi="仿宋" w:eastAsia="仿宋" w:cs="仿宋"/>
                <w:color w:val="000000"/>
                <w:sz w:val="24"/>
              </w:rPr>
              <w:t>2021年年底前</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5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 w:hAnsi="仿宋" w:eastAsia="仿宋" w:cs="仿宋"/>
                <w:color w:val="000000"/>
                <w:sz w:val="24"/>
              </w:rPr>
              <w:t>财政补助收入</w:t>
            </w:r>
          </w:p>
        </w:tc>
        <w:tc>
          <w:tcPr>
            <w:tcW w:w="2684" w:type="dxa"/>
            <w:gridSpan w:val="6"/>
            <w:noWrap w:val="0"/>
            <w:vAlign w:val="top"/>
          </w:tcPr>
          <w:p>
            <w:pPr>
              <w:jc w:val="center"/>
              <w:rPr>
                <w:rFonts w:hint="eastAsia" w:ascii="仿宋_GB2312" w:hAnsi="仿宋_GB2312" w:eastAsia="仿宋_GB2312" w:cs="仿宋_GB2312"/>
                <w:b/>
                <w:color w:val="000000"/>
                <w:kern w:val="2"/>
                <w:sz w:val="24"/>
                <w:szCs w:val="24"/>
                <w:lang w:val="en-US" w:eastAsia="zh-CN" w:bidi="ar-SA"/>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5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 w:hAnsi="仿宋" w:eastAsia="仿宋" w:cs="仿宋"/>
                <w:color w:val="000000"/>
                <w:sz w:val="24"/>
              </w:rPr>
              <w:t>上级补助收入</w:t>
            </w:r>
          </w:p>
        </w:tc>
        <w:tc>
          <w:tcPr>
            <w:tcW w:w="2684" w:type="dxa"/>
            <w:gridSpan w:val="6"/>
            <w:noWrap w:val="0"/>
            <w:vAlign w:val="top"/>
          </w:tcPr>
          <w:p>
            <w:pPr>
              <w:jc w:val="center"/>
              <w:rPr>
                <w:rFonts w:hint="eastAsia" w:ascii="仿宋_GB2312" w:hAnsi="仿宋_GB2312" w:eastAsia="仿宋_GB2312" w:cs="仿宋_GB2312"/>
                <w:b/>
                <w:color w:val="000000"/>
                <w:kern w:val="2"/>
                <w:sz w:val="24"/>
                <w:szCs w:val="24"/>
                <w:lang w:val="en-US" w:eastAsia="zh-CN" w:bidi="ar-SA"/>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社会效益</w:t>
            </w:r>
          </w:p>
        </w:tc>
        <w:tc>
          <w:tcPr>
            <w:tcW w:w="2709" w:type="dxa"/>
            <w:gridSpan w:val="4"/>
            <w:noWrap w:val="0"/>
            <w:vAlign w:val="center"/>
          </w:tcPr>
          <w:p>
            <w:pPr>
              <w:jc w:val="left"/>
              <w:rPr>
                <w:rFonts w:hint="eastAsia" w:ascii="仿宋" w:hAnsi="仿宋" w:eastAsia="仿宋" w:cs="仿宋"/>
                <w:color w:val="000000"/>
                <w:sz w:val="24"/>
              </w:rPr>
            </w:pPr>
            <w:r>
              <w:rPr>
                <w:rFonts w:hint="eastAsia" w:ascii="仿宋" w:hAnsi="仿宋" w:eastAsia="仿宋" w:cs="仿宋"/>
                <w:color w:val="000000" w:themeColor="text1"/>
                <w:sz w:val="24"/>
                <w:lang w:val="en-US" w:eastAsia="zh-CN"/>
                <w14:textFill>
                  <w14:solidFill>
                    <w14:schemeClr w14:val="tx1"/>
                  </w14:solidFill>
                </w14:textFill>
              </w:rPr>
              <w:t>对九龙商场拆除后新建“汉口街”商业街，进一步丰富全镇居民消费升级需求</w:t>
            </w:r>
          </w:p>
        </w:tc>
        <w:tc>
          <w:tcPr>
            <w:tcW w:w="2684" w:type="dxa"/>
            <w:gridSpan w:val="6"/>
            <w:noWrap w:val="0"/>
            <w:vAlign w:val="center"/>
          </w:tcPr>
          <w:p>
            <w:pPr>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经济效益</w:t>
            </w:r>
          </w:p>
        </w:tc>
        <w:tc>
          <w:tcPr>
            <w:tcW w:w="2709" w:type="dxa"/>
            <w:gridSpan w:val="4"/>
            <w:noWrap w:val="0"/>
            <w:vAlign w:val="center"/>
          </w:tcPr>
          <w:p>
            <w:pPr>
              <w:jc w:val="center"/>
              <w:rPr>
                <w:rFonts w:hint="eastAsia" w:ascii="仿宋" w:hAnsi="仿宋" w:eastAsia="仿宋" w:cs="仿宋"/>
                <w:color w:val="000000"/>
                <w:sz w:val="24"/>
              </w:rPr>
            </w:pPr>
          </w:p>
        </w:tc>
        <w:tc>
          <w:tcPr>
            <w:tcW w:w="2684" w:type="dxa"/>
            <w:gridSpan w:val="6"/>
            <w:noWrap w:val="0"/>
            <w:vAlign w:val="center"/>
          </w:tcPr>
          <w:p>
            <w:pPr>
              <w:jc w:val="center"/>
              <w:rPr>
                <w:rFonts w:hint="eastAsia" w:ascii="仿宋" w:hAnsi="仿宋" w:eastAsia="仿宋" w:cs="仿宋"/>
                <w:color w:val="000000"/>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生态效益</w:t>
            </w:r>
          </w:p>
        </w:tc>
        <w:tc>
          <w:tcPr>
            <w:tcW w:w="2709" w:type="dxa"/>
            <w:gridSpan w:val="4"/>
            <w:noWrap w:val="0"/>
            <w:vAlign w:val="center"/>
          </w:tcPr>
          <w:p>
            <w:pPr>
              <w:jc w:val="center"/>
              <w:rPr>
                <w:rFonts w:hint="eastAsia" w:ascii="仿宋" w:hAnsi="仿宋" w:eastAsia="仿宋" w:cs="仿宋"/>
                <w:color w:val="000000"/>
                <w:sz w:val="24"/>
              </w:rPr>
            </w:pPr>
          </w:p>
        </w:tc>
        <w:tc>
          <w:tcPr>
            <w:tcW w:w="2684" w:type="dxa"/>
            <w:gridSpan w:val="6"/>
            <w:noWrap w:val="0"/>
            <w:vAlign w:val="center"/>
          </w:tcPr>
          <w:p>
            <w:pPr>
              <w:jc w:val="center"/>
              <w:rPr>
                <w:rFonts w:hint="eastAsia" w:ascii="仿宋" w:hAnsi="仿宋" w:eastAsia="仿宋" w:cs="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 w:hAnsi="仿宋" w:eastAsia="仿宋" w:cs="仿宋"/>
                <w:color w:val="000000"/>
                <w:sz w:val="24"/>
              </w:rPr>
              <w:t>群众满意</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 w:hAnsi="仿宋" w:eastAsia="仿宋" w:cs="仿宋"/>
                <w:color w:val="000000"/>
                <w:sz w:val="24"/>
              </w:rPr>
              <w:t>较好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8"/>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spacing w:line="560" w:lineRule="exact"/>
              <w:jc w:val="center"/>
              <w:rPr>
                <w:rFonts w:ascii="方正小标宋简体" w:hAnsi="仿宋" w:eastAsia="方正小标宋简体" w:cs="????"/>
                <w:bCs/>
                <w:sz w:val="44"/>
                <w:szCs w:val="44"/>
              </w:rPr>
            </w:pPr>
            <w:r>
              <w:rPr>
                <w:rFonts w:hint="eastAsia" w:ascii="方正小标宋简体" w:hAnsi="仿宋" w:eastAsia="方正小标宋简体" w:cs="????"/>
                <w:bCs/>
                <w:sz w:val="36"/>
                <w:szCs w:val="36"/>
              </w:rPr>
              <w:t>华容县</w:t>
            </w:r>
            <w:r>
              <w:rPr>
                <w:rFonts w:hint="eastAsia" w:ascii="方正小标宋简体" w:hAnsi="仿宋" w:eastAsia="方正小标宋简体" w:cs="????"/>
                <w:bCs/>
                <w:sz w:val="36"/>
                <w:szCs w:val="36"/>
                <w:lang w:val="en-US" w:eastAsia="zh-CN"/>
              </w:rPr>
              <w:t>注滋口</w:t>
            </w:r>
            <w:r>
              <w:rPr>
                <w:rFonts w:hint="eastAsia" w:ascii="方正小标宋简体" w:hAnsi="仿宋" w:eastAsia="方正小标宋简体" w:cs="????"/>
                <w:bCs/>
                <w:sz w:val="36"/>
                <w:szCs w:val="36"/>
                <w:lang w:eastAsia="zh-CN"/>
              </w:rPr>
              <w:t>镇</w:t>
            </w:r>
            <w:r>
              <w:rPr>
                <w:rFonts w:hint="eastAsia" w:ascii="方正小标宋简体" w:hAnsi="仿宋" w:eastAsia="方正小标宋简体" w:cs="????"/>
                <w:bCs/>
                <w:sz w:val="36"/>
                <w:szCs w:val="36"/>
                <w:lang w:val="en-US" w:eastAsia="zh-CN"/>
              </w:rPr>
              <w:t>人民政府</w:t>
            </w:r>
            <w:r>
              <w:rPr>
                <w:rFonts w:ascii="方正小标宋简体" w:hAnsi="仿宋" w:eastAsia="方正小标宋简体" w:cs="????"/>
                <w:bCs/>
                <w:sz w:val="36"/>
                <w:szCs w:val="36"/>
              </w:rPr>
              <w:t>20</w:t>
            </w:r>
            <w:r>
              <w:rPr>
                <w:rFonts w:hint="eastAsia" w:ascii="方正小标宋简体" w:hAnsi="仿宋" w:eastAsia="方正小标宋简体" w:cs="????"/>
                <w:bCs/>
                <w:sz w:val="36"/>
                <w:szCs w:val="36"/>
              </w:rPr>
              <w:t>21年部门整体支出绩效评价报告</w:t>
            </w:r>
          </w:p>
          <w:p>
            <w:pPr>
              <w:spacing w:line="540" w:lineRule="exact"/>
              <w:ind w:firstLine="640" w:firstLineChars="200"/>
              <w:rPr>
                <w:rFonts w:hint="eastAsia" w:ascii="仿宋" w:hAnsi="仿宋" w:eastAsia="仿宋" w:cs="仿宋"/>
                <w:sz w:val="32"/>
                <w:szCs w:val="32"/>
              </w:rPr>
            </w:pP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根据《华容县财政局关于开展2021年度部门整体支出绩效自评工作的通知》（华财函〔2022〕37号）的相关规定和要求，现对我</w:t>
            </w:r>
            <w:r>
              <w:rPr>
                <w:rFonts w:hint="eastAsia" w:ascii="仿宋" w:hAnsi="仿宋" w:eastAsia="仿宋" w:cs="仿宋"/>
                <w:sz w:val="32"/>
                <w:szCs w:val="32"/>
                <w:lang w:eastAsia="zh-CN"/>
              </w:rPr>
              <w:t>部门</w:t>
            </w:r>
            <w:r>
              <w:rPr>
                <w:rFonts w:hint="eastAsia" w:ascii="仿宋" w:hAnsi="仿宋" w:eastAsia="仿宋" w:cs="仿宋"/>
                <w:sz w:val="32"/>
                <w:szCs w:val="32"/>
              </w:rPr>
              <w:t>2021年度整体支出开展绩效自评，现将情况汇报如下：</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一、部门概况</w:t>
            </w:r>
          </w:p>
          <w:p>
            <w:pPr>
              <w:spacing w:line="56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（一）部门基本情况</w:t>
            </w:r>
          </w:p>
          <w:p>
            <w:pPr>
              <w:spacing w:line="540" w:lineRule="exact"/>
              <w:ind w:firstLine="640" w:firstLineChars="200"/>
              <w:rPr>
                <w:rFonts w:hint="default" w:ascii="仿宋" w:hAnsi="仿宋" w:eastAsia="仿宋" w:cs="仿宋"/>
                <w:sz w:val="32"/>
                <w:szCs w:val="32"/>
                <w:lang w:val="zh-CN"/>
              </w:rPr>
            </w:pPr>
            <w:r>
              <w:rPr>
                <w:rFonts w:hint="eastAsia" w:ascii="仿宋" w:hAnsi="仿宋" w:eastAsia="仿宋" w:cs="仿宋"/>
                <w:sz w:val="32"/>
                <w:szCs w:val="32"/>
                <w:lang w:val="en-US" w:eastAsia="zh-CN"/>
              </w:rPr>
              <w:t>1、</w:t>
            </w:r>
            <w:r>
              <w:rPr>
                <w:rFonts w:hint="eastAsia" w:ascii="仿宋" w:hAnsi="仿宋" w:eastAsia="仿宋" w:cs="仿宋"/>
                <w:sz w:val="32"/>
                <w:szCs w:val="32"/>
              </w:rPr>
              <w:t>内设机构设置</w:t>
            </w:r>
            <w:r>
              <w:rPr>
                <w:rFonts w:hint="eastAsia" w:ascii="仿宋" w:hAnsi="仿宋" w:eastAsia="仿宋" w:cs="仿宋"/>
                <w:sz w:val="32"/>
                <w:szCs w:val="32"/>
                <w:lang w:val="zh-CN"/>
              </w:rPr>
              <w:t>。</w:t>
            </w:r>
          </w:p>
          <w:p>
            <w:pPr>
              <w:spacing w:line="540" w:lineRule="exact"/>
              <w:ind w:firstLine="640" w:firstLineChars="200"/>
              <w:rPr>
                <w:rFonts w:hint="default" w:ascii="仿宋" w:hAnsi="仿宋" w:eastAsia="仿宋" w:cs="仿宋"/>
                <w:sz w:val="32"/>
                <w:szCs w:val="32"/>
                <w:lang w:val="zh-CN"/>
              </w:rPr>
            </w:pPr>
            <w:r>
              <w:rPr>
                <w:rFonts w:hint="eastAsia" w:ascii="仿宋" w:hAnsi="仿宋" w:eastAsia="仿宋" w:cs="仿宋"/>
                <w:sz w:val="32"/>
                <w:szCs w:val="32"/>
                <w:lang w:val="zh-CN"/>
              </w:rPr>
              <w:t>华容县注滋口镇人民政府单位内设机构包括：镇政府机关、镇财政所、镇农业综合服务中心、镇社会事业综合服务中心、镇退役军人服务站、镇综合行政执法大队、镇水利服务站。</w:t>
            </w:r>
          </w:p>
          <w:p>
            <w:pPr>
              <w:spacing w:line="540" w:lineRule="exact"/>
              <w:ind w:firstLine="640" w:firstLineChars="200"/>
              <w:rPr>
                <w:rFonts w:hint="default"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决算单位构成。</w:t>
            </w:r>
          </w:p>
          <w:p>
            <w:pPr>
              <w:spacing w:line="540" w:lineRule="exact"/>
              <w:ind w:firstLine="640" w:firstLineChars="200"/>
            </w:pPr>
            <w:r>
              <w:rPr>
                <w:rFonts w:hint="eastAsia" w:ascii="仿宋" w:hAnsi="仿宋" w:eastAsia="仿宋" w:cs="仿宋"/>
                <w:sz w:val="32"/>
                <w:szCs w:val="32"/>
                <w:lang w:val="zh-CN"/>
              </w:rPr>
              <w:t>华容县注滋口镇人民政府单位2021年部门决算汇总公开单位构成包括：镇政府机关、镇财政所、镇农业综合服务中心、镇社会事业综合服务中心、镇退役军人服务站、镇综合行政执法大队、镇水利服务站。</w:t>
            </w:r>
          </w:p>
          <w:p>
            <w:pPr>
              <w:numPr>
                <w:ilvl w:val="0"/>
                <w:numId w:val="2"/>
              </w:numPr>
              <w:spacing w:line="560" w:lineRule="exact"/>
              <w:ind w:firstLine="640"/>
              <w:rPr>
                <w:rFonts w:ascii="仿宋" w:hAnsi="仿宋" w:eastAsia="仿宋" w:cs="仿宋"/>
                <w:bCs/>
                <w:sz w:val="32"/>
                <w:szCs w:val="32"/>
              </w:rPr>
            </w:pPr>
            <w:r>
              <w:rPr>
                <w:rFonts w:hint="eastAsia" w:ascii="仿宋" w:hAnsi="仿宋" w:eastAsia="仿宋" w:cs="仿宋"/>
                <w:bCs/>
                <w:sz w:val="32"/>
                <w:szCs w:val="32"/>
              </w:rPr>
              <w:t>部门整体支出规模、使用方向和主要内容、涉及范围等</w:t>
            </w:r>
          </w:p>
          <w:p>
            <w:pPr>
              <w:spacing w:line="540" w:lineRule="exact"/>
              <w:ind w:firstLine="640" w:firstLineChars="200"/>
              <w:rPr>
                <w:rFonts w:hint="default" w:ascii="仿宋" w:hAnsi="仿宋" w:eastAsia="仿宋" w:cs="仿宋"/>
                <w:sz w:val="32"/>
                <w:szCs w:val="32"/>
                <w:lang w:val="zh-CN"/>
              </w:rPr>
            </w:pPr>
            <w:r>
              <w:rPr>
                <w:rFonts w:hint="eastAsia" w:ascii="仿宋" w:hAnsi="仿宋" w:eastAsia="仿宋" w:cs="仿宋"/>
                <w:sz w:val="32"/>
                <w:szCs w:val="32"/>
              </w:rPr>
              <w:t xml:space="preserve"> </w:t>
            </w:r>
            <w:r>
              <w:rPr>
                <w:rFonts w:hint="eastAsia" w:ascii="仿宋" w:hAnsi="仿宋" w:eastAsia="仿宋" w:cs="仿宋"/>
                <w:sz w:val="32"/>
                <w:szCs w:val="32"/>
                <w:lang w:val="zh-CN"/>
              </w:rPr>
              <w:t>人民政府：全民贯彻落实党和国家在农村的各项方针政策和法律法规，加强基层组织建设，完善党对农村工作的领导，紧紧围绕促进经济发展、增加农民收入，强化公共服务、着力改善民生，加强社会管理、维护农村稳定，推进基层民主、促进农村和谐四个方面履职。</w:t>
            </w:r>
          </w:p>
          <w:p>
            <w:pPr>
              <w:spacing w:line="540" w:lineRule="exact"/>
              <w:ind w:firstLine="640" w:firstLineChars="200"/>
              <w:rPr>
                <w:rFonts w:hint="default" w:ascii="仿宋" w:hAnsi="仿宋" w:eastAsia="仿宋" w:cs="仿宋"/>
                <w:sz w:val="32"/>
                <w:szCs w:val="32"/>
                <w:lang w:val="zh-CN"/>
              </w:rPr>
            </w:pPr>
            <w:r>
              <w:rPr>
                <w:rFonts w:hint="eastAsia" w:ascii="仿宋" w:hAnsi="仿宋" w:eastAsia="仿宋" w:cs="仿宋"/>
                <w:sz w:val="32"/>
                <w:szCs w:val="32"/>
                <w:lang w:val="zh-CN"/>
              </w:rPr>
              <w:t>财政所：负责贯彻执行有关财政、预算、财务、会计等方面的法律法规和政策；编制本镇财政预决算、管理和监督全镇各项财政收支，资金调度和拨款；指导全镇的会计工作，加强对农村财务工作的指导和监督；加强对国家专项资金的监督、将惠民政策落到实处；完成上级财政和乡镇安排的其他工作。</w:t>
            </w:r>
          </w:p>
          <w:p>
            <w:pPr>
              <w:spacing w:line="540" w:lineRule="exact"/>
              <w:ind w:firstLine="640" w:firstLineChars="200"/>
              <w:rPr>
                <w:rFonts w:hint="default" w:ascii="仿宋" w:hAnsi="仿宋" w:eastAsia="仿宋" w:cs="仿宋"/>
                <w:sz w:val="32"/>
                <w:szCs w:val="32"/>
                <w:lang w:val="zh-CN"/>
              </w:rPr>
            </w:pPr>
            <w:r>
              <w:rPr>
                <w:rFonts w:hint="eastAsia" w:ascii="仿宋" w:hAnsi="仿宋" w:eastAsia="仿宋" w:cs="仿宋"/>
                <w:sz w:val="32"/>
                <w:szCs w:val="32"/>
                <w:lang w:val="zh-CN"/>
              </w:rPr>
              <w:t>镇农业综合服务中心：负责种植业、养殖业、林业、水产业、农业机械新技术的引进、试验示范、培训推广、技术服务和农业林业病虫害预测预报及防治指导工作；负责国家强制免疫的动物疫病免疫接种以及相关工作；负责农产品质量安全检测监督服务工作；承办农村经济统计、农民专业合作组织管理等工作。</w:t>
            </w:r>
          </w:p>
          <w:p>
            <w:pPr>
              <w:spacing w:line="540" w:lineRule="exact"/>
              <w:ind w:firstLine="640" w:firstLineChars="200"/>
              <w:rPr>
                <w:rFonts w:hint="default" w:ascii="仿宋" w:hAnsi="仿宋" w:eastAsia="仿宋" w:cs="仿宋"/>
                <w:sz w:val="32"/>
                <w:szCs w:val="32"/>
                <w:lang w:val="zh-CN"/>
              </w:rPr>
            </w:pPr>
            <w:r>
              <w:rPr>
                <w:rFonts w:hint="eastAsia" w:ascii="仿宋" w:hAnsi="仿宋" w:eastAsia="仿宋" w:cs="仿宋"/>
                <w:sz w:val="32"/>
                <w:szCs w:val="32"/>
                <w:lang w:val="zh-CN"/>
              </w:rPr>
              <w:t>镇社会事业综合服务中心：协助社会事务办公室的工作，具体承办科技、教育体育、文化旅游广电、卫生健康与计划生育、人力资源和社会保障、民政、社区建设、医疗保障、住房和城乡建设、村镇规划、村镇建设、住房保障、交通运输、生态环境保护、残疾人事业、慈善等方面的公益服务性、技术性工作。</w:t>
            </w:r>
          </w:p>
          <w:p>
            <w:pPr>
              <w:spacing w:line="540" w:lineRule="exact"/>
              <w:ind w:firstLine="640" w:firstLineChars="200"/>
              <w:rPr>
                <w:rFonts w:hint="default" w:ascii="仿宋" w:hAnsi="仿宋" w:eastAsia="仿宋" w:cs="仿宋"/>
                <w:sz w:val="32"/>
                <w:szCs w:val="32"/>
                <w:lang w:val="zh-CN"/>
              </w:rPr>
            </w:pPr>
            <w:r>
              <w:rPr>
                <w:rFonts w:hint="eastAsia" w:ascii="仿宋" w:hAnsi="仿宋" w:eastAsia="仿宋" w:cs="仿宋"/>
                <w:sz w:val="32"/>
                <w:szCs w:val="32"/>
                <w:lang w:val="zh-CN"/>
              </w:rPr>
              <w:t>镇退役军人服务站：负责退役军人就业创业、优抚帮扶、权益保障、数据信息采集、走访慰问等事务性工作。</w:t>
            </w:r>
          </w:p>
          <w:p>
            <w:pPr>
              <w:spacing w:line="540" w:lineRule="exact"/>
              <w:ind w:firstLine="640" w:firstLineChars="200"/>
              <w:rPr>
                <w:rFonts w:hint="default" w:ascii="仿宋" w:hAnsi="仿宋" w:eastAsia="仿宋" w:cs="仿宋"/>
                <w:sz w:val="32"/>
                <w:szCs w:val="32"/>
                <w:lang w:val="zh-CN"/>
              </w:rPr>
            </w:pPr>
            <w:r>
              <w:rPr>
                <w:rFonts w:hint="eastAsia" w:ascii="仿宋" w:hAnsi="仿宋" w:eastAsia="仿宋" w:cs="仿宋"/>
                <w:sz w:val="32"/>
                <w:szCs w:val="32"/>
                <w:lang w:val="zh-CN"/>
              </w:rPr>
              <w:t>镇综合行政执法大队：负责本辖区内综合行政执法工作；依法依规相对集中行使乡村集镇管理、住房建设、自然资源、生态环境保护、市场监管、交通运输、应急管理、安全生产、农业农村、文化旅游等方面的行政执法权；负责执法信息报送；配合县级执法部门开展联合执法、专业执法，负责日常巡查、综合检查、接受投诉举报、协助调查取证等工作。</w:t>
            </w:r>
          </w:p>
          <w:p>
            <w:pPr>
              <w:spacing w:line="540" w:lineRule="exact"/>
              <w:ind w:firstLine="640" w:firstLineChars="200"/>
              <w:rPr>
                <w:rFonts w:hint="default" w:ascii="仿宋" w:hAnsi="仿宋" w:eastAsia="仿宋" w:cs="仿宋"/>
                <w:sz w:val="32"/>
                <w:szCs w:val="32"/>
                <w:lang w:val="zh-CN"/>
              </w:rPr>
            </w:pPr>
            <w:r>
              <w:rPr>
                <w:rFonts w:hint="eastAsia" w:ascii="仿宋" w:hAnsi="仿宋" w:eastAsia="仿宋" w:cs="仿宋"/>
                <w:sz w:val="32"/>
                <w:szCs w:val="32"/>
                <w:lang w:val="zh-CN"/>
              </w:rPr>
              <w:t>水利管理服务站：负责宣传防汛、水土保持、水资源等法律法规的宣传；负责农田水利规划、堤防建设与管理及防汛救灾工作；辖区内农村供水工程的规划、质量监督和安全运营；乡镇党委政府及其他业务部门安排的其他事项。</w:t>
            </w:r>
          </w:p>
          <w:p>
            <w:pPr>
              <w:spacing w:line="560" w:lineRule="exact"/>
              <w:ind w:firstLine="560" w:firstLineChars="200"/>
              <w:rPr>
                <w:rFonts w:hint="eastAsia" w:ascii="仿宋_GB2312" w:hAnsi="仿宋_GB2312" w:eastAsia="仿宋" w:cs="仿宋_GB2312"/>
                <w:bCs/>
                <w:sz w:val="28"/>
                <w:szCs w:val="28"/>
                <w:lang w:eastAsia="zh-CN"/>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643" w:firstLineChars="200"/>
              <w:rPr>
                <w:rFonts w:hint="eastAsia" w:ascii="楷体" w:hAnsi="楷体" w:eastAsia="楷体" w:cs="仿宋"/>
                <w:b/>
                <w:bCs/>
                <w:sz w:val="32"/>
                <w:szCs w:val="32"/>
              </w:rPr>
            </w:pPr>
            <w:r>
              <w:rPr>
                <w:rFonts w:hint="eastAsia" w:ascii="楷体" w:hAnsi="楷体" w:eastAsia="楷体" w:cs="仿宋"/>
                <w:b/>
                <w:bCs/>
                <w:sz w:val="32"/>
                <w:szCs w:val="32"/>
              </w:rPr>
              <w:t>（一）基本支出</w:t>
            </w:r>
          </w:p>
          <w:p>
            <w:pPr>
              <w:keepNext/>
              <w:keepLines/>
              <w:autoSpaceDE w:val="0"/>
              <w:autoSpaceDN w:val="0"/>
              <w:adjustRightInd w:val="0"/>
              <w:spacing w:beforeLines="0" w:afterLines="0"/>
              <w:ind w:firstLine="641"/>
              <w:rPr>
                <w:rFonts w:hint="eastAsia" w:ascii="仿宋" w:hAnsi="仿宋" w:eastAsia="仿宋" w:cs="仿宋"/>
                <w:sz w:val="32"/>
                <w:szCs w:val="32"/>
                <w:lang w:eastAsia="zh-CN"/>
              </w:rPr>
            </w:pPr>
            <w:r>
              <w:rPr>
                <w:rFonts w:hint="eastAsia" w:ascii="仿宋" w:hAnsi="仿宋" w:eastAsia="仿宋" w:cs="仿宋"/>
                <w:sz w:val="32"/>
                <w:szCs w:val="32"/>
              </w:rPr>
              <w:t>1.</w:t>
            </w:r>
            <w:r>
              <w:rPr>
                <w:rFonts w:hint="eastAsia" w:ascii="仿宋" w:hAnsi="仿宋" w:eastAsia="仿宋" w:cs="仿宋"/>
                <w:b/>
                <w:bCs/>
                <w:sz w:val="32"/>
                <w:szCs w:val="32"/>
              </w:rPr>
              <w:t>收入情况</w:t>
            </w:r>
            <w:r>
              <w:rPr>
                <w:rFonts w:hint="eastAsia" w:ascii="仿宋" w:hAnsi="仿宋" w:eastAsia="仿宋" w:cs="仿宋"/>
                <w:sz w:val="32"/>
                <w:szCs w:val="32"/>
              </w:rPr>
              <w:t>：2021年预算总收入</w:t>
            </w:r>
            <w:r>
              <w:rPr>
                <w:rFonts w:hint="eastAsia" w:ascii="宋体" w:hAnsi="Times New Roman" w:cs="宋体"/>
                <w:sz w:val="32"/>
                <w:szCs w:val="32"/>
              </w:rPr>
              <w:t>4360.35</w:t>
            </w:r>
            <w:r>
              <w:rPr>
                <w:rFonts w:hint="eastAsia" w:ascii="仿宋" w:hAnsi="仿宋" w:eastAsia="仿宋" w:cs="仿宋"/>
                <w:sz w:val="32"/>
                <w:szCs w:val="32"/>
              </w:rPr>
              <w:t>万元。其中</w:t>
            </w:r>
            <w:r>
              <w:rPr>
                <w:rFonts w:hint="eastAsia" w:ascii="宋体" w:hAnsi="Times New Roman" w:eastAsia="宋体" w:cs="宋体"/>
                <w:sz w:val="32"/>
                <w:szCs w:val="32"/>
              </w:rPr>
              <w:t>：</w:t>
            </w:r>
            <w:r>
              <w:rPr>
                <w:rFonts w:hint="eastAsia" w:ascii="仿宋" w:hAnsi="仿宋" w:eastAsia="仿宋" w:cs="仿宋"/>
                <w:sz w:val="32"/>
                <w:szCs w:val="32"/>
              </w:rPr>
              <w:t>一般公共预算财政拨款收入2804.65万元，占64.32%；政府性基金预算财政拨款收入1555.7万元，占35.68%</w:t>
            </w:r>
            <w:r>
              <w:rPr>
                <w:rFonts w:hint="eastAsia" w:ascii="仿宋" w:hAnsi="仿宋" w:eastAsia="仿宋" w:cs="仿宋"/>
                <w:sz w:val="32"/>
                <w:szCs w:val="32"/>
                <w:lang w:eastAsia="zh-CN"/>
              </w:rPr>
              <w:t>。</w:t>
            </w:r>
          </w:p>
          <w:p>
            <w:pPr>
              <w:spacing w:line="560" w:lineRule="exact"/>
              <w:ind w:firstLine="640" w:firstLineChars="200"/>
              <w:rPr>
                <w:rFonts w:hint="eastAsia" w:ascii="仿宋" w:hAnsi="仿宋" w:eastAsia="宋体" w:cs="仿宋"/>
                <w:sz w:val="32"/>
                <w:szCs w:val="32"/>
                <w:lang w:eastAsia="zh-CN"/>
              </w:rPr>
            </w:pPr>
            <w:r>
              <w:rPr>
                <w:rFonts w:hint="eastAsia" w:ascii="仿宋" w:hAnsi="仿宋" w:eastAsia="仿宋" w:cs="仿宋"/>
                <w:sz w:val="32"/>
                <w:szCs w:val="32"/>
              </w:rPr>
              <w:t>2.</w:t>
            </w:r>
            <w:r>
              <w:rPr>
                <w:rFonts w:hint="eastAsia" w:ascii="仿宋" w:hAnsi="仿宋" w:eastAsia="仿宋" w:cs="仿宋"/>
                <w:b/>
                <w:bCs/>
                <w:sz w:val="32"/>
                <w:szCs w:val="32"/>
              </w:rPr>
              <w:t>支出情况</w:t>
            </w:r>
            <w:r>
              <w:rPr>
                <w:rFonts w:hint="eastAsia" w:ascii="仿宋" w:hAnsi="仿宋" w:eastAsia="仿宋" w:cs="仿宋"/>
                <w:sz w:val="32"/>
                <w:szCs w:val="32"/>
              </w:rPr>
              <w:t>：2021年度支出合计4360.35万元，其中：基本支出</w:t>
            </w:r>
            <w:r>
              <w:rPr>
                <w:rFonts w:hint="eastAsia" w:ascii="仿宋" w:hAnsi="仿宋" w:eastAsia="仿宋" w:cs="仿宋"/>
                <w:sz w:val="32"/>
                <w:szCs w:val="32"/>
                <w:lang w:val="zh-CN"/>
              </w:rPr>
              <w:t>1177.55万元，</w:t>
            </w:r>
            <w:r>
              <w:rPr>
                <w:rFonts w:hint="eastAsia" w:ascii="仿宋" w:hAnsi="仿宋" w:eastAsia="仿宋" w:cs="仿宋"/>
                <w:sz w:val="32"/>
                <w:szCs w:val="32"/>
              </w:rPr>
              <w:t>占27.01%；项目支出3182.79万元，占72.99%</w:t>
            </w:r>
            <w:r>
              <w:rPr>
                <w:rFonts w:hint="eastAsia" w:ascii="仿宋" w:hAnsi="仿宋" w:eastAsia="仿宋" w:cs="仿宋"/>
                <w:sz w:val="32"/>
                <w:szCs w:val="32"/>
                <w:lang w:eastAsia="zh-CN"/>
              </w:rPr>
              <w:t>。</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b/>
                <w:bCs/>
                <w:sz w:val="32"/>
                <w:szCs w:val="32"/>
              </w:rPr>
              <w:t>“三公经费”支出情况分析</w:t>
            </w:r>
            <w:r>
              <w:rPr>
                <w:rFonts w:hint="eastAsia" w:ascii="仿宋" w:hAnsi="仿宋" w:eastAsia="仿宋" w:cs="仿宋"/>
                <w:sz w:val="32"/>
                <w:szCs w:val="32"/>
              </w:rPr>
              <w:t>：2021年</w:t>
            </w:r>
            <w:r>
              <w:rPr>
                <w:rFonts w:hint="eastAsia" w:ascii="仿宋" w:hAnsi="仿宋" w:eastAsia="仿宋" w:cs="仿宋"/>
                <w:sz w:val="32"/>
                <w:szCs w:val="32"/>
                <w:lang w:eastAsia="zh-CN"/>
              </w:rPr>
              <w:t>华容县</w:t>
            </w:r>
            <w:r>
              <w:rPr>
                <w:rFonts w:hint="eastAsia" w:ascii="仿宋" w:hAnsi="仿宋" w:eastAsia="仿宋" w:cs="仿宋"/>
                <w:sz w:val="32"/>
                <w:szCs w:val="32"/>
                <w:lang w:val="en-US" w:eastAsia="zh-CN"/>
              </w:rPr>
              <w:t>注滋口</w:t>
            </w:r>
            <w:r>
              <w:rPr>
                <w:rFonts w:hint="eastAsia" w:ascii="仿宋" w:hAnsi="仿宋" w:eastAsia="仿宋" w:cs="仿宋"/>
                <w:sz w:val="32"/>
                <w:szCs w:val="32"/>
                <w:lang w:eastAsia="zh-CN"/>
              </w:rPr>
              <w:t>镇</w:t>
            </w:r>
            <w:r>
              <w:rPr>
                <w:rFonts w:hint="eastAsia" w:ascii="仿宋" w:hAnsi="仿宋" w:eastAsia="仿宋" w:cs="仿宋"/>
                <w:sz w:val="32"/>
                <w:szCs w:val="32"/>
                <w:lang w:val="en-US" w:eastAsia="zh-CN"/>
              </w:rPr>
              <w:t>人民政府</w:t>
            </w:r>
            <w:r>
              <w:rPr>
                <w:rFonts w:hint="eastAsia" w:ascii="仿宋" w:hAnsi="仿宋" w:eastAsia="仿宋" w:cs="仿宋"/>
                <w:sz w:val="32"/>
                <w:szCs w:val="32"/>
              </w:rPr>
              <w:t>“三公经费”实际开支</w:t>
            </w:r>
            <w:r>
              <w:rPr>
                <w:rFonts w:hint="eastAsia" w:ascii="仿宋" w:hAnsi="仿宋" w:eastAsia="仿宋" w:cs="仿宋"/>
                <w:sz w:val="32"/>
                <w:szCs w:val="32"/>
                <w:lang w:val="en-US" w:eastAsia="zh-CN"/>
              </w:rPr>
              <w:t>4.77</w:t>
            </w:r>
            <w:r>
              <w:rPr>
                <w:rFonts w:hint="eastAsia" w:ascii="仿宋" w:hAnsi="仿宋" w:eastAsia="仿宋" w:cs="仿宋"/>
                <w:sz w:val="32"/>
                <w:szCs w:val="32"/>
              </w:rPr>
              <w:t>万元。其中公务接待费</w:t>
            </w:r>
            <w:r>
              <w:rPr>
                <w:rFonts w:hint="eastAsia" w:ascii="仿宋" w:hAnsi="仿宋" w:eastAsia="仿宋" w:cs="仿宋"/>
                <w:sz w:val="32"/>
                <w:szCs w:val="32"/>
                <w:lang w:val="en-US" w:eastAsia="zh-CN"/>
              </w:rPr>
              <w:t>4.77</w:t>
            </w:r>
            <w:r>
              <w:rPr>
                <w:rFonts w:hint="eastAsia" w:ascii="仿宋" w:hAnsi="仿宋" w:eastAsia="仿宋" w:cs="仿宋"/>
                <w:sz w:val="32"/>
                <w:szCs w:val="32"/>
              </w:rPr>
              <w:t>万元。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b/>
                <w:bCs/>
                <w:sz w:val="32"/>
                <w:szCs w:val="32"/>
              </w:rPr>
              <w:t>固定资产管理情况分析</w:t>
            </w:r>
            <w:r>
              <w:rPr>
                <w:rFonts w:hint="eastAsia" w:ascii="仿宋" w:hAnsi="仿宋" w:eastAsia="仿宋" w:cs="仿宋"/>
                <w:sz w:val="32"/>
                <w:szCs w:val="32"/>
              </w:rPr>
              <w:t>：按照例行节约，物尽其用的原则，</w:t>
            </w:r>
            <w:r>
              <w:rPr>
                <w:rFonts w:hint="eastAsia" w:ascii="仿宋" w:hAnsi="仿宋" w:eastAsia="仿宋" w:cs="仿宋"/>
                <w:sz w:val="32"/>
                <w:szCs w:val="32"/>
                <w:lang w:val="en-US" w:eastAsia="zh-CN"/>
              </w:rPr>
              <w:t>华容县注滋口镇财政所</w:t>
            </w:r>
            <w:r>
              <w:rPr>
                <w:rFonts w:hint="eastAsia" w:ascii="仿宋" w:hAnsi="仿宋" w:eastAsia="仿宋" w:cs="仿宋"/>
                <w:sz w:val="32"/>
                <w:szCs w:val="32"/>
              </w:rPr>
              <w:t>资产管理采取统一建账，统一核算管理，对每件固定资产使用明确保管职责，闲置的资产，由办公室统一调整，合理流动，发挥其效益；至2021年12月有固定资</w:t>
            </w:r>
            <w:r>
              <w:rPr>
                <w:rFonts w:hint="eastAsia" w:ascii="仿宋" w:hAnsi="仿宋" w:eastAsia="仿宋" w:cs="仿宋"/>
                <w:color w:val="000000" w:themeColor="text1"/>
                <w:sz w:val="32"/>
                <w:szCs w:val="32"/>
                <w14:textFill>
                  <w14:solidFill>
                    <w14:schemeClr w14:val="tx1"/>
                  </w14:solidFill>
                </w14:textFill>
              </w:rPr>
              <w:t>产</w:t>
            </w:r>
            <w:r>
              <w:rPr>
                <w:rFonts w:hint="eastAsia" w:ascii="仿宋" w:hAnsi="仿宋" w:eastAsia="仿宋" w:cs="仿宋"/>
                <w:color w:val="000000" w:themeColor="text1"/>
                <w:sz w:val="32"/>
                <w:szCs w:val="32"/>
                <w:lang w:val="en-US" w:eastAsia="zh-CN"/>
                <w14:textFill>
                  <w14:solidFill>
                    <w14:schemeClr w14:val="tx1"/>
                  </w14:solidFill>
                </w14:textFill>
              </w:rPr>
              <w:t>442</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 w:hAnsi="仿宋" w:eastAsia="仿宋" w:cs="仿宋"/>
                <w:sz w:val="32"/>
                <w:szCs w:val="32"/>
              </w:rPr>
              <w:t>，全部在用，保证了资产的安全高效，防止资产流失。</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（二）</w:t>
            </w:r>
            <w:r>
              <w:rPr>
                <w:rFonts w:hint="eastAsia" w:ascii="仿宋_GB2312" w:hAnsi="仿宋_GB2312" w:eastAsia="仿宋_GB2312" w:cs="仿宋_GB2312"/>
                <w:bCs/>
                <w:sz w:val="28"/>
                <w:szCs w:val="28"/>
                <w:lang w:eastAsia="zh-CN"/>
              </w:rPr>
              <w:t>项目支出</w:t>
            </w:r>
          </w:p>
          <w:p>
            <w:pPr>
              <w:pStyle w:val="6"/>
              <w:ind w:firstLine="56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华容县注滋口镇人民政府</w:t>
            </w:r>
            <w:r>
              <w:rPr>
                <w:rFonts w:hint="eastAsia" w:ascii="仿宋" w:hAnsi="仿宋" w:eastAsia="仿宋" w:cs="仿宋"/>
                <w:kern w:val="2"/>
                <w:sz w:val="32"/>
                <w:szCs w:val="32"/>
                <w:lang w:val="zh-CN" w:eastAsia="zh-CN" w:bidi="ar-SA"/>
              </w:rPr>
              <w:t>项目支出1555.7万元。</w:t>
            </w:r>
          </w:p>
          <w:p>
            <w:pPr>
              <w:autoSpaceDE w:val="0"/>
              <w:autoSpaceDN w:val="0"/>
              <w:adjustRightInd w:val="0"/>
              <w:spacing w:beforeLines="0" w:afterLines="0"/>
              <w:ind w:firstLine="64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社会保障和就业支出（类）大中型水库移民后期扶持基金支出（款）移民补助（项）支出决算为9万元。  </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kern w:val="2"/>
                <w:sz w:val="32"/>
                <w:szCs w:val="32"/>
                <w:lang w:val="en-US" w:eastAsia="zh-CN" w:bidi="ar-SA"/>
              </w:rPr>
              <w:t>社会保障和就业支出（类）大中型水库移民后期扶持基金支出（款）基础设施建设和经济发展（项）支出决</w:t>
            </w:r>
            <w:r>
              <w:rPr>
                <w:rFonts w:hint="eastAsia" w:ascii="仿宋" w:hAnsi="仿宋" w:eastAsia="仿宋" w:cs="仿宋"/>
                <w:sz w:val="32"/>
                <w:szCs w:val="32"/>
              </w:rPr>
              <w:t xml:space="preserve">算为42万元。  </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城乡社区支出（类）国有土地使用权出让收入安排的支出（款）征地和拆迁补偿支出（项）支出决算为585.7万元。 </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城乡社区支出（类）国有土地使用权出让收入安排的支出（款）其他国有土地使用权出让收入安排的支出（项）支出决算为902万元。  </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其他支出（类）彩票公益金安排的支出（款）用于社会福利的彩票公益金支出（项）支出决算为12万元。  </w:t>
            </w:r>
          </w:p>
          <w:p>
            <w:pPr>
              <w:spacing w:line="560" w:lineRule="exact"/>
              <w:ind w:firstLine="640" w:firstLineChars="200"/>
              <w:rPr>
                <w:rFonts w:hint="default" w:ascii="仿宋" w:hAnsi="仿宋" w:eastAsia="仿宋" w:cs="仿宋"/>
                <w:sz w:val="32"/>
                <w:szCs w:val="32"/>
                <w:lang w:val="zh-CN"/>
              </w:rPr>
            </w:pPr>
            <w:r>
              <w:rPr>
                <w:rFonts w:hint="eastAsia" w:ascii="仿宋" w:hAnsi="仿宋" w:eastAsia="仿宋" w:cs="仿宋"/>
                <w:sz w:val="32"/>
                <w:szCs w:val="32"/>
              </w:rPr>
              <w:t xml:space="preserve">其他支出（类）彩票公益金安排的支出（款）用于体育事业的彩票公益金支出（项）支出决算为5万元。 </w:t>
            </w:r>
          </w:p>
          <w:p>
            <w:pPr>
              <w:ind w:firstLine="560"/>
              <w:rPr>
                <w:rFonts w:hint="default"/>
                <w:lang w:val="en-US" w:eastAsia="zh-CN"/>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 xml:space="preserve"> 三、部门专项组织实施情况</w:t>
            </w:r>
          </w:p>
          <w:p>
            <w:pPr>
              <w:spacing w:line="560" w:lineRule="exact"/>
              <w:ind w:firstLine="643" w:firstLineChars="200"/>
              <w:rPr>
                <w:rFonts w:ascii="楷体" w:hAnsi="楷体" w:eastAsia="楷体" w:cs="仿宋"/>
                <w:b/>
                <w:bCs/>
                <w:sz w:val="32"/>
                <w:szCs w:val="32"/>
              </w:rPr>
            </w:pPr>
            <w:r>
              <w:rPr>
                <w:rFonts w:hint="eastAsia" w:ascii="楷体" w:hAnsi="楷体" w:eastAsia="楷体" w:cs="仿宋"/>
                <w:b/>
                <w:bCs/>
                <w:sz w:val="32"/>
                <w:szCs w:val="32"/>
              </w:rPr>
              <w:t>（一）专项组织情况分析，主要包括项目招投标、调整、竣工验收等情况</w:t>
            </w:r>
          </w:p>
          <w:p>
            <w:pPr>
              <w:pStyle w:val="7"/>
              <w:widowControl/>
              <w:shd w:val="clear" w:color="auto" w:fill="FFFFFF"/>
              <w:spacing w:beforeAutospacing="0" w:afterAutospacing="0" w:line="510"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项目招投标方面，凡是单个货物项目采购金额达到</w:t>
            </w:r>
            <w:r>
              <w:rPr>
                <w:rFonts w:hint="eastAsia" w:ascii="仿宋" w:hAnsi="仿宋" w:eastAsia="仿宋" w:cs="仿宋"/>
                <w:color w:val="auto"/>
                <w:kern w:val="2"/>
                <w:sz w:val="32"/>
                <w:szCs w:val="32"/>
                <w:shd w:val="clear" w:color="auto" w:fill="FFFFFF"/>
              </w:rPr>
              <w:t>40</w:t>
            </w:r>
            <w:r>
              <w:rPr>
                <w:rFonts w:hint="eastAsia" w:ascii="仿宋" w:hAnsi="仿宋" w:eastAsia="仿宋" w:cs="仿宋"/>
                <w:color w:val="000000"/>
                <w:kern w:val="2"/>
                <w:sz w:val="32"/>
                <w:szCs w:val="32"/>
                <w:shd w:val="clear" w:color="auto" w:fill="FFFFFF"/>
              </w:rPr>
              <w:t>万元的，单个服务项目采购金额达到50万元的，单个工程项目采购金额达到60万元的，均依法采用公开招投标方式组织项目实施；一般情况下，不进行项目调整，确需要调整的，均依照财政部门规定，按照程序报批后方予以调整；所有项目竣工验收等工作，均由业务科室按照规定程序进行，验收完成后财务方开展报账和支付工作。</w:t>
            </w:r>
          </w:p>
          <w:p>
            <w:pPr>
              <w:pStyle w:val="7"/>
              <w:widowControl/>
              <w:shd w:val="clear" w:color="auto" w:fill="FFFFFF"/>
              <w:spacing w:beforeAutospacing="0" w:afterAutospacing="0" w:line="510" w:lineRule="atLeast"/>
              <w:ind w:firstLine="420"/>
              <w:jc w:val="both"/>
              <w:rPr>
                <w:rFonts w:ascii="楷体" w:hAnsi="楷体" w:eastAsia="楷体" w:cs="仿宋"/>
                <w:b/>
                <w:bCs/>
                <w:kern w:val="2"/>
                <w:sz w:val="32"/>
                <w:szCs w:val="32"/>
              </w:rPr>
            </w:pPr>
            <w:r>
              <w:rPr>
                <w:rFonts w:hint="eastAsia" w:ascii="楷体" w:hAnsi="楷体" w:eastAsia="楷体" w:cs="仿宋"/>
                <w:b/>
                <w:bCs/>
                <w:kern w:val="2"/>
                <w:sz w:val="32"/>
                <w:szCs w:val="32"/>
              </w:rPr>
              <w:t>（二）专项管理情况分析，主要包括项目管理制度建设、日常检查监督管理等情况</w:t>
            </w:r>
          </w:p>
          <w:p>
            <w:pPr>
              <w:pStyle w:val="7"/>
              <w:widowControl/>
              <w:shd w:val="clear" w:color="auto" w:fill="FFFFFF"/>
              <w:spacing w:beforeAutospacing="0" w:afterAutospacing="0" w:line="510" w:lineRule="atLeast"/>
              <w:ind w:firstLine="420"/>
              <w:jc w:val="both"/>
              <w:rPr>
                <w:rFonts w:hint="eastAsia"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为确保专项有效实施，提高专项资金的使用效率，根据省市级财政部门的专项项目和资金管理办法，我</w:t>
            </w:r>
            <w:r>
              <w:rPr>
                <w:rFonts w:hint="eastAsia" w:ascii="仿宋" w:hAnsi="仿宋" w:eastAsia="仿宋" w:cs="仿宋"/>
                <w:color w:val="000000"/>
                <w:kern w:val="2"/>
                <w:sz w:val="32"/>
                <w:szCs w:val="32"/>
                <w:shd w:val="clear" w:color="auto" w:fill="FFFFFF"/>
                <w:lang w:eastAsia="zh-CN"/>
              </w:rPr>
              <w:t>部门</w:t>
            </w:r>
            <w:r>
              <w:rPr>
                <w:rFonts w:hint="eastAsia" w:ascii="仿宋" w:hAnsi="仿宋" w:eastAsia="仿宋" w:cs="仿宋"/>
                <w:color w:val="000000"/>
                <w:kern w:val="2"/>
                <w:sz w:val="32"/>
                <w:szCs w:val="32"/>
                <w:shd w:val="clear" w:color="auto" w:fill="FFFFFF"/>
              </w:rPr>
              <w:t>制定了《财务管理制度》；项目资金下达我单位后，合理编制项目预算并按照程序报批，加强项目实施前、实施中、实施后的监督管理，提高项目资金使用效益。</w:t>
            </w:r>
          </w:p>
          <w:p>
            <w:pPr>
              <w:numPr>
                <w:ilvl w:val="0"/>
                <w:numId w:val="3"/>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部门整体支出绩效情况</w:t>
            </w:r>
          </w:p>
          <w:p>
            <w:pPr>
              <w:keepNext/>
              <w:keepLines/>
              <w:autoSpaceDE w:val="0"/>
              <w:autoSpaceDN w:val="0"/>
              <w:spacing w:beforeLines="0" w:afterLines="0"/>
              <w:ind w:firstLine="640"/>
              <w:rPr>
                <w:rFonts w:hint="default" w:ascii="仿宋" w:hAnsi="仿宋" w:eastAsia="仿宋" w:cs="仿宋"/>
                <w:color w:val="000000"/>
                <w:kern w:val="2"/>
                <w:sz w:val="32"/>
                <w:szCs w:val="32"/>
                <w:shd w:val="clear" w:color="auto" w:fill="FFFFFF"/>
                <w:lang w:val="en-US" w:eastAsia="zh-CN" w:bidi="ar-SA"/>
              </w:rPr>
            </w:pPr>
            <w:r>
              <w:rPr>
                <w:rFonts w:hint="eastAsia"/>
                <w:lang w:val="en-US" w:eastAsia="zh-CN"/>
              </w:rPr>
              <w:t xml:space="preserve">  </w:t>
            </w:r>
            <w:r>
              <w:rPr>
                <w:rFonts w:hint="eastAsia" w:ascii="仿宋" w:hAnsi="仿宋" w:eastAsia="仿宋" w:cs="仿宋"/>
                <w:color w:val="000000"/>
                <w:kern w:val="2"/>
                <w:sz w:val="32"/>
                <w:szCs w:val="32"/>
                <w:shd w:val="clear" w:color="auto" w:fill="FFFFFF"/>
                <w:lang w:val="en-US" w:eastAsia="zh-CN" w:bidi="ar-SA"/>
              </w:rPr>
              <w:t>（一）绩效管理工作开展情况。</w:t>
            </w:r>
          </w:p>
          <w:p>
            <w:pPr>
              <w:keepNext/>
              <w:keepLines/>
              <w:autoSpaceDE w:val="0"/>
              <w:autoSpaceDN w:val="0"/>
              <w:spacing w:beforeLines="0" w:afterLines="0"/>
              <w:ind w:firstLine="640"/>
              <w:rPr>
                <w:rFonts w:hint="default"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为贯彻落实《中共中央国务院关于全面实施预算绩效管理的意见》的精神，落实《华容县财政局关于开展2021年度财政支出绩效自评工作的通知》的要求，我部门积极组织开展2021年度整体支出绩效自评工作，强化财政支出绩效理念和责任意识，以切实提高财政资金使用效益。</w:t>
            </w:r>
          </w:p>
          <w:p>
            <w:pPr>
              <w:keepNext/>
              <w:keepLines/>
              <w:autoSpaceDE w:val="0"/>
              <w:autoSpaceDN w:val="0"/>
              <w:spacing w:beforeLines="0" w:afterLines="0"/>
              <w:ind w:firstLine="640"/>
              <w:rPr>
                <w:rFonts w:hint="default"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部门开展整体支出绩效评价，涉及一般公共预算支出2804.65万元，政府性基金预算支出1555.7万元，国有资本经营预算支出</w:t>
            </w:r>
            <w:r>
              <w:rPr>
                <w:rFonts w:hint="default" w:ascii="仿宋" w:hAnsi="仿宋" w:eastAsia="仿宋" w:cs="仿宋"/>
                <w:color w:val="000000"/>
                <w:kern w:val="2"/>
                <w:sz w:val="32"/>
                <w:szCs w:val="32"/>
                <w:shd w:val="clear" w:color="auto" w:fill="FFFFFF"/>
                <w:lang w:val="en-US" w:eastAsia="zh-CN" w:bidi="ar-SA"/>
              </w:rPr>
              <w:t>0</w:t>
            </w:r>
            <w:r>
              <w:rPr>
                <w:rFonts w:hint="eastAsia" w:ascii="仿宋" w:hAnsi="仿宋" w:eastAsia="仿宋" w:cs="仿宋"/>
                <w:color w:val="000000"/>
                <w:kern w:val="2"/>
                <w:sz w:val="32"/>
                <w:szCs w:val="32"/>
                <w:shd w:val="clear" w:color="auto" w:fill="FFFFFF"/>
                <w:lang w:val="en-US" w:eastAsia="zh-CN" w:bidi="ar-SA"/>
              </w:rPr>
              <w:t>万元</w:t>
            </w:r>
            <w:r>
              <w:rPr>
                <w:rFonts w:hint="default"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en-US" w:eastAsia="zh-CN" w:bidi="ar-SA"/>
              </w:rPr>
              <w:t xml:space="preserve"> 合计4360.35万元，其中：基本支出</w:t>
            </w:r>
            <w:r>
              <w:rPr>
                <w:rFonts w:hint="eastAsia" w:ascii="仿宋" w:hAnsi="仿宋" w:eastAsia="仿宋" w:cs="仿宋"/>
                <w:color w:val="000000"/>
                <w:kern w:val="2"/>
                <w:sz w:val="32"/>
                <w:szCs w:val="32"/>
                <w:shd w:val="clear" w:color="auto" w:fill="FFFFFF"/>
                <w:lang w:val="zh-CN" w:eastAsia="zh-CN" w:bidi="ar-SA"/>
              </w:rPr>
              <w:t>1177.55万元，</w:t>
            </w:r>
            <w:r>
              <w:rPr>
                <w:rFonts w:hint="eastAsia" w:ascii="仿宋" w:hAnsi="仿宋" w:eastAsia="仿宋" w:cs="仿宋"/>
                <w:color w:val="000000"/>
                <w:kern w:val="2"/>
                <w:sz w:val="32"/>
                <w:szCs w:val="32"/>
                <w:shd w:val="clear" w:color="auto" w:fill="FFFFFF"/>
                <w:lang w:val="en-US" w:eastAsia="zh-CN" w:bidi="ar-SA"/>
              </w:rPr>
              <w:t>占27.01%；项目支出3182.79万元，占72.99%。通过成立评价小组，依据相关政策规定、部门职能职责、年度工作计划、专项资金绩效目标及专项资金管理办法，对2021年度预算配置、预算执行、预算管理、资产管理、职责履行等指标完成情况、效益情况进行自评。通过整体绩效评价结果显示，2021年度整体绩效目标完成情况较好。</w:t>
            </w:r>
          </w:p>
          <w:p>
            <w:pPr>
              <w:keepNext/>
              <w:keepLines/>
              <w:autoSpaceDE w:val="0"/>
              <w:autoSpaceDN w:val="0"/>
              <w:spacing w:beforeLines="0" w:afterLines="0"/>
              <w:ind w:firstLine="640"/>
              <w:rPr>
                <w:rFonts w:hint="default"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（二）部门决算中项目绩效自评结果。</w:t>
            </w:r>
          </w:p>
          <w:p>
            <w:pPr>
              <w:keepNext/>
              <w:keepLines/>
              <w:autoSpaceDE w:val="0"/>
              <w:autoSpaceDN w:val="0"/>
              <w:spacing w:beforeLines="0" w:afterLines="0"/>
              <w:ind w:firstLine="640"/>
              <w:rPr>
                <w:rFonts w:hint="default"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单位开展项目支出绩效评价，项目支出3182.79万元，涉及一般公共预算项目支出1627.09万元，政府性基金预算项目支出1555.7万元，国有资本经营预算项目支出</w:t>
            </w:r>
            <w:r>
              <w:rPr>
                <w:rFonts w:hint="default" w:ascii="仿宋" w:hAnsi="仿宋" w:eastAsia="仿宋" w:cs="仿宋"/>
                <w:color w:val="000000"/>
                <w:kern w:val="2"/>
                <w:sz w:val="32"/>
                <w:szCs w:val="32"/>
                <w:shd w:val="clear" w:color="auto" w:fill="FFFFFF"/>
                <w:lang w:val="en-US" w:eastAsia="zh-CN" w:bidi="ar-SA"/>
              </w:rPr>
              <w:t>0</w:t>
            </w:r>
            <w:r>
              <w:rPr>
                <w:rFonts w:hint="eastAsia" w:ascii="仿宋" w:hAnsi="仿宋" w:eastAsia="仿宋" w:cs="仿宋"/>
                <w:color w:val="000000"/>
                <w:kern w:val="2"/>
                <w:sz w:val="32"/>
                <w:szCs w:val="32"/>
                <w:shd w:val="clear" w:color="auto" w:fill="FFFFFF"/>
                <w:lang w:val="en-US" w:eastAsia="zh-CN" w:bidi="ar-SA"/>
              </w:rPr>
              <w:t>万元。主要用于发展农业经济，推动社会各项事业，促进经济社会协调发展，提升乡村社会文化发展，巩固农村环境整治成果，巩固精准扶贫成果，推进乡村振兴等。主要目标：保障镇政府的基本运转，不断提升镇政府服务水平；促进经济、社会和文化发展；加强农村建设，建设美丽、宜居新镇等。通过项目绩效评价结果显示，2021年度项目绩效目标完成情况较好。</w:t>
            </w:r>
          </w:p>
          <w:p>
            <w:pPr>
              <w:keepNext/>
              <w:keepLines/>
              <w:autoSpaceDE w:val="0"/>
              <w:autoSpaceDN w:val="0"/>
              <w:spacing w:beforeLines="0" w:afterLines="0"/>
              <w:ind w:firstLine="640"/>
              <w:rPr>
                <w:rFonts w:hint="default"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（三）部门评价项目绩效评价结果。</w:t>
            </w:r>
          </w:p>
          <w:p>
            <w:pPr>
              <w:autoSpaceDE w:val="0"/>
              <w:autoSpaceDN w:val="0"/>
              <w:adjustRightInd w:val="0"/>
              <w:spacing w:beforeLines="0" w:afterLines="0"/>
              <w:ind w:firstLine="800"/>
              <w:jc w:val="left"/>
              <w:rPr>
                <w:rFonts w:hint="default"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从评价情况来看，单位根据年初工作规划和重点工作，围绕县委、县政府的工作部署，积极履行职责，强化管理，较好地完成了年度工作目标，同时加强预算收支的管理，建立健全内部管理制度，严格内部管理流程，严控三公经费，厉行节约压减一般性支出，部门整体支出管理得到了提升。通过绩效评价结果显示，2021年度绩效目标完成情况较好。部门整体支出绩效评价报告详见附件，同本部门的部门决算一同公开。</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 w:hAnsi="仿宋" w:eastAsia="仿宋" w:cs="仿宋"/>
                <w:color w:val="000000"/>
                <w:kern w:val="2"/>
                <w:sz w:val="32"/>
                <w:szCs w:val="32"/>
                <w:shd w:val="clear" w:color="auto" w:fill="FFFFFF"/>
                <w:lang w:val="en-US" w:eastAsia="zh-CN" w:bidi="ar-SA"/>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4、对相关人员加强培训，特别是针对《预算法》、《行政事业单位会计制度》等学习培训，规范部门预算收支核算，切实提高部门预算收支管理水平。 </w:t>
            </w:r>
          </w:p>
          <w:p>
            <w:pPr>
              <w:rPr>
                <w:rFonts w:eastAsia="楷体_GB2312"/>
                <w:bCs/>
                <w:sz w:val="28"/>
                <w:szCs w:val="28"/>
              </w:rPr>
            </w:pPr>
          </w:p>
        </w:tc>
      </w:tr>
    </w:tbl>
    <w:p>
      <w:pPr>
        <w:spacing w:line="348" w:lineRule="auto"/>
        <w:rPr>
          <w:rFonts w:eastAsia="楷体_GB2312"/>
          <w:bCs/>
          <w:sz w:val="28"/>
          <w:szCs w:val="28"/>
        </w:rPr>
      </w:pPr>
    </w:p>
    <w:p>
      <w:pPr>
        <w:spacing w:before="156" w:beforeLines="50" w:line="760" w:lineRule="exact"/>
        <w:ind w:firstLine="420" w:firstLineChars="150"/>
        <w:rPr>
          <w:rFonts w:hint="eastAsia" w:eastAsia="仿宋_GB2312"/>
          <w:sz w:val="32"/>
        </w:rPr>
      </w:pPr>
      <w:r>
        <w:rPr>
          <w:rFonts w:eastAsia="楷体_GB2312"/>
          <w:bCs/>
          <w:sz w:val="28"/>
          <w:szCs w:val="28"/>
        </w:rPr>
        <w:br w:type="page"/>
      </w:r>
    </w:p>
    <w:p>
      <w:pPr>
        <w:rPr>
          <w:rFonts w:hint="eastAsia" w:ascii="黑体" w:hAnsi="黑体" w:eastAsia="黑体"/>
          <w:sz w:val="32"/>
          <w:szCs w:val="32"/>
        </w:rPr>
      </w:pP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8"/>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8"/>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  出（25分</w:t>
            </w:r>
            <w:r>
              <w:rPr>
                <w:rFonts w:hint="eastAsia" w:ascii="仿宋_GB2312" w:hAnsi="宋体" w:eastAsia="仿宋_GB2312" w:cs="宋体"/>
                <w:kern w:val="0"/>
                <w:sz w:val="18"/>
                <w:szCs w:val="18"/>
                <w:lang w:eastAsia="zh-CN"/>
              </w:rPr>
              <w:t>）</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7</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bidi="ar-SA"/>
              </w:rPr>
            </w:pPr>
            <w:r>
              <w:rPr>
                <w:rFonts w:hint="eastAsia" w:ascii="仿宋_GB2312" w:hAnsi="宋体" w:eastAsia="仿宋_GB2312" w:cs="宋体"/>
                <w:b/>
                <w:bCs/>
                <w:kern w:val="0"/>
                <w:sz w:val="18"/>
                <w:szCs w:val="18"/>
                <w:lang w:val="en-US" w:eastAsia="zh-CN"/>
              </w:rPr>
              <w:t>95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adjustRightInd w:val="0"/>
        <w:snapToGrid w:val="0"/>
        <w:spacing w:before="156" w:beforeLines="50"/>
        <w:ind w:firstLine="960" w:firstLineChars="300"/>
        <w:contextualSpacing/>
        <w:rPr>
          <w:rFonts w:hint="eastAsia"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方正仿宋_GB2312">
    <w:altName w:val="仿宋"/>
    <w:panose1 w:val="00000000000000000000"/>
    <w:charset w:val="86"/>
    <w:family w:val="auto"/>
    <w:pitch w:val="default"/>
    <w:sig w:usb0="00000000" w:usb1="00000000" w:usb2="00000012" w:usb3="00000000" w:csb0="00040001"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sz w:val="24"/>
        <w:szCs w:val="24"/>
      </w:rPr>
    </w:pPr>
    <w:r>
      <w:rPr>
        <w:rStyle w:val="10"/>
        <w:rFonts w:hint="eastAsia"/>
        <w:sz w:val="24"/>
        <w:szCs w:val="24"/>
      </w:rPr>
      <w:t xml:space="preserve">— </w:t>
    </w:r>
    <w:r>
      <w:rPr>
        <w:sz w:val="24"/>
        <w:szCs w:val="24"/>
      </w:rPr>
      <w:fldChar w:fldCharType="begin"/>
    </w:r>
    <w:r>
      <w:rPr>
        <w:rStyle w:val="10"/>
        <w:sz w:val="24"/>
        <w:szCs w:val="24"/>
      </w:rPr>
      <w:instrText xml:space="preserve">PAGE  </w:instrText>
    </w:r>
    <w:r>
      <w:rPr>
        <w:sz w:val="24"/>
        <w:szCs w:val="24"/>
      </w:rPr>
      <w:fldChar w:fldCharType="separate"/>
    </w:r>
    <w:r>
      <w:rPr>
        <w:rStyle w:val="10"/>
        <w:sz w:val="24"/>
        <w:szCs w:val="24"/>
      </w:rPr>
      <w:t>1</w:t>
    </w:r>
    <w:r>
      <w:rPr>
        <w:sz w:val="24"/>
        <w:szCs w:val="24"/>
      </w:rPr>
      <w:fldChar w:fldCharType="end"/>
    </w:r>
    <w:r>
      <w:rPr>
        <w:rStyle w:val="10"/>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sz w:val="24"/>
        <w:szCs w:val="24"/>
      </w:rPr>
    </w:pPr>
    <w:r>
      <w:rPr>
        <w:rStyle w:val="10"/>
        <w:rFonts w:hint="eastAsia"/>
        <w:sz w:val="24"/>
        <w:szCs w:val="24"/>
      </w:rPr>
      <w:t xml:space="preserve">— </w:t>
    </w:r>
    <w:r>
      <w:rPr>
        <w:sz w:val="24"/>
        <w:szCs w:val="24"/>
      </w:rPr>
      <w:fldChar w:fldCharType="begin"/>
    </w:r>
    <w:r>
      <w:rPr>
        <w:rStyle w:val="10"/>
        <w:sz w:val="24"/>
        <w:szCs w:val="24"/>
      </w:rPr>
      <w:instrText xml:space="preserve">PAGE  </w:instrText>
    </w:r>
    <w:r>
      <w:rPr>
        <w:sz w:val="24"/>
        <w:szCs w:val="24"/>
      </w:rPr>
      <w:fldChar w:fldCharType="separate"/>
    </w:r>
    <w:r>
      <w:rPr>
        <w:rStyle w:val="10"/>
        <w:sz w:val="24"/>
        <w:szCs w:val="24"/>
      </w:rPr>
      <w:t>18</w:t>
    </w:r>
    <w:r>
      <w:rPr>
        <w:sz w:val="24"/>
        <w:szCs w:val="24"/>
      </w:rPr>
      <w:fldChar w:fldCharType="end"/>
    </w:r>
    <w:r>
      <w:rPr>
        <w:rStyle w:val="10"/>
        <w:rFonts w:hint="eastAsia"/>
        <w:sz w:val="24"/>
        <w:szCs w:val="24"/>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fldChar w:fldCharType="begin"/>
    </w:r>
    <w:r>
      <w:rPr>
        <w:rStyle w:val="10"/>
      </w:rPr>
      <w:instrText xml:space="preserve">PAGE  </w:instrTex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06FBDD"/>
    <w:multiLevelType w:val="singleLevel"/>
    <w:tmpl w:val="F606FBDD"/>
    <w:lvl w:ilvl="0" w:tentative="0">
      <w:start w:val="2"/>
      <w:numFmt w:val="chineseCounting"/>
      <w:suff w:val="nothing"/>
      <w:lvlText w:val="（%1）"/>
      <w:lvlJc w:val="left"/>
      <w:pPr>
        <w:ind w:left="-430"/>
      </w:pPr>
      <w:rPr>
        <w:rFonts w:hint="eastAsia"/>
      </w:rPr>
    </w:lvl>
  </w:abstractNum>
  <w:abstractNum w:abstractNumId="1">
    <w:nsid w:val="45E7063F"/>
    <w:multiLevelType w:val="singleLevel"/>
    <w:tmpl w:val="45E7063F"/>
    <w:lvl w:ilvl="0" w:tentative="0">
      <w:start w:val="1"/>
      <w:numFmt w:val="decimal"/>
      <w:suff w:val="nothing"/>
      <w:lvlText w:val="%1、"/>
      <w:lvlJc w:val="left"/>
    </w:lvl>
  </w:abstractNum>
  <w:abstractNum w:abstractNumId="2">
    <w:nsid w:val="4632953B"/>
    <w:multiLevelType w:val="singleLevel"/>
    <w:tmpl w:val="4632953B"/>
    <w:lvl w:ilvl="0" w:tentative="0">
      <w:start w:val="4"/>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Zjc5NTllMGFiYmY5NmVhMTllZTJlYTQ3YTVjMjgifQ=="/>
  </w:docVars>
  <w:rsids>
    <w:rsidRoot w:val="2CE55C20"/>
    <w:rsid w:val="007B2063"/>
    <w:rsid w:val="009252E1"/>
    <w:rsid w:val="083749E7"/>
    <w:rsid w:val="0CB679B8"/>
    <w:rsid w:val="0D7534D7"/>
    <w:rsid w:val="0DE528CD"/>
    <w:rsid w:val="0F007991"/>
    <w:rsid w:val="10054735"/>
    <w:rsid w:val="1336279F"/>
    <w:rsid w:val="16100880"/>
    <w:rsid w:val="18725427"/>
    <w:rsid w:val="19235F91"/>
    <w:rsid w:val="1A294AF4"/>
    <w:rsid w:val="21230E3D"/>
    <w:rsid w:val="254E2FC7"/>
    <w:rsid w:val="25B607B7"/>
    <w:rsid w:val="263C173A"/>
    <w:rsid w:val="289D055E"/>
    <w:rsid w:val="2A62674D"/>
    <w:rsid w:val="2A770606"/>
    <w:rsid w:val="2BE53992"/>
    <w:rsid w:val="2C9F197B"/>
    <w:rsid w:val="2CA33441"/>
    <w:rsid w:val="2CE55C20"/>
    <w:rsid w:val="2F287302"/>
    <w:rsid w:val="30426D13"/>
    <w:rsid w:val="31830423"/>
    <w:rsid w:val="34A86256"/>
    <w:rsid w:val="3A43255A"/>
    <w:rsid w:val="3D6201A1"/>
    <w:rsid w:val="3EC46785"/>
    <w:rsid w:val="3F8A6044"/>
    <w:rsid w:val="40425B94"/>
    <w:rsid w:val="42C208CA"/>
    <w:rsid w:val="43A702D9"/>
    <w:rsid w:val="440E02F9"/>
    <w:rsid w:val="44592EA4"/>
    <w:rsid w:val="447C2952"/>
    <w:rsid w:val="477245B4"/>
    <w:rsid w:val="49617FA5"/>
    <w:rsid w:val="4BAD6FBB"/>
    <w:rsid w:val="4D171D42"/>
    <w:rsid w:val="4E4F0BB0"/>
    <w:rsid w:val="4EE10AEE"/>
    <w:rsid w:val="5B5E073E"/>
    <w:rsid w:val="5BE95901"/>
    <w:rsid w:val="5E031417"/>
    <w:rsid w:val="5F662405"/>
    <w:rsid w:val="626A4AF6"/>
    <w:rsid w:val="64A3472B"/>
    <w:rsid w:val="6A0A15CD"/>
    <w:rsid w:val="6D452F22"/>
    <w:rsid w:val="6DC85BA0"/>
    <w:rsid w:val="6DF352BD"/>
    <w:rsid w:val="705E3E6D"/>
    <w:rsid w:val="71C1048A"/>
    <w:rsid w:val="73467546"/>
    <w:rsid w:val="7396188C"/>
    <w:rsid w:val="73A6715E"/>
    <w:rsid w:val="73F35F5B"/>
    <w:rsid w:val="75EB6DA5"/>
    <w:rsid w:val="76CC0915"/>
    <w:rsid w:val="79C04582"/>
    <w:rsid w:val="7CA82634"/>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rPr>
      <w:rFonts w:eastAsia="黑体"/>
      <w:sz w:val="44"/>
      <w:szCs w:val="44"/>
    </w:rPr>
  </w:style>
  <w:style w:type="paragraph" w:styleId="3">
    <w:name w:val="Body Text Indent 2"/>
    <w:basedOn w:val="1"/>
    <w:unhideWhenUsed/>
    <w:qFormat/>
    <w:uiPriority w:val="0"/>
    <w:pPr>
      <w:ind w:firstLine="588" w:firstLineChars="200"/>
    </w:pPr>
    <w:rPr>
      <w:rFonts w:ascii="仿宋_GB2312" w:hAnsi="Calibri" w:eastAsia="仿宋_GB2312"/>
      <w:sz w:val="32"/>
    </w:r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pPr>
      <w:widowControl w:val="0"/>
      <w:spacing w:after="0"/>
      <w:jc w:val="both"/>
    </w:pPr>
    <w:rPr>
      <w:rFonts w:ascii="Times New Roman" w:hAnsi="Times New Roman" w:eastAsia="宋体" w:cs="Times New Roman"/>
      <w:kern w:val="2"/>
      <w:sz w:val="21"/>
      <w:szCs w:val="24"/>
      <w:lang w:val="en-US" w:eastAsia="zh-CN" w:bidi="ar-SA"/>
    </w:rPr>
  </w:style>
  <w:style w:type="paragraph" w:styleId="7">
    <w:name w:val="Normal (Web)"/>
    <w:basedOn w:val="1"/>
    <w:qFormat/>
    <w:uiPriority w:val="0"/>
    <w:pPr>
      <w:spacing w:beforeAutospacing="1" w:afterAutospacing="1"/>
      <w:jc w:val="left"/>
    </w:pPr>
    <w:rPr>
      <w:kern w:val="0"/>
      <w:sz w:val="24"/>
    </w:rPr>
  </w:style>
  <w:style w:type="character" w:styleId="10">
    <w:name w:val="page number"/>
    <w:qFormat/>
    <w:uiPriority w:val="0"/>
  </w:style>
  <w:style w:type="character" w:customStyle="1" w:styleId="11">
    <w:name w:val="标题 3 Char Char"/>
    <w:qFormat/>
    <w:uiPriority w:val="0"/>
    <w:rPr>
      <w:rFonts w:eastAsia="楷体_GB2312"/>
      <w:b/>
      <w:kern w:val="2"/>
      <w:sz w:val="32"/>
      <w:szCs w:val="24"/>
      <w:lang w:val="en-US" w:eastAsia="zh-CN" w:bidi="ar-SA"/>
    </w:rPr>
  </w:style>
  <w:style w:type="character" w:customStyle="1" w:styleId="12">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9402</Words>
  <Characters>9923</Characters>
  <Lines>0</Lines>
  <Paragraphs>0</Paragraphs>
  <TotalTime>0</TotalTime>
  <ScaleCrop>false</ScaleCrop>
  <LinksUpToDate>false</LinksUpToDate>
  <CharactersWithSpaces>10477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戴</cp:lastModifiedBy>
  <cp:lastPrinted>2021-07-12T08:27:00Z</cp:lastPrinted>
  <dcterms:modified xsi:type="dcterms:W3CDTF">2022-11-04T03:28:20Z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377A56B318954603893BD5B869B7BB42</vt:lpwstr>
  </property>
</Properties>
</file>