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附件2-1</w:t>
      </w:r>
    </w:p>
    <w:p>
      <w:pPr>
        <w:spacing w:line="348" w:lineRule="auto"/>
        <w:jc w:val="center"/>
        <w:rPr>
          <w:rFonts w:eastAsia="方正小标宋简体"/>
          <w:bCs/>
          <w:sz w:val="42"/>
          <w:szCs w:val="42"/>
        </w:rPr>
      </w:pPr>
    </w:p>
    <w:p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华容县2021年度部门整体支出</w:t>
      </w:r>
    </w:p>
    <w:p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绩效评价自评报告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beforeLines="50" w:line="348" w:lineRule="auto"/>
        <w:ind w:firstLine="476" w:firstLineChars="150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部门(单位)名称：华容县田家湖生态新区管理委员会</w:t>
      </w:r>
    </w:p>
    <w:p>
      <w:pPr>
        <w:spacing w:beforeLines="50" w:line="348" w:lineRule="auto"/>
        <w:ind w:firstLine="476" w:firstLineChars="150"/>
        <w:rPr>
          <w:rFonts w:eastAsia="仿宋_GB2312"/>
          <w:spacing w:val="2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预</w:t>
      </w:r>
      <w:r>
        <w:rPr>
          <w:rFonts w:hint="eastAsia" w:eastAsia="仿宋_GB2312"/>
          <w:spacing w:val="30"/>
          <w:sz w:val="32"/>
          <w:szCs w:val="32"/>
        </w:rPr>
        <w:t xml:space="preserve"> 算 编 码：016001</w:t>
      </w:r>
    </w:p>
    <w:p>
      <w:pPr>
        <w:spacing w:beforeLines="50" w:line="348" w:lineRule="auto"/>
        <w:ind w:firstLine="476" w:firstLineChars="1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评价方式：部门（单位）绩效自评</w:t>
      </w:r>
    </w:p>
    <w:p>
      <w:pPr>
        <w:spacing w:beforeLines="50" w:line="348" w:lineRule="auto"/>
        <w:ind w:firstLine="476" w:firstLineChars="1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评价机构：部门（单位）评价组   </w:t>
      </w:r>
    </w:p>
    <w:p>
      <w:pPr>
        <w:spacing w:line="720" w:lineRule="exact"/>
        <w:ind w:firstLine="2188" w:firstLineChars="690"/>
        <w:rPr>
          <w:rFonts w:eastAsia="仿宋_GB2312"/>
          <w:sz w:val="32"/>
        </w:rPr>
      </w:pPr>
    </w:p>
    <w:p>
      <w:pPr>
        <w:spacing w:line="720" w:lineRule="exact"/>
        <w:ind w:firstLine="2188" w:firstLineChars="690"/>
        <w:rPr>
          <w:rFonts w:eastAsia="仿宋_GB2312"/>
          <w:sz w:val="32"/>
        </w:rPr>
      </w:pPr>
    </w:p>
    <w:p>
      <w:pPr>
        <w:spacing w:line="720" w:lineRule="exact"/>
        <w:ind w:firstLine="2188" w:firstLineChars="690"/>
        <w:rPr>
          <w:rFonts w:eastAsia="仿宋_GB2312"/>
          <w:sz w:val="32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报告日期： 2022  年 10  月 11  日</w:t>
      </w:r>
    </w:p>
    <w:p>
      <w:pPr>
        <w:autoSpaceDN w:val="0"/>
        <w:jc w:val="center"/>
        <w:textAlignment w:val="center"/>
        <w:rPr>
          <w:rFonts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588" w:right="1588" w:bottom="1588" w:left="1588" w:header="851" w:footer="992" w:gutter="0"/>
          <w:pgNumType w:start="1"/>
          <w:cols w:space="720" w:num="1"/>
          <w:docGrid w:type="linesAndChars" w:linePitch="602" w:charSpace="-782"/>
        </w:sectPr>
      </w:pPr>
      <w:r>
        <w:rPr>
          <w:rFonts w:hint="eastAsia" w:eastAsia="仿宋_GB2312"/>
          <w:sz w:val="32"/>
        </w:rPr>
        <w:t>华容县财政</w:t>
      </w:r>
      <w:r>
        <w:rPr>
          <w:rFonts w:hint="eastAsia" w:eastAsia="仿宋_GB2312"/>
          <w:sz w:val="32"/>
          <w:szCs w:val="32"/>
        </w:rPr>
        <w:t>局（制）</w:t>
      </w:r>
    </w:p>
    <w:tbl>
      <w:tblPr>
        <w:tblStyle w:val="4"/>
        <w:tblW w:w="98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441"/>
        <w:gridCol w:w="213"/>
        <w:gridCol w:w="46"/>
        <w:gridCol w:w="1080"/>
        <w:gridCol w:w="210"/>
        <w:gridCol w:w="1145"/>
        <w:gridCol w:w="272"/>
        <w:gridCol w:w="808"/>
        <w:gridCol w:w="1479"/>
        <w:gridCol w:w="226"/>
        <w:gridCol w:w="196"/>
        <w:gridCol w:w="259"/>
        <w:gridCol w:w="1080"/>
        <w:gridCol w:w="265"/>
        <w:gridCol w:w="139"/>
        <w:gridCol w:w="316"/>
        <w:gridCol w:w="6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一、部门（单位）基本概况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</w:t>
            </w:r>
          </w:p>
        </w:tc>
        <w:tc>
          <w:tcPr>
            <w:tcW w:w="3561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陈溢</w:t>
            </w:r>
          </w:p>
        </w:tc>
        <w:tc>
          <w:tcPr>
            <w:tcW w:w="1479" w:type="dxa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联络电话</w:t>
            </w:r>
          </w:p>
        </w:tc>
        <w:tc>
          <w:tcPr>
            <w:tcW w:w="3106" w:type="dxa"/>
            <w:gridSpan w:val="8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13974066598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人员编制</w:t>
            </w:r>
          </w:p>
        </w:tc>
        <w:tc>
          <w:tcPr>
            <w:tcW w:w="3561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44</w:t>
            </w:r>
          </w:p>
        </w:tc>
        <w:tc>
          <w:tcPr>
            <w:tcW w:w="1479" w:type="dxa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实有人数</w:t>
            </w:r>
          </w:p>
        </w:tc>
        <w:tc>
          <w:tcPr>
            <w:tcW w:w="3106" w:type="dxa"/>
            <w:gridSpan w:val="8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00" w:hRule="atLeast"/>
          <w:jc w:val="center"/>
        </w:trPr>
        <w:tc>
          <w:tcPr>
            <w:tcW w:w="1654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职能职责概述</w:t>
            </w:r>
          </w:p>
        </w:tc>
        <w:tc>
          <w:tcPr>
            <w:tcW w:w="8146" w:type="dxa"/>
            <w:gridSpan w:val="15"/>
            <w:noWrap/>
            <w:vAlign w:val="center"/>
          </w:tcPr>
          <w:p>
            <w:pPr>
              <w:spacing w:line="3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1.加强党的建设。落实基层党建工作责任制，加强党员队伍的思想建设、组织建设、作风建设、制度建设和党风廉政建设等相关工作。</w:t>
            </w:r>
          </w:p>
          <w:p>
            <w:pPr>
              <w:spacing w:line="3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2.统筹区域发展。做好农业、农村、农民和社区工作，推进乡村振兴；规范经济管理，组织指导经济发展和经济结构调整；加强综合生产能力建设；加强基础设施建设；。</w:t>
            </w:r>
          </w:p>
          <w:p>
            <w:pPr>
              <w:spacing w:line="3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3组织公共服务。加强公共设施建设，开展就业和社会保障等服务，发展科教文卫事业，组织实施与村（居）民生活密切相关的各项公共服务事项。</w:t>
            </w:r>
          </w:p>
          <w:p>
            <w:pPr>
              <w:spacing w:line="36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4.完成县委、县政府交办的其他事项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64" w:hRule="atLeast"/>
          <w:jc w:val="center"/>
        </w:trPr>
        <w:tc>
          <w:tcPr>
            <w:tcW w:w="1654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年度主要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工作内容</w:t>
            </w:r>
          </w:p>
        </w:tc>
        <w:tc>
          <w:tcPr>
            <w:tcW w:w="8146" w:type="dxa"/>
            <w:gridSpan w:val="15"/>
            <w:noWrap/>
            <w:vAlign w:val="center"/>
          </w:tcPr>
          <w:p>
            <w:pPr>
              <w:spacing w:line="360" w:lineRule="exact"/>
              <w:ind w:firstLine="562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1.抓好党建工作。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做好2021社区换届选举工作，同时进一步发掘、培养年轻的社区党员干部，为基层党组织补充新鲜血液。</w:t>
            </w:r>
          </w:p>
          <w:p>
            <w:pPr>
              <w:spacing w:line="360" w:lineRule="exact"/>
              <w:ind w:firstLine="562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2.服务项目建设。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是田家湖大道西线，力争按原规划方案推进原白鼎村网格8户签约。二是湖北路，做好征拆工作，完成签约。三是容城学校，完成征拆签约，确保明年9月正式开学。四是城南加油站，加大施工力度，保证项目顺利推进。</w:t>
            </w:r>
          </w:p>
          <w:p>
            <w:pPr>
              <w:spacing w:line="360" w:lineRule="exact"/>
              <w:ind w:firstLine="562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3.加大招商融资。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引进各类项目投资，加大与有实力、有意向的战略投资者合作，力争在田家湖生态公园建设上达成战略合作。</w:t>
            </w:r>
          </w:p>
          <w:p>
            <w:pPr>
              <w:spacing w:line="360" w:lineRule="exact"/>
              <w:ind w:firstLine="562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4.落实禁违治违。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坚决遏制违建势头，做到宣传措施更力、巡查密度更大、控管力度更强，进一步做好存量违建的拆除工作，确保存量违建“负增长”。</w:t>
            </w:r>
          </w:p>
          <w:p>
            <w:pPr>
              <w:spacing w:line="360" w:lineRule="exact"/>
              <w:ind w:firstLine="562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5.维护安全稳定。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安全生产上，继续保持每月两检查制度，落实更严格的隐患整改措施，确保不出现较大事故，力争不出现一般事故。在信访维稳上，加强重大信访遗留问题的调处，依法依规化解矛盾、纠纷，确保不出现赴省进京访，不出现重大群体性事件，确保大局稳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60" w:hRule="atLeast"/>
          <w:jc w:val="center"/>
        </w:trPr>
        <w:tc>
          <w:tcPr>
            <w:tcW w:w="1654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年度部门（单位）总体运行情况及取得的成绩</w:t>
            </w:r>
          </w:p>
        </w:tc>
        <w:tc>
          <w:tcPr>
            <w:tcW w:w="8146" w:type="dxa"/>
            <w:gridSpan w:val="15"/>
            <w:noWrap/>
            <w:vAlign w:val="center"/>
          </w:tcPr>
          <w:p>
            <w:pPr>
              <w:spacing w:line="360" w:lineRule="exact"/>
              <w:ind w:firstLine="562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1.不断加强基层党建。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行试点小区党员登记报到服务，持续打造示范小区，已成立香溢花城、盛世新城等5个小区党支部，发挥小区党支部作用，破解小区治理难题，构建党建发展新格局。将项目征拆与党建引领融合，在田家湖大道、湖北路等征拆一线成立临时党支部，组建党员突击队，提高征地拆迁实效，推动项目建设顺利开工。抢抓金融助力乡村振兴机遇，推进社区“党建+诚信金融”工作，完成普圣堂、农科2个信用社区的认定授牌，以金融支持增强基层发展“造血功能”。</w:t>
            </w:r>
          </w:p>
          <w:p>
            <w:pPr>
              <w:spacing w:line="360" w:lineRule="exact"/>
              <w:ind w:firstLine="562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2.稳步推进项目征拆。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坚持以项目论英雄，以征拆论成败，突出阳光拆迁、网格化签约，全力推进项目征拆工作。今年已完成新城大道东区域、容城学校西、湖北路241.2亩的征地；完成湖北路、容城学校、新城大道东、田家湖大道西线、盛世新城D地块共30户房屋拆迁。</w:t>
            </w:r>
          </w:p>
          <w:p>
            <w:pPr>
              <w:spacing w:line="360" w:lineRule="exact"/>
              <w:ind w:firstLine="562" w:firstLineChars="200"/>
              <w:rPr>
                <w:rFonts w:ascii="楷体" w:hAnsi="楷体" w:eastAsia="楷体" w:cs="楷体"/>
                <w:b/>
                <w:bCs/>
                <w:color w:val="0000FF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3.认真处理留地安置。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截至目前，已完成马鞍社区一、二组和普圣堂社区四季花城3个留地安置区安置房清理等前期工作，共清理安置户192户，安置房660套（交易437套），安置门面247间，完成安置房消防和质量检测工作，税费征缴正按县留地安置专项清理领导小组要求有序推进。</w:t>
            </w:r>
          </w:p>
          <w:p>
            <w:pPr>
              <w:spacing w:line="360" w:lineRule="exact"/>
              <w:ind w:firstLine="562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4.积极化解信访难题。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坚持源头预防与打击非访“两条腿”走路，畅通社情民意的信访渠道。全年回复处理“12345”公共热线工单400余条，网络舆情受理20余条，网信受理办理率达到100%，群众关心的热点民生问题，基本得到及时回复。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二、部门（单位）收支情况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年度收入情况（万元）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vMerge w:val="restart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收入合计</w:t>
            </w:r>
          </w:p>
        </w:tc>
        <w:tc>
          <w:tcPr>
            <w:tcW w:w="7020" w:type="dxa"/>
            <w:gridSpan w:val="13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14" w:hRule="atLeast"/>
          <w:jc w:val="center"/>
        </w:trPr>
        <w:tc>
          <w:tcPr>
            <w:tcW w:w="1700" w:type="dxa"/>
            <w:gridSpan w:val="3"/>
            <w:vMerge w:val="continue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上年结转</w:t>
            </w: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公共财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政拨款</w:t>
            </w:r>
          </w:p>
        </w:tc>
        <w:tc>
          <w:tcPr>
            <w:tcW w:w="1705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政府基金拨款</w:t>
            </w:r>
          </w:p>
        </w:tc>
        <w:tc>
          <w:tcPr>
            <w:tcW w:w="1800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纳入专户管理的非税收入拨款</w:t>
            </w:r>
          </w:p>
        </w:tc>
        <w:tc>
          <w:tcPr>
            <w:tcW w:w="1080" w:type="dxa"/>
            <w:gridSpan w:val="3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2" w:hRule="atLeast"/>
          <w:jc w:val="center"/>
        </w:trPr>
        <w:tc>
          <w:tcPr>
            <w:tcW w:w="1700" w:type="dxa"/>
            <w:gridSpan w:val="3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华容县田家湖生态新区管理委员会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2122.18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866.02</w:t>
            </w:r>
          </w:p>
        </w:tc>
        <w:tc>
          <w:tcPr>
            <w:tcW w:w="1705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1251.93</w:t>
            </w:r>
          </w:p>
        </w:tc>
        <w:tc>
          <w:tcPr>
            <w:tcW w:w="1800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1080" w:type="dxa"/>
            <w:gridSpan w:val="3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4.23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800" w:type="dxa"/>
            <w:gridSpan w:val="17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部门（单位）年度支出和结余情况（万元）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noWrap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支出合计</w:t>
            </w:r>
          </w:p>
        </w:tc>
        <w:tc>
          <w:tcPr>
            <w:tcW w:w="567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345" w:type="dxa"/>
            <w:gridSpan w:val="4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基本支出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项目支出</w:t>
            </w:r>
          </w:p>
        </w:tc>
        <w:tc>
          <w:tcPr>
            <w:tcW w:w="7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当年结余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累计结余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人员支出</w:t>
            </w:r>
          </w:p>
        </w:tc>
        <w:tc>
          <w:tcPr>
            <w:tcW w:w="2160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公用支出</w:t>
            </w: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7" w:hRule="atLeast"/>
          <w:jc w:val="center"/>
        </w:trPr>
        <w:tc>
          <w:tcPr>
            <w:tcW w:w="1700" w:type="dxa"/>
            <w:gridSpan w:val="3"/>
            <w:noWrap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华容县田家湖生态新区管理委员会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2122.18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622.16</w:t>
            </w: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480.29</w:t>
            </w:r>
          </w:p>
        </w:tc>
        <w:tc>
          <w:tcPr>
            <w:tcW w:w="2160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141.87</w:t>
            </w:r>
          </w:p>
        </w:tc>
        <w:tc>
          <w:tcPr>
            <w:tcW w:w="1080" w:type="dxa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1500.02</w:t>
            </w: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6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三公经费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7020" w:type="dxa"/>
            <w:gridSpan w:val="13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公务接待费</w:t>
            </w: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公务用车运维费</w:t>
            </w:r>
          </w:p>
        </w:tc>
        <w:tc>
          <w:tcPr>
            <w:tcW w:w="2160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公务用车购置费</w:t>
            </w:r>
          </w:p>
        </w:tc>
        <w:tc>
          <w:tcPr>
            <w:tcW w:w="2425" w:type="dxa"/>
            <w:gridSpan w:val="5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因公出国费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8" w:hRule="atLeast"/>
          <w:jc w:val="center"/>
        </w:trPr>
        <w:tc>
          <w:tcPr>
            <w:tcW w:w="1700" w:type="dxa"/>
            <w:gridSpan w:val="3"/>
            <w:noWrap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华容县田家湖生态新区管理委员会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2.34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2.34</w:t>
            </w: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2160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2425" w:type="dxa"/>
            <w:gridSpan w:val="5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固定资产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6079" w:type="dxa"/>
            <w:gridSpan w:val="11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941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在用固定资产</w:t>
            </w:r>
          </w:p>
        </w:tc>
        <w:tc>
          <w:tcPr>
            <w:tcW w:w="3644" w:type="dxa"/>
            <w:gridSpan w:val="7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出租固定资产</w:t>
            </w:r>
          </w:p>
        </w:tc>
        <w:tc>
          <w:tcPr>
            <w:tcW w:w="941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700" w:type="dxa"/>
            <w:gridSpan w:val="3"/>
            <w:noWrap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华容县田家湖生态新区管理委员会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123.44</w:t>
            </w: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123.44</w:t>
            </w:r>
          </w:p>
        </w:tc>
        <w:tc>
          <w:tcPr>
            <w:tcW w:w="3644" w:type="dxa"/>
            <w:gridSpan w:val="7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941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整体支出绩效定性目标及实施计划完成情况</w:t>
            </w:r>
          </w:p>
        </w:tc>
        <w:tc>
          <w:tcPr>
            <w:tcW w:w="3774" w:type="dxa"/>
            <w:gridSpan w:val="7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预期目标</w:t>
            </w:r>
          </w:p>
        </w:tc>
        <w:tc>
          <w:tcPr>
            <w:tcW w:w="4585" w:type="dxa"/>
            <w:gridSpan w:val="9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实际完成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72" w:hRule="atLeast"/>
          <w:jc w:val="center"/>
        </w:trPr>
        <w:tc>
          <w:tcPr>
            <w:tcW w:w="1441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74" w:type="dxa"/>
            <w:gridSpan w:val="7"/>
            <w:noWrap/>
            <w:vAlign w:val="center"/>
          </w:tcPr>
          <w:p>
            <w:pPr>
              <w:autoSpaceDN w:val="0"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（一）抓好党建工作。</w:t>
            </w:r>
          </w:p>
          <w:p>
            <w:pPr>
              <w:autoSpaceDN w:val="0"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（二）服务项目建设。</w:t>
            </w:r>
          </w:p>
          <w:p>
            <w:pPr>
              <w:autoSpaceDN w:val="0"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（二）服务项目建设。</w:t>
            </w:r>
          </w:p>
          <w:p>
            <w:pPr>
              <w:autoSpaceDN w:val="0"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（四）落实禁违治违。</w:t>
            </w:r>
          </w:p>
          <w:p>
            <w:pPr>
              <w:autoSpaceDN w:val="0"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（五）维护安全稳定。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</w:t>
            </w:r>
          </w:p>
        </w:tc>
        <w:tc>
          <w:tcPr>
            <w:tcW w:w="4585" w:type="dxa"/>
            <w:gridSpan w:val="9"/>
            <w:noWrap/>
            <w:vAlign w:val="center"/>
          </w:tcPr>
          <w:p>
            <w:pPr>
              <w:autoSpaceDN w:val="0"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深入贯彻县委关于县城“东扩、西移、北控、南展”发展战略，迎难而上，真抓实干，加快推进“新园区、新城区、新景区”建设，全区经济社会发展保持了良好态势。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绩效定量目标及实施计划完成情况</w:t>
            </w:r>
          </w:p>
        </w:tc>
        <w:tc>
          <w:tcPr>
            <w:tcW w:w="2966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评价内容</w:t>
            </w:r>
          </w:p>
        </w:tc>
        <w:tc>
          <w:tcPr>
            <w:tcW w:w="2709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绩效目标</w:t>
            </w:r>
          </w:p>
        </w:tc>
        <w:tc>
          <w:tcPr>
            <w:tcW w:w="2684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产出目标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（部门工作实绩，包含上级部门和县委县政府布置的重点工作、实事任务等，根据部门实际进行调整细化）</w:t>
            </w:r>
          </w:p>
        </w:tc>
        <w:tc>
          <w:tcPr>
            <w:tcW w:w="1417" w:type="dxa"/>
            <w:gridSpan w:val="2"/>
            <w:vMerge w:val="restart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质量指标</w:t>
            </w:r>
          </w:p>
        </w:tc>
        <w:tc>
          <w:tcPr>
            <w:tcW w:w="2709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指标1：征地</w:t>
            </w:r>
          </w:p>
        </w:tc>
        <w:tc>
          <w:tcPr>
            <w:tcW w:w="2684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今年已完成新城大道东区域、容城学校西、湖北路241.2亩的征地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指标2：拆迁</w:t>
            </w:r>
          </w:p>
        </w:tc>
        <w:tc>
          <w:tcPr>
            <w:tcW w:w="2684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完成湖北路、容城学校、新城大道东、田家湖大道西线、盛世新城D地块共30户房屋拆迁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数量指标</w:t>
            </w:r>
          </w:p>
        </w:tc>
        <w:tc>
          <w:tcPr>
            <w:tcW w:w="2709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安全管理</w:t>
            </w:r>
          </w:p>
        </w:tc>
        <w:tc>
          <w:tcPr>
            <w:tcW w:w="2684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制定领导干部“职责清单”，坚持“一月两检查、检查全覆盖、分片包干到人”，检查不留死角、不留余情；组织安全宣传月活动，广泛宣传新安全生产法、特种设备操作等安全知识；开展“打非治违”行动，执法检查50次，执法办案30起，安全生产形势总体稳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441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队伍建设</w:t>
            </w:r>
          </w:p>
        </w:tc>
        <w:tc>
          <w:tcPr>
            <w:tcW w:w="2684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实行试点小区党员登记报到服务，持续打造示范小区，已成立香溢花城、盛世新城等5个小区党支部，发挥小区党支部作用，破解小区治理难题，构建党建发展新格局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441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时效指标</w:t>
            </w:r>
          </w:p>
        </w:tc>
        <w:tc>
          <w:tcPr>
            <w:tcW w:w="2709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无</w:t>
            </w:r>
          </w:p>
        </w:tc>
        <w:tc>
          <w:tcPr>
            <w:tcW w:w="2684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84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成本指标</w:t>
            </w:r>
          </w:p>
        </w:tc>
        <w:tc>
          <w:tcPr>
            <w:tcW w:w="2709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无</w:t>
            </w:r>
          </w:p>
        </w:tc>
        <w:tc>
          <w:tcPr>
            <w:tcW w:w="2684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84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效益目标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（预期实现的效益）</w:t>
            </w: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社会效益</w:t>
            </w:r>
          </w:p>
        </w:tc>
        <w:tc>
          <w:tcPr>
            <w:tcW w:w="2709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指标1：维护民生福祉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开展惠农惠民专项核查，核查信息6895条无差错；开展养老保险待遇核查，多领、冒领资金4万余元全部上缴入库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经济效益</w:t>
            </w:r>
          </w:p>
        </w:tc>
        <w:tc>
          <w:tcPr>
            <w:tcW w:w="2709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指标1：基础设施建设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目前，新区城市主干道路已基本建立，马鞍学校、长工学校、田家湖学校相继建成，容城学校即将开学，以县政府驻地为中心的县域政治中心，以马鞍山公园为中心的城市休闲公园，以人民医院、人民广场、田家湖学校为中心的高档小区居住群已现雏形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生态效益</w:t>
            </w:r>
          </w:p>
        </w:tc>
        <w:tc>
          <w:tcPr>
            <w:tcW w:w="2709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指标1：渠畅水清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严格落实微河长制，坚持清淤治理与日常巡渠并举，梳洗清理沟渠7000多米，确保了小微水体渠畅水清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社会公众或服务对象满意度</w:t>
            </w:r>
          </w:p>
        </w:tc>
        <w:tc>
          <w:tcPr>
            <w:tcW w:w="2709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满意度95%以上</w:t>
            </w:r>
          </w:p>
        </w:tc>
        <w:tc>
          <w:tcPr>
            <w:tcW w:w="2684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满意度95%以上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绩效自评综合得分</w:t>
            </w:r>
          </w:p>
        </w:tc>
        <w:tc>
          <w:tcPr>
            <w:tcW w:w="6810" w:type="dxa"/>
            <w:gridSpan w:val="1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评价等次</w:t>
            </w:r>
          </w:p>
        </w:tc>
        <w:tc>
          <w:tcPr>
            <w:tcW w:w="6810" w:type="dxa"/>
            <w:gridSpan w:val="1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800" w:type="dxa"/>
            <w:gridSpan w:val="17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3561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职务/职称</w:t>
            </w:r>
          </w:p>
        </w:tc>
        <w:tc>
          <w:tcPr>
            <w:tcW w:w="1479" w:type="dxa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  位</w:t>
            </w:r>
          </w:p>
        </w:tc>
        <w:tc>
          <w:tcPr>
            <w:tcW w:w="3106" w:type="dxa"/>
            <w:gridSpan w:val="8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  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李浩</w:t>
            </w:r>
          </w:p>
        </w:tc>
        <w:tc>
          <w:tcPr>
            <w:tcW w:w="3561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田家湖生态新区副主任</w:t>
            </w:r>
          </w:p>
        </w:tc>
        <w:tc>
          <w:tcPr>
            <w:tcW w:w="1479" w:type="dxa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田家湖生态新区</w:t>
            </w:r>
          </w:p>
        </w:tc>
        <w:tc>
          <w:tcPr>
            <w:tcW w:w="3106" w:type="dxa"/>
            <w:gridSpan w:val="8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陈溢</w:t>
            </w:r>
          </w:p>
        </w:tc>
        <w:tc>
          <w:tcPr>
            <w:tcW w:w="3561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田家湖生态新区办公室主任</w:t>
            </w:r>
          </w:p>
        </w:tc>
        <w:tc>
          <w:tcPr>
            <w:tcW w:w="1479" w:type="dxa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田家湖生态新区</w:t>
            </w:r>
          </w:p>
        </w:tc>
        <w:tc>
          <w:tcPr>
            <w:tcW w:w="3106" w:type="dxa"/>
            <w:gridSpan w:val="8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1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9" w:type="dxa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06" w:type="dxa"/>
            <w:gridSpan w:val="8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1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9" w:type="dxa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06" w:type="dxa"/>
            <w:gridSpan w:val="8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2" w:hRule="atLeast"/>
          <w:jc w:val="center"/>
        </w:trPr>
        <w:tc>
          <w:tcPr>
            <w:tcW w:w="9800" w:type="dxa"/>
            <w:gridSpan w:val="17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评价组组长（签字）：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2" w:hRule="atLeast"/>
          <w:jc w:val="center"/>
        </w:trPr>
        <w:tc>
          <w:tcPr>
            <w:tcW w:w="9800" w:type="dxa"/>
            <w:gridSpan w:val="17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部门（单位）意见：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部门（单位）负责人（签章）：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94" w:hRule="atLeast"/>
          <w:jc w:val="center"/>
        </w:trPr>
        <w:tc>
          <w:tcPr>
            <w:tcW w:w="9800" w:type="dxa"/>
            <w:gridSpan w:val="17"/>
            <w:noWrap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财政部门归口业务科室负责人（签章）：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   年    月   日</w:t>
            </w:r>
          </w:p>
        </w:tc>
      </w:tr>
    </w:tbl>
    <w:p>
      <w:pPr>
        <w:rPr>
          <w:rFonts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  陈溢                 联系电话：13974066598</w:t>
      </w:r>
    </w:p>
    <w:tbl>
      <w:tblPr>
        <w:tblStyle w:val="4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558" w:type="dxa"/>
            <w:noWrap/>
          </w:tcPr>
          <w:p>
            <w:pPr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一、部门（单位）概况</w:t>
            </w:r>
          </w:p>
          <w:p>
            <w:pPr>
              <w:spacing w:line="560" w:lineRule="exact"/>
              <w:ind w:firstLine="640" w:firstLineChars="200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华容县田家湖生态新区管理委员会的组织架构设综合办、拆迁安置办、征地规建办、招商发展办、社会事务办、纪检监察室、党建办、安全监管办、民政扶贫办、卫生健康所、文明创建办、综治办、财政所、司法所、国土资源所，下辖管马鞍社区、田家湖社区、普圣堂社区和农科社区四个社区，面积10.6平方公里。  </w:t>
            </w:r>
          </w:p>
          <w:p>
            <w:pPr>
              <w:spacing w:line="560" w:lineRule="exact"/>
              <w:ind w:firstLine="560" w:firstLineChars="200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二、部门（单位）整体支出管理及使用情况</w:t>
            </w:r>
          </w:p>
          <w:p>
            <w:pPr>
              <w:tabs>
                <w:tab w:val="left" w:pos="3105"/>
              </w:tabs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（一）基本支出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ab/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2021年度财政拨款基本支出622.16万元，其中：人员经费480.29万元，主要包括：（基本工资、津贴补贴、奖金、社会保障缴费、伙食补助费、其他工资福利支出、离休费、退休费、生活补助、医疗费、住房公积金、其他对个人和家庭的补助支出等）；公用经费万元，主要包括：（办公费、印刷费、咨询费、电费、邮电费、差旅费、因公出国（境）费、维修（护）费、租赁费、会议费、培训费、公务接待费、劳务费、其他交通费用、其他商品和服务支出、办公设备购置、其他支出等。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“三公”经费支出情况：严格按照财政局下发文件标准执行，严格控制支出，比上年减少1万元，下降3.01%，增减变化的主要原因是：厉行节约，严格管控。公务用车购置及运行维护费完成0元，与上年无变化，原因是公车无。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（二）专项支出</w:t>
            </w:r>
            <w:bookmarkStart w:id="0" w:name="_GoBack"/>
            <w:bookmarkEnd w:id="0"/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1、专项资金安排落实、总投入等情况分析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2021年度专项资金安排支出1500.02万元，主要包括： 征地拆迁、创建、防疫工作  等，以上经费全部落实到位，用于我单位基本运转及相关专项工作实施。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2、专项资金实际使用情况分析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按照财务管理及专项使用有关规定，相关专项资金按照专项的使用范围，做到了不挪项、不挪用、不超预算使用专项经费，并按照"量入为出，量体裁衣、节约使用"的原则，做到有计划地使用各专项资金。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3、专项资金管理情况分析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我区财政专项资金逐年增加，为规避财政风险，提高财政专项资金使用效益，确保财政专项资金安全运行，对财政专项资金管理做法如下：坚持专项资金实行开票、经办、审核、审批、记账等职责严格分离;坚持支出先报批、后经办，经严格审核后，再审批付款，最后交会计人员制单、记账;坚持专项资金凭用款计划、项目进度及专户存款情况，审核拨付资金;坚持把好票据签章关，严格票据销号，对已开完的票据及时销号，防止票据丢失、挪用公款，严禁一人保管支付款项所需要的全部印章。</w:t>
            </w:r>
          </w:p>
          <w:p>
            <w:pPr>
              <w:spacing w:line="560" w:lineRule="exact"/>
              <w:ind w:firstLine="560" w:firstLineChars="200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三、部门（单位）专项组织实施情况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（一）专项组织情况分析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完善财务制度，规范经费管理；认真贯彻中央及省委相关规定，县委县政府厉行节约的精神，进一步规范我区财务管理，将财务管理更加细化具体，责任更加清晰明了。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严格执行预算，控制经费支出；相关专项资金严格按照预算执行，按照专项的使用范围，做到了不挪项、不挪用、不超预算使用专项经费，并按照"量入为出，量体裁衣、节约使用"的原则，做到有计划地使用各专项资金。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完善专项监管，建立长效机制。一是提高全局意识，提高经费使用效益，节约从一点一滴做起；二是加强三公经费的管理，严格控制三公经费总量，把好审核关，加强对招待费、租车费的管理；三是严格执行政府采购，建设项目及大型专项支出、设备购置，一律经党工委研究决定，并按政府采购规定程序实施。</w:t>
            </w:r>
          </w:p>
          <w:p>
            <w:pPr>
              <w:tabs>
                <w:tab w:val="left" w:pos="4200"/>
              </w:tabs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（二）专项管理情况分析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ab/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严格执行了专项的相关规定，我区专项资金的拨付和使用管理，严格按照上级有关部门规定执行，收支两条线，做到了专款专用。</w:t>
            </w:r>
          </w:p>
          <w:p>
            <w:pPr>
              <w:spacing w:line="560" w:lineRule="exact"/>
              <w:ind w:firstLine="560" w:firstLineChars="200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四、部门（单位）整体支出绩效情况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2021年，我区在县委、县政府的坚强领导下，坚持安全和质量“两条主线”，我区各项中心工作持续、稳步发展。我区坚决执行经费预算管理，确保预算不增长，支出不超预算。在厉行节约、反对铺张浪费等方面，采取了有力措施，并取得了明显成效。</w:t>
            </w:r>
          </w:p>
          <w:p>
            <w:pPr>
              <w:tabs>
                <w:tab w:val="left" w:pos="3810"/>
              </w:tabs>
              <w:spacing w:line="560" w:lineRule="exact"/>
              <w:ind w:firstLine="560" w:firstLineChars="200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五、存在的主要问题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ab/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对项目资金开支分类需要进一步科学化、规范化，费用开支和绩效产出测得结果不够准确，需要进一步量化。预算管理、绩效管理、资金管理需要加强。</w:t>
            </w:r>
          </w:p>
          <w:p>
            <w:pPr>
              <w:spacing w:line="560" w:lineRule="exact"/>
              <w:ind w:firstLine="560" w:firstLineChars="200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六、改进措施和有关建议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从预算项目入手，以往预算不够科学，是根据文件依据来预算，与实际工作有差别，希望财政部门设计有效预算方法。</w:t>
            </w:r>
          </w:p>
          <w:p>
            <w:pPr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华容县田家湖生态新区管理委员会</w:t>
            </w:r>
          </w:p>
          <w:p>
            <w:pPr>
              <w:spacing w:line="560" w:lineRule="exact"/>
              <w:ind w:firstLine="560" w:firstLineChars="200"/>
              <w:jc w:val="center"/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2022年10月13日</w:t>
            </w:r>
          </w:p>
        </w:tc>
      </w:tr>
    </w:tbl>
    <w:p>
      <w:r>
        <w:rPr>
          <w:rFonts w:eastAsia="楷体_GB2312"/>
          <w:bCs/>
          <w:sz w:val="28"/>
          <w:szCs w:val="28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4"/>
        <w:szCs w:val="24"/>
      </w:rPr>
    </w:pPr>
    <w:r>
      <w:rPr>
        <w:rStyle w:val="6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</w:rPr>
      <w:t>10</w:t>
    </w:r>
    <w:r>
      <w:rPr>
        <w:sz w:val="24"/>
        <w:szCs w:val="24"/>
      </w:rPr>
      <w:fldChar w:fldCharType="end"/>
    </w:r>
    <w:r>
      <w:rPr>
        <w:rStyle w:val="6"/>
        <w:rFonts w:hint="eastAsia"/>
        <w:sz w:val="24"/>
        <w:szCs w:val="24"/>
      </w:rPr>
      <w:t xml:space="preserve"> —</w:t>
    </w:r>
  </w:p>
  <w:p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>
      <w:t>- 15 -</w:t>
    </w:r>
    <w:r>
      <w:fldChar w:fldCharType="end"/>
    </w:r>
  </w:p>
  <w:p>
    <w:pPr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QzZjc5NTllMGFiYmY5NmVhMTllZTJlYTQ3YTVjMjgifQ=="/>
  </w:docVars>
  <w:rsids>
    <w:rsidRoot w:val="00C951C0"/>
    <w:rsid w:val="000A7332"/>
    <w:rsid w:val="00437018"/>
    <w:rsid w:val="004B08CE"/>
    <w:rsid w:val="00506A59"/>
    <w:rsid w:val="007B5AE3"/>
    <w:rsid w:val="008034A9"/>
    <w:rsid w:val="008A152B"/>
    <w:rsid w:val="00C0688D"/>
    <w:rsid w:val="00C2557D"/>
    <w:rsid w:val="00C951C0"/>
    <w:rsid w:val="00CE650D"/>
    <w:rsid w:val="00DE7A7B"/>
    <w:rsid w:val="00E1018A"/>
    <w:rsid w:val="00EB63C4"/>
    <w:rsid w:val="00F82F6D"/>
    <w:rsid w:val="00FB5B16"/>
    <w:rsid w:val="358F1458"/>
    <w:rsid w:val="48DB7A16"/>
    <w:rsid w:val="62D80C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9835C-8A11-48D5-8B88-35665B44B8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4261</Words>
  <Characters>4456</Characters>
  <Lines>37</Lines>
  <Paragraphs>10</Paragraphs>
  <TotalTime>66</TotalTime>
  <ScaleCrop>false</ScaleCrop>
  <LinksUpToDate>false</LinksUpToDate>
  <CharactersWithSpaces>4793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2022-10-13T06:17:00Z</dcterms:created>
  <dc:creator>gooo</dc:creator>
  <cp:lastModifiedBy>戴</cp:lastModifiedBy>
  <dcterms:modified xsi:type="dcterms:W3CDTF">2022-11-08T00:31:21Z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522AA44354554E178D721DB100DDF613</vt:lpwstr>
  </property>
</Properties>
</file>