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华容县自然资源局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70200</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13</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蔡 圆</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0730-4268528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283</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83"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依法履行全民所有土地、矿产、森林、草原、湿地、水等自然资源资产所有者职责和国有空间用途管制职责；2、负责自然资源调查监测评价；3、负责自然资源统一确权登记工作；4、负责自然资源资产有偿使用工作；5、负责自然资源的合理开发利用；6、负责建立国土空间规划体系并监督实施；7、负责统筹国土空间生态修复；8、负责组织实施最严格的耕地保护制度；9、负责管理地质勘查行业和全县地质工作；10、负责地质灾害预防和治理；11、负责矿产资源管理工作；12、推动自然资源领域科技发展；13、负责测绘地理信息管理工作；14、负责自然资源领域安全生产和应急管理工作；15、根据授权，对各乡镇人民政府、县工业集中区管理会、县田家湖生态新区管委会及相关部门落实县委、县政府关于自然资源、国土空间规划重大政策、决策部署及法规规章执行情况进行督察；16、统一领导和管理县林业局；17、完成县委、县政府交办的其他事项；18、职能转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任务1：耕地保护开发并重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任务2：要素保障能力不断增强</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任务3：项目建设成效显著</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：依法执法监察成效明显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：重点工作有序推进</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：矿山资源管理扎实有效</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：基础工作落实有力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03"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eastAsia="zh-CN"/>
              </w:rPr>
            </w:pP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实施</w:t>
            </w:r>
            <w:r>
              <w:rPr>
                <w:rFonts w:hint="eastAsia" w:ascii="仿宋_GB2312" w:hAnsi="仿宋_GB2312" w:eastAsia="仿宋_GB2312" w:cs="仿宋_GB2312"/>
                <w:color w:val="000000"/>
                <w:sz w:val="24"/>
              </w:rPr>
              <w:t>耕地指标挂钩的建设用地项目4个，合计补充耕地面积1019.99亩，补充耕地中水田面积852.84亩，补充产能139.28万公斤</w:t>
            </w:r>
            <w:r>
              <w:rPr>
                <w:rFonts w:hint="eastAsia" w:ascii="仿宋_GB2312" w:hAnsi="仿宋_GB2312" w:eastAsia="仿宋_GB2312" w:cs="仿宋_GB2312"/>
                <w:color w:val="000000"/>
                <w:sz w:val="24"/>
                <w:lang w:eastAsia="zh-CN"/>
              </w:rPr>
              <w:t>。</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交易补充耕地数量指标1600亩、水田规模指标4732.6265亩、粮食产能指标531万公斤，指标交易成交总金额4.08亿元</w:t>
            </w:r>
            <w:r>
              <w:rPr>
                <w:rFonts w:hint="eastAsia" w:ascii="仿宋_GB2312" w:hAnsi="仿宋_GB2312" w:eastAsia="仿宋_GB2312" w:cs="仿宋_GB2312"/>
                <w:color w:val="000000"/>
                <w:sz w:val="24"/>
                <w:lang w:eastAsia="zh-CN"/>
              </w:rPr>
              <w:t>。</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zh-CN"/>
              </w:rPr>
            </w:pPr>
            <w:r>
              <w:rPr>
                <w:rFonts w:hint="eastAsia" w:ascii="仿宋_GB2312" w:hAnsi="仿宋_GB2312" w:eastAsia="仿宋_GB2312" w:cs="仿宋_GB2312"/>
                <w:color w:val="000000"/>
                <w:sz w:val="24"/>
                <w:lang w:val="zh-CN"/>
              </w:rPr>
              <w:t>处置完成增存挂钩闲置土地25宗62.6689亩，处置率100%，全省排第1名。</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zh-CN" w:eastAsia="zh-CN"/>
              </w:rPr>
            </w:pPr>
            <w:r>
              <w:rPr>
                <w:rFonts w:hint="eastAsia" w:ascii="仿宋_GB2312" w:hAnsi="仿宋_GB2312" w:eastAsia="仿宋_GB2312" w:cs="仿宋_GB2312"/>
                <w:color w:val="000000"/>
                <w:sz w:val="24"/>
                <w:lang w:val="zh-CN"/>
              </w:rPr>
              <w:t>供应土地</w:t>
            </w:r>
            <w:r>
              <w:rPr>
                <w:rFonts w:hint="eastAsia" w:ascii="仿宋_GB2312" w:hAnsi="仿宋_GB2312" w:eastAsia="仿宋_GB2312" w:cs="仿宋_GB2312"/>
                <w:color w:val="000000"/>
                <w:sz w:val="24"/>
              </w:rPr>
              <w:t>90宗1363亩，收缴土地出让金24476.24万元。征收土地575.03亩，拆迁房屋18268.85平方米，支付各类补偿款19239.48万元。收储土地38宗2326.87亩，土地出库30.721亩。</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华容县长江经济带废弃露天矿山生态修复项目建设</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修复废弃露天矿山面积48.14万平方米。</w:t>
            </w:r>
          </w:p>
          <w:p>
            <w:pPr>
              <w:autoSpaceDN w:val="0"/>
              <w:spacing w:line="320" w:lineRule="exact"/>
              <w:jc w:val="left"/>
              <w:textAlignment w:val="center"/>
              <w:rPr>
                <w:rFonts w:hint="eastAsia" w:ascii="仿宋_GB2312" w:hAnsi="仿宋_GB2312" w:eastAsia="宋体"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7"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5755.09</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4122.27</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1632.82</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4452.92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2820.10</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1632.82</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华容县土地储备中心</w:t>
            </w:r>
          </w:p>
        </w:tc>
        <w:tc>
          <w:tcPr>
            <w:tcW w:w="1080" w:type="dxa"/>
            <w:tcBorders>
              <w:right w:val="single" w:color="auto" w:sz="4" w:space="0"/>
            </w:tcBorders>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132.56</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132.56</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3、华容县不动产登记中心</w:t>
            </w:r>
          </w:p>
        </w:tc>
        <w:tc>
          <w:tcPr>
            <w:tcW w:w="1080" w:type="dxa"/>
            <w:tcBorders>
              <w:right w:val="single" w:color="auto" w:sz="4" w:space="0"/>
            </w:tcBorders>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430.20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sz w:val="24"/>
                <w:lang w:val="en-US" w:eastAsia="zh-CN"/>
              </w:rPr>
              <w:t>430.20</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4、华容县国土资源执法监察大队</w:t>
            </w:r>
          </w:p>
        </w:tc>
        <w:tc>
          <w:tcPr>
            <w:tcW w:w="1080" w:type="dxa"/>
            <w:tcBorders>
              <w:right w:val="single" w:color="auto" w:sz="4" w:space="0"/>
            </w:tcBorders>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185.88</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sz w:val="24"/>
                <w:lang w:val="en-US" w:eastAsia="zh-CN"/>
              </w:rPr>
              <w:t>185.88</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5、</w:t>
            </w:r>
            <w:r>
              <w:rPr>
                <w:rFonts w:hint="eastAsia" w:ascii="仿宋_GB2312" w:hAnsi="仿宋_GB2312" w:eastAsia="仿宋_GB2312" w:cs="仿宋_GB2312"/>
                <w:sz w:val="24"/>
                <w:lang w:eastAsia="zh-CN"/>
              </w:rPr>
              <w:t>华容县土地综合整治中心</w:t>
            </w:r>
          </w:p>
        </w:tc>
        <w:tc>
          <w:tcPr>
            <w:tcW w:w="1080" w:type="dxa"/>
            <w:tcBorders>
              <w:right w:val="single" w:color="auto" w:sz="4" w:space="0"/>
            </w:tcBorders>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129.49</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sz w:val="24"/>
                <w:lang w:val="en-US" w:eastAsia="zh-CN"/>
              </w:rPr>
              <w:t>129.49</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6、华容县城乡规划执法大队</w:t>
            </w:r>
          </w:p>
        </w:tc>
        <w:tc>
          <w:tcPr>
            <w:tcW w:w="1080" w:type="dxa"/>
            <w:tcBorders>
              <w:right w:val="single" w:color="auto" w:sz="4" w:space="0"/>
            </w:tcBorders>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424.04</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424.04</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1"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9"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5755.09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3494.82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2929.73</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565.09</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2260.27</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4452.92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2192.65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1967.35</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225.30</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2260.27</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华容县土地储备中心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FF0000"/>
                <w:sz w:val="24"/>
                <w:lang w:val="en-US" w:eastAsia="zh-CN"/>
              </w:rPr>
            </w:pPr>
            <w:r>
              <w:rPr>
                <w:rFonts w:hint="eastAsia" w:ascii="仿宋_GB2312" w:hAnsi="仿宋_GB2312" w:eastAsia="仿宋_GB2312" w:cs="仿宋_GB2312"/>
                <w:sz w:val="24"/>
                <w:lang w:val="en-US" w:eastAsia="zh-CN"/>
              </w:rPr>
              <w:t>132.56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FF0000"/>
                <w:sz w:val="24"/>
                <w:lang w:val="en-US" w:eastAsia="zh-CN"/>
              </w:rPr>
            </w:pPr>
            <w:r>
              <w:rPr>
                <w:rFonts w:hint="eastAsia" w:ascii="仿宋_GB2312" w:hAnsi="仿宋_GB2312" w:eastAsia="仿宋_GB2312" w:cs="仿宋_GB2312"/>
                <w:sz w:val="24"/>
                <w:lang w:val="en-US" w:eastAsia="zh-CN"/>
              </w:rPr>
              <w:t>132.56</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121.48</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11.08</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FF0000"/>
                <w:kern w:val="2"/>
                <w:sz w:val="24"/>
                <w:szCs w:val="24"/>
                <w:lang w:val="en-US" w:eastAsia="zh-CN" w:bidi="ar-SA"/>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sz w:val="24"/>
              </w:rPr>
              <w:t>3、华容县不动产登记中心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sz w:val="24"/>
                <w:lang w:val="en-US" w:eastAsia="zh-CN"/>
              </w:rPr>
              <w:t>430.20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sz w:val="24"/>
                <w:lang w:val="en-US" w:eastAsia="zh-CN"/>
              </w:rPr>
              <w:t>430.20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365.34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64.86</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4、华容县国土资源执法监察大队</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FF0000"/>
                <w:sz w:val="24"/>
                <w:lang w:val="en-US" w:eastAsia="zh-CN"/>
              </w:rPr>
            </w:pPr>
            <w:r>
              <w:rPr>
                <w:rFonts w:hint="eastAsia" w:ascii="仿宋_GB2312" w:hAnsi="仿宋_GB2312" w:eastAsia="仿宋_GB2312" w:cs="仿宋_GB2312"/>
                <w:sz w:val="24"/>
                <w:lang w:val="en-US" w:eastAsia="zh-CN"/>
              </w:rPr>
              <w:t>185.88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FF0000"/>
                <w:sz w:val="24"/>
                <w:lang w:val="en-US" w:eastAsia="zh-CN"/>
              </w:rPr>
            </w:pPr>
            <w:r>
              <w:rPr>
                <w:rFonts w:hint="eastAsia" w:ascii="仿宋_GB2312" w:hAnsi="仿宋_GB2312" w:eastAsia="仿宋_GB2312" w:cs="仿宋_GB2312"/>
                <w:sz w:val="24"/>
                <w:lang w:val="en-US" w:eastAsia="zh-CN"/>
              </w:rPr>
              <w:t>185.88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90.78</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95.10</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FF0000"/>
                <w:sz w:val="24"/>
                <w:lang w:val="en-US" w:eastAsia="zh-CN"/>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5、</w:t>
            </w:r>
            <w:r>
              <w:rPr>
                <w:rFonts w:hint="eastAsia" w:ascii="仿宋_GB2312" w:hAnsi="仿宋_GB2312" w:eastAsia="仿宋_GB2312" w:cs="仿宋_GB2312"/>
                <w:sz w:val="24"/>
                <w:lang w:eastAsia="zh-CN"/>
              </w:rPr>
              <w:t>华容县土地综合整治中心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sz w:val="24"/>
                <w:lang w:val="en-US" w:eastAsia="zh-CN"/>
              </w:rPr>
              <w:t>129.49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sz w:val="24"/>
                <w:lang w:val="en-US" w:eastAsia="zh-CN"/>
              </w:rPr>
              <w:t>129.49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116.87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12.62</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6、华容县城乡规划执法大队</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424.04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424.04</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267.91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156.13</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3"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1"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9.70</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、华容县城乡规划执法大队</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1"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0"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2657.67</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2657.67</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9"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2457.81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2457.81</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华容县土地储备中心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3、华容县不动产登记中心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76.1</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4、华容县国土资源执法监察大队</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7.79</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5"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5、</w:t>
            </w:r>
            <w:r>
              <w:rPr>
                <w:rFonts w:hint="eastAsia" w:ascii="仿宋_GB2312" w:hAnsi="仿宋_GB2312" w:eastAsia="仿宋_GB2312" w:cs="仿宋_GB2312"/>
                <w:sz w:val="24"/>
                <w:lang w:eastAsia="zh-CN"/>
              </w:rPr>
              <w:t>华容县土地综合整治中心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4.61</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3"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6、华容县城乡规划执法大队</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102.2</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102.2</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目标1：切实加强土地管理和基本农田保护；</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目标2：规范矿产资源开发利用，加强自然资源生态修复工作；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目标3：推进国土空间规划编制工作，完成农村宅基地和集体建设用地房地一体确权登记发证工作；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保障县域经济发展用地需求，严厉打击违法用地、用矿行为，严格禁违拆违治违。</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0"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指标1：拆除存量违法建设，严控新增违法建设</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0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指标2：制定《湖南省华容县绿色矿山建设三年行动方案（2020-2022年）》</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指标1：受理各类自然资源违法行为13件，立案查处12件，受理化解信访事项7件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指标2：共拆除各类违法建设1380处71905㎡</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指标1：启动章华镇全域土地综合整治试点项目</w:t>
            </w:r>
            <w:r>
              <w:rPr>
                <w:rFonts w:hint="eastAsia" w:ascii="仿宋_GB2312" w:hAnsi="仿宋_GB2312" w:eastAsia="仿宋_GB2312" w:cs="仿宋_GB2312"/>
                <w:color w:val="000000"/>
                <w:sz w:val="24"/>
                <w:lang w:eastAsia="zh-CN"/>
              </w:rPr>
              <w:t>建设</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7"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启动</w:t>
            </w:r>
            <w:r>
              <w:rPr>
                <w:rFonts w:hint="eastAsia" w:ascii="仿宋_GB2312" w:hAnsi="仿宋_GB2312" w:eastAsia="仿宋_GB2312" w:cs="仿宋_GB2312"/>
                <w:color w:val="000000"/>
                <w:sz w:val="24"/>
              </w:rPr>
              <w:t>华容县储备补充耕地指标补录项目建设</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指标1：征收土地575.03亩，拆迁房屋18268.85平方米，支付各类补偿款19239.48万元</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zh-CN"/>
              </w:rPr>
              <w:t>加快推进“交房即交证”改革</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指标1：指标交易成交总金额4.08亿元</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03"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指标1：长江经济带废弃露天矿山生态修复项目建设</w:t>
            </w:r>
            <w:r>
              <w:rPr>
                <w:rFonts w:hint="eastAsia" w:ascii="仿宋_GB2312" w:hAnsi="仿宋_GB2312" w:eastAsia="仿宋_GB2312" w:cs="仿宋_GB2312"/>
                <w:color w:val="000000"/>
                <w:sz w:val="24"/>
                <w:lang w:eastAsia="zh-CN"/>
              </w:rPr>
              <w:t>完成</w:t>
            </w:r>
            <w:r>
              <w:rPr>
                <w:rFonts w:hint="eastAsia" w:ascii="仿宋_GB2312" w:hAnsi="仿宋_GB2312" w:eastAsia="仿宋_GB2312" w:cs="仿宋_GB2312"/>
                <w:color w:val="000000"/>
                <w:sz w:val="24"/>
              </w:rPr>
              <w:t>施工刹尾、财政评审终审及项目结算审计等工作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5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指标1：加强干部绩效考核，回访群众满意度98.6%</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肖</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雄</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分管局长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华容县自然资源局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符绍军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办公室主任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华容县自然资源局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严</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聪</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纪检监察室主任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华容县自然资源局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孙立华</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财务股长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华容县自然资源局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蔡圆</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15197066386</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widowControl/>
              <w:snapToGrid w:val="0"/>
              <w:spacing w:line="64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华容县自然资源局系财政全额预算拨款单位。20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年编制部门核实人员编制283人，实有人数为2</w:t>
            </w:r>
            <w:r>
              <w:rPr>
                <w:rFonts w:hint="eastAsia" w:ascii="仿宋_GB2312" w:hAnsi="仿宋_GB2312" w:eastAsia="仿宋_GB2312" w:cs="仿宋_GB2312"/>
                <w:bCs/>
                <w:sz w:val="28"/>
                <w:szCs w:val="28"/>
                <w:lang w:val="en-US" w:eastAsia="zh-CN"/>
              </w:rPr>
              <w:t>81</w:t>
            </w:r>
            <w:r>
              <w:rPr>
                <w:rFonts w:hint="eastAsia" w:ascii="仿宋_GB2312" w:hAnsi="仿宋_GB2312" w:eastAsia="仿宋_GB2312" w:cs="仿宋_GB2312"/>
                <w:bCs/>
                <w:sz w:val="28"/>
                <w:szCs w:val="28"/>
              </w:rPr>
              <w:t>人。内设办公室、政策法规股、财务股、人事股、行政审批办、综合业务管理股、自然资源开发利用股、自然资源调查监测股、自然资源确权登记股、国土空间规划股、国土空间用途管制股、城乡规划管理股、耕地保护股、测绘地理信息股、矿产资源管理股、地质灾害防治股、国土空间生态修复股、卫片办、党风廉政室、党建办、老干办、信访室、工会、国土资源执法监察大队、土地开发整理中心、土地收购储备中心、不动产登记中心、城乡规划执法大队、自然资源规划设计院、征地拆迁事务中心、自然资源和规划勘测中心、自然资源信息中心等23个股室和9个二级机构，乡镇设18个自然资源所。</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2021年部门整体支出规模为5755.09万元，其中基本支出3494.82万元，项目支出2260.27万元。</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2021年部门整体基本支出3494.82万元，其中工资福利支出2929.19万元、商品和服务支出564.15万元、对个人和家庭的补助支出0.54万元、资本性支出0.94万元。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2021年部门整体专项资金收入2260.27万元，全部安排落实到位。</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ilvl w:val="0"/>
                <w:numId w:val="0"/>
              </w:numPr>
              <w:spacing w:line="56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 xml:space="preserve">    2021年部门整体专项资金支出2260.27万元，其中城乡社区支出1632.82万元、自然资源海洋气象等支出551.78万元、粮油物资储备支出2万元、灾害防治及应急管理支出69.91万元、其他支出3.75万元，全年收支平衡。</w:t>
            </w:r>
          </w:p>
          <w:p>
            <w:pPr>
              <w:numPr>
                <w:ilvl w:val="0"/>
                <w:numId w:val="2"/>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专项资金实行专款专用，项目资金严格按照审批程序拨付，无弄虚作假、截留、拆借挤占等现象。</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专项由相应业务股室或部门负责组织实行。</w:t>
            </w:r>
          </w:p>
          <w:p>
            <w:pPr>
              <w:numPr>
                <w:ilvl w:val="0"/>
                <w:numId w:val="1"/>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专项管理实行专人专项管理。</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numPr>
                <w:ilvl w:val="0"/>
                <w:numId w:val="0"/>
              </w:num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lang w:val="en-US" w:eastAsia="zh-CN"/>
              </w:rPr>
              <w:t>考评组认为华容县自然资源局2021年整体支出，严格按照国家的相关财务管理制度规定，财务制度健全、会计核算规范，依照计划管理使用，自然资源局的整体支出对保障部门工作的正常运行、建设和维护、贯彻执行国家和省办方针、政策、法律法规，发挥了重要作用。按照部门整体支出绩效评价指标体系对照打分得出结果为95分，等级为优秀。</w:t>
            </w: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lang w:val="en-US" w:eastAsia="zh-CN"/>
              </w:rPr>
              <w:t>预算编制有待更严格执行。预算编制与实际支出项目有的存在差异。</w:t>
            </w: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一是按照预算规定的项目和用途严格财务审核，经费支出严格按预算规定项目的财务支出内容进行财务核算，在预算金额内严格控制费用的支出。</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二是严格控制“三公经费”支出，进一步细化“三公经费”管理，按财政三公经费要求严控 “三公经费”支出。</w:t>
            </w:r>
          </w:p>
          <w:p>
            <w:pPr>
              <w:numPr>
                <w:ilvl w:val="0"/>
                <w:numId w:val="0"/>
              </w:num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lang w:val="en-US" w:eastAsia="zh-CN"/>
              </w:rPr>
              <w:t>三是预算财务分析常态化，定期做好预算支出财务分析，做好部门整体支出预算评价工作。</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长江经济带废弃露天矿山生态修复项目工程</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lang w:eastAsia="zh-CN"/>
        </w:rPr>
        <w:t>浩天建工集团有限公司</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华容县自然资源局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w:t>
      </w:r>
      <w:r>
        <w:rPr>
          <w:rFonts w:hint="eastAsia" w:eastAsia="仿宋_GB2312"/>
          <w:sz w:val="32"/>
          <w:lang w:val="en-US" w:eastAsia="zh-CN"/>
        </w:rPr>
        <w:t>13</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290"/>
        <w:gridCol w:w="628"/>
        <w:gridCol w:w="414"/>
        <w:gridCol w:w="306"/>
        <w:gridCol w:w="562"/>
        <w:gridCol w:w="785"/>
        <w:gridCol w:w="830"/>
        <w:gridCol w:w="615"/>
        <w:gridCol w:w="1192"/>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3"/>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5"/>
            <w:noWrap w:val="0"/>
            <w:vAlign w:val="center"/>
          </w:tcPr>
          <w:p>
            <w:pPr>
              <w:rPr>
                <w:rFonts w:hint="default" w:eastAsia="仿宋_GB2312"/>
                <w:sz w:val="24"/>
                <w:lang w:val="en-US" w:eastAsia="zh-CN"/>
              </w:rPr>
            </w:pPr>
            <w:r>
              <w:rPr>
                <w:rFonts w:hint="eastAsia" w:eastAsia="仿宋_GB2312"/>
                <w:sz w:val="24"/>
                <w:lang w:val="en-US" w:eastAsia="zh-CN"/>
              </w:rPr>
              <w:t>甘静</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13787990900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5"/>
            <w:noWrap w:val="0"/>
            <w:vAlign w:val="center"/>
          </w:tcPr>
          <w:p>
            <w:pPr>
              <w:rPr>
                <w:rFonts w:hint="default" w:eastAsia="仿宋_GB2312"/>
                <w:sz w:val="24"/>
                <w:lang w:val="en-US" w:eastAsia="zh-CN"/>
              </w:rPr>
            </w:pPr>
            <w:r>
              <w:rPr>
                <w:rFonts w:hint="eastAsia" w:eastAsia="仿宋_GB2312"/>
                <w:sz w:val="24"/>
                <w:lang w:val="en-US" w:eastAsia="zh-CN"/>
              </w:rPr>
              <w:t>华容县东山镇塔市驿社区</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1"/>
            <w:noWrap w:val="0"/>
            <w:vAlign w:val="center"/>
          </w:tcPr>
          <w:p>
            <w:pPr>
              <w:ind w:firstLine="240" w:firstLineChars="100"/>
              <w:rPr>
                <w:rFonts w:hint="eastAsia" w:eastAsia="仿宋_GB2312"/>
                <w:sz w:val="24"/>
              </w:rPr>
            </w:pPr>
            <w:r>
              <w:rPr>
                <w:rFonts w:hint="eastAsia" w:eastAsia="仿宋_GB2312"/>
                <w:sz w:val="24"/>
                <w:lang w:val="en-US" w:eastAsia="zh-CN"/>
              </w:rPr>
              <w:t>2020</w:t>
            </w:r>
            <w:r>
              <w:rPr>
                <w:rFonts w:hint="eastAsia" w:eastAsia="仿宋_GB2312"/>
                <w:sz w:val="24"/>
              </w:rPr>
              <w:t xml:space="preserve">年 </w:t>
            </w:r>
            <w:r>
              <w:rPr>
                <w:rFonts w:hint="eastAsia" w:eastAsia="仿宋_GB2312"/>
                <w:sz w:val="24"/>
                <w:lang w:val="en-US" w:eastAsia="zh-CN"/>
              </w:rPr>
              <w:t>3</w:t>
            </w:r>
            <w:r>
              <w:rPr>
                <w:rFonts w:hint="eastAsia" w:eastAsia="仿宋_GB2312"/>
                <w:sz w:val="24"/>
              </w:rPr>
              <w:t xml:space="preserve"> 月起至 </w:t>
            </w:r>
            <w:r>
              <w:rPr>
                <w:rFonts w:hint="eastAsia" w:eastAsia="仿宋_GB2312"/>
                <w:sz w:val="24"/>
                <w:lang w:val="en-US" w:eastAsia="zh-CN"/>
              </w:rPr>
              <w:t>2020</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602" w:type="dxa"/>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5833</w:t>
            </w:r>
          </w:p>
        </w:tc>
        <w:tc>
          <w:tcPr>
            <w:tcW w:w="1918"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5747</w:t>
            </w:r>
          </w:p>
        </w:tc>
        <w:tc>
          <w:tcPr>
            <w:tcW w:w="2177"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615"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4135.255</w:t>
            </w:r>
          </w:p>
        </w:tc>
        <w:tc>
          <w:tcPr>
            <w:tcW w:w="1192"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1611.745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602" w:type="dxa"/>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2490</w:t>
            </w:r>
          </w:p>
        </w:tc>
        <w:tc>
          <w:tcPr>
            <w:tcW w:w="1918" w:type="dxa"/>
            <w:gridSpan w:val="2"/>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2490</w:t>
            </w:r>
          </w:p>
        </w:tc>
        <w:tc>
          <w:tcPr>
            <w:tcW w:w="2177"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15" w:type="dxa"/>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2490</w:t>
            </w:r>
          </w:p>
        </w:tc>
        <w:tc>
          <w:tcPr>
            <w:tcW w:w="1192"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02" w:type="dxa"/>
            <w:tcBorders>
              <w:bottom w:val="single" w:color="auto" w:sz="4" w:space="0"/>
            </w:tcBorders>
            <w:noWrap w:val="0"/>
            <w:vAlign w:val="center"/>
          </w:tcPr>
          <w:p>
            <w:pPr>
              <w:rPr>
                <w:rFonts w:hint="eastAsia" w:eastAsia="仿宋_GB2312"/>
                <w:sz w:val="24"/>
              </w:rPr>
            </w:pPr>
          </w:p>
        </w:tc>
        <w:tc>
          <w:tcPr>
            <w:tcW w:w="1918"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2177"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15" w:type="dxa"/>
            <w:tcBorders>
              <w:bottom w:val="single" w:color="auto" w:sz="4" w:space="0"/>
            </w:tcBorders>
            <w:noWrap w:val="0"/>
            <w:vAlign w:val="center"/>
          </w:tcPr>
          <w:p>
            <w:pPr>
              <w:rPr>
                <w:rFonts w:hint="eastAsia" w:eastAsia="仿宋_GB2312"/>
                <w:sz w:val="24"/>
              </w:rPr>
            </w:pPr>
          </w:p>
        </w:tc>
        <w:tc>
          <w:tcPr>
            <w:tcW w:w="1192"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02" w:type="dxa"/>
            <w:tcBorders>
              <w:bottom w:val="single" w:color="auto" w:sz="4" w:space="0"/>
            </w:tcBorders>
            <w:noWrap w:val="0"/>
            <w:vAlign w:val="center"/>
          </w:tcPr>
          <w:p>
            <w:pPr>
              <w:rPr>
                <w:rFonts w:hint="eastAsia" w:eastAsia="仿宋_GB2312"/>
                <w:sz w:val="24"/>
              </w:rPr>
            </w:pPr>
          </w:p>
        </w:tc>
        <w:tc>
          <w:tcPr>
            <w:tcW w:w="1918"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2177"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15" w:type="dxa"/>
            <w:tcBorders>
              <w:bottom w:val="single" w:color="auto" w:sz="4" w:space="0"/>
            </w:tcBorders>
            <w:noWrap w:val="0"/>
            <w:vAlign w:val="center"/>
          </w:tcPr>
          <w:p>
            <w:pPr>
              <w:rPr>
                <w:rFonts w:hint="eastAsia" w:eastAsia="仿宋_GB2312"/>
                <w:sz w:val="24"/>
              </w:rPr>
            </w:pPr>
          </w:p>
        </w:tc>
        <w:tc>
          <w:tcPr>
            <w:tcW w:w="1192"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02"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3343</w:t>
            </w:r>
          </w:p>
        </w:tc>
        <w:tc>
          <w:tcPr>
            <w:tcW w:w="1918"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3257</w:t>
            </w:r>
          </w:p>
        </w:tc>
        <w:tc>
          <w:tcPr>
            <w:tcW w:w="2177"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15"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1645.255</w:t>
            </w:r>
          </w:p>
        </w:tc>
        <w:tc>
          <w:tcPr>
            <w:tcW w:w="1192"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1611.745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02" w:type="dxa"/>
            <w:tcBorders>
              <w:bottom w:val="single" w:color="auto" w:sz="4" w:space="0"/>
            </w:tcBorders>
            <w:noWrap w:val="0"/>
            <w:vAlign w:val="center"/>
          </w:tcPr>
          <w:p>
            <w:pPr>
              <w:rPr>
                <w:rFonts w:hint="eastAsia" w:eastAsia="仿宋_GB2312"/>
                <w:sz w:val="24"/>
              </w:rPr>
            </w:pPr>
          </w:p>
        </w:tc>
        <w:tc>
          <w:tcPr>
            <w:tcW w:w="1918"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2177"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15" w:type="dxa"/>
            <w:tcBorders>
              <w:bottom w:val="single" w:color="auto" w:sz="4" w:space="0"/>
            </w:tcBorders>
            <w:noWrap w:val="0"/>
            <w:vAlign w:val="center"/>
          </w:tcPr>
          <w:p>
            <w:pPr>
              <w:rPr>
                <w:rFonts w:hint="eastAsia" w:eastAsia="仿宋_GB2312"/>
                <w:sz w:val="24"/>
              </w:rPr>
            </w:pPr>
          </w:p>
        </w:tc>
        <w:tc>
          <w:tcPr>
            <w:tcW w:w="1192"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3"/>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290" w:type="dxa"/>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rPr>
              <w:t>实际支出数</w:t>
            </w:r>
            <w:r>
              <w:rPr>
                <w:rFonts w:hint="eastAsia" w:eastAsia="仿宋_GB2312"/>
                <w:sz w:val="24"/>
                <w:lang w:eastAsia="zh-CN"/>
              </w:rPr>
              <w:t>（万元）</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2503"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工程款</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500</w:t>
            </w:r>
          </w:p>
        </w:tc>
        <w:tc>
          <w:tcPr>
            <w:tcW w:w="3525"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2020.8.14#</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工程监理费</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30</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2020.8.15#</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工程款</w:t>
            </w:r>
          </w:p>
        </w:tc>
        <w:tc>
          <w:tcPr>
            <w:tcW w:w="1290" w:type="dxa"/>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630</w:t>
            </w:r>
          </w:p>
        </w:tc>
        <w:tc>
          <w:tcPr>
            <w:tcW w:w="3525" w:type="dxa"/>
            <w:gridSpan w:val="6"/>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2020.10.29#</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调查和生态修复实施细则咨询服务费</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19.2</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2020.10.30#</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工程款</w:t>
            </w:r>
          </w:p>
        </w:tc>
        <w:tc>
          <w:tcPr>
            <w:tcW w:w="1290" w:type="dxa"/>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270</w:t>
            </w:r>
          </w:p>
        </w:tc>
        <w:tc>
          <w:tcPr>
            <w:tcW w:w="3525" w:type="dxa"/>
            <w:gridSpan w:val="6"/>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2020.11.12#</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临时占用林地森林植被恢复费</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41.271</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2020.12.17#</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测绘费</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10.83</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2020.12.18#</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测绘费</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3.71</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2020.12.19#</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工程款</w:t>
            </w:r>
          </w:p>
        </w:tc>
        <w:tc>
          <w:tcPr>
            <w:tcW w:w="1290" w:type="dxa"/>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300</w:t>
            </w:r>
          </w:p>
        </w:tc>
        <w:tc>
          <w:tcPr>
            <w:tcW w:w="3525" w:type="dxa"/>
            <w:gridSpan w:val="6"/>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2021.2.31#</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矿石采损资源量估算费用</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4.88</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2021.2.32#</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建设区内废弃建筑物拆除清运劳务费</w:t>
            </w:r>
          </w:p>
        </w:tc>
        <w:tc>
          <w:tcPr>
            <w:tcW w:w="1290" w:type="dxa"/>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2021.2.34#</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施工管理、资料指导等工作技术劳务费</w:t>
            </w:r>
          </w:p>
        </w:tc>
        <w:tc>
          <w:tcPr>
            <w:tcW w:w="1290" w:type="dxa"/>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4</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2021.2.35#</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工程款</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300</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2021.4.16#</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工程款</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490</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2021.8.9#</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工程监理费</w:t>
            </w:r>
          </w:p>
        </w:tc>
        <w:tc>
          <w:tcPr>
            <w:tcW w:w="1290" w:type="dxa"/>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5</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2021.8.10#</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竣工验收测绘技术服务费</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16.6</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2021.10.23#</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使用林地可行性报告编制服务费</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4.8</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2021.10.24#</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标示牌制作宣传费用</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4.684</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2021.10.25#</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eastAsia="zh-CN"/>
              </w:rPr>
              <w:t>工程款</w:t>
            </w:r>
            <w:r>
              <w:rPr>
                <w:rFonts w:hint="eastAsia" w:eastAsia="仿宋_GB2312"/>
                <w:sz w:val="24"/>
                <w:lang w:val="en-US" w:eastAsia="zh-CN"/>
              </w:rPr>
              <w:t xml:space="preserve"> </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41</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2021.11.8#</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工程款</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974</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2022.1.31#</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工程监理费</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28.9</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2022.1.32#</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印刷费</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1.58</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2022.1.33#</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工程款</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352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2022.3.15#</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工程款</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350</w:t>
            </w:r>
          </w:p>
        </w:tc>
        <w:tc>
          <w:tcPr>
            <w:tcW w:w="352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2022.4.14#</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环境影响评价报告编制费</w:t>
            </w:r>
          </w:p>
        </w:tc>
        <w:tc>
          <w:tcPr>
            <w:tcW w:w="129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2.8</w:t>
            </w:r>
          </w:p>
        </w:tc>
        <w:tc>
          <w:tcPr>
            <w:tcW w:w="352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2022.4.15#</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4" w:type="dxa"/>
            <w:gridSpan w:val="3"/>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290"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4135.255</w:t>
            </w:r>
          </w:p>
        </w:tc>
        <w:tc>
          <w:tcPr>
            <w:tcW w:w="3525" w:type="dxa"/>
            <w:gridSpan w:val="6"/>
            <w:tcBorders>
              <w:bottom w:val="single" w:color="auto" w:sz="4" w:space="0"/>
            </w:tcBorders>
            <w:noWrap w:val="0"/>
            <w:vAlign w:val="center"/>
          </w:tcPr>
          <w:p>
            <w:pPr>
              <w:jc w:val="center"/>
              <w:rPr>
                <w:rFonts w:hint="eastAsia" w:eastAsia="仿宋_GB2312"/>
                <w:b/>
                <w:sz w:val="24"/>
              </w:rPr>
            </w:pPr>
          </w:p>
        </w:tc>
        <w:tc>
          <w:tcPr>
            <w:tcW w:w="2503"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3"/>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606" w:type="dxa"/>
            <w:gridSpan w:val="9"/>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2503"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606" w:type="dxa"/>
            <w:gridSpan w:val="9"/>
            <w:tcBorders>
              <w:bottom w:val="single" w:color="auto" w:sz="4" w:space="0"/>
            </w:tcBorders>
            <w:noWrap w:val="0"/>
            <w:vAlign w:val="center"/>
          </w:tcPr>
          <w:p>
            <w:pPr>
              <w:jc w:val="center"/>
              <w:rPr>
                <w:rFonts w:hint="default" w:eastAsia="仿宋_GB2312"/>
                <w:b/>
                <w:sz w:val="24"/>
                <w:lang w:val="en-US"/>
              </w:rPr>
            </w:pPr>
            <w:r>
              <w:rPr>
                <w:rFonts w:hint="eastAsia"/>
                <w:sz w:val="24"/>
                <w:szCs w:val="24"/>
                <w:lang w:eastAsia="zh-CN"/>
              </w:rPr>
              <w:t>根据湖南省自然资源厅办公室</w:t>
            </w:r>
            <w:r>
              <w:rPr>
                <w:rFonts w:hint="eastAsia"/>
                <w:sz w:val="24"/>
                <w:szCs w:val="24"/>
                <w:lang w:val="en-US" w:eastAsia="zh-CN"/>
              </w:rPr>
              <w:t>文件《关于开展我省长江经济带废弃露天矿山生态修复项工作的通知</w:t>
            </w:r>
            <w:r>
              <w:rPr>
                <w:rFonts w:hint="eastAsia"/>
                <w:sz w:val="24"/>
                <w:szCs w:val="24"/>
                <w:lang w:eastAsia="zh-CN"/>
              </w:rPr>
              <w:t>》（</w:t>
            </w:r>
            <w:r>
              <w:rPr>
                <w:rFonts w:hint="eastAsia"/>
                <w:sz w:val="24"/>
                <w:szCs w:val="24"/>
                <w:lang w:val="en-US" w:eastAsia="zh-CN"/>
              </w:rPr>
              <w:t>湘自然资源办发【2019】69号）及《湖南省长江经济带废弃露天矿山生态修复项目验收细则》等</w:t>
            </w:r>
            <w:r>
              <w:rPr>
                <w:rFonts w:hint="eastAsia"/>
                <w:sz w:val="24"/>
                <w:szCs w:val="24"/>
                <w:lang w:eastAsia="zh-CN"/>
              </w:rPr>
              <w:t>文件要求完成项目事项。</w:t>
            </w:r>
          </w:p>
        </w:tc>
        <w:tc>
          <w:tcPr>
            <w:tcW w:w="2503" w:type="dxa"/>
            <w:gridSpan w:val="3"/>
            <w:tcBorders>
              <w:bottom w:val="single" w:color="auto" w:sz="4" w:space="0"/>
            </w:tcBorders>
            <w:noWrap w:val="0"/>
            <w:vAlign w:val="center"/>
          </w:tcPr>
          <w:p>
            <w:pPr>
              <w:spacing w:line="400" w:lineRule="exact"/>
              <w:jc w:val="center"/>
              <w:rPr>
                <w:rFonts w:hint="default" w:eastAsia="仿宋_GB2312"/>
                <w:b/>
                <w:sz w:val="24"/>
                <w:lang w:val="en-US" w:eastAsia="zh-CN"/>
              </w:rPr>
            </w:pPr>
            <w:r>
              <w:rPr>
                <w:rFonts w:hint="eastAsia" w:eastAsia="仿宋_GB2312"/>
                <w:b/>
                <w:sz w:val="24"/>
                <w:lang w:val="en-US" w:eastAsia="zh-CN"/>
              </w:rPr>
              <w:t>已完成县级整改自检，通过市局整改验收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791" w:type="dxa"/>
            <w:gridSpan w:val="2"/>
            <w:noWrap w:val="0"/>
            <w:vAlign w:val="center"/>
          </w:tcPr>
          <w:p>
            <w:pPr>
              <w:jc w:val="center"/>
              <w:rPr>
                <w:rFonts w:hint="eastAsia" w:eastAsia="仿宋_GB2312"/>
                <w:sz w:val="24"/>
              </w:rPr>
            </w:pPr>
            <w:r>
              <w:rPr>
                <w:rFonts w:hint="eastAsia" w:eastAsia="仿宋_GB2312"/>
                <w:sz w:val="24"/>
              </w:rPr>
              <w:t>一级指标</w:t>
            </w:r>
          </w:p>
        </w:tc>
        <w:tc>
          <w:tcPr>
            <w:tcW w:w="129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91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615"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503"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jc w:val="center"/>
        </w:trPr>
        <w:tc>
          <w:tcPr>
            <w:tcW w:w="1473" w:type="dxa"/>
            <w:vMerge w:val="continue"/>
            <w:noWrap w:val="0"/>
            <w:vAlign w:val="center"/>
          </w:tcPr>
          <w:p>
            <w:pPr>
              <w:jc w:val="center"/>
              <w:rPr>
                <w:rFonts w:hint="eastAsia" w:eastAsia="仿宋_GB2312"/>
                <w:sz w:val="24"/>
              </w:rPr>
            </w:pPr>
          </w:p>
        </w:tc>
        <w:tc>
          <w:tcPr>
            <w:tcW w:w="791" w:type="dxa"/>
            <w:gridSpan w:val="2"/>
            <w:vMerge w:val="restart"/>
            <w:noWrap w:val="0"/>
            <w:vAlign w:val="center"/>
          </w:tcPr>
          <w:p>
            <w:pPr>
              <w:jc w:val="center"/>
              <w:rPr>
                <w:rFonts w:hint="eastAsia" w:eastAsia="仿宋_GB2312"/>
                <w:sz w:val="24"/>
              </w:rPr>
            </w:pPr>
            <w:r>
              <w:rPr>
                <w:rFonts w:hint="eastAsia" w:eastAsia="仿宋_GB2312"/>
                <w:sz w:val="24"/>
              </w:rPr>
              <w:t>项目产出指标</w:t>
            </w:r>
          </w:p>
        </w:tc>
        <w:tc>
          <w:tcPr>
            <w:tcW w:w="1290" w:type="dxa"/>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910" w:type="dxa"/>
            <w:gridSpan w:val="4"/>
            <w:noWrap w:val="0"/>
            <w:vAlign w:val="center"/>
          </w:tcPr>
          <w:p>
            <w:pPr>
              <w:spacing w:line="360" w:lineRule="exact"/>
              <w:jc w:val="center"/>
              <w:rPr>
                <w:rFonts w:hint="eastAsia" w:ascii="Times New Roman" w:hAnsi="Times New Roman" w:eastAsia="宋体" w:cs="Times New Roman"/>
                <w:kern w:val="2"/>
                <w:sz w:val="21"/>
                <w:szCs w:val="21"/>
                <w:lang w:val="en-US" w:eastAsia="zh-CN" w:bidi="ar-SA"/>
              </w:rPr>
            </w:pPr>
            <w:r>
              <w:rPr>
                <w:rFonts w:hint="eastAsia"/>
                <w:sz w:val="21"/>
                <w:szCs w:val="21"/>
              </w:rPr>
              <w:t>建设任务完成率</w:t>
            </w:r>
          </w:p>
        </w:tc>
        <w:tc>
          <w:tcPr>
            <w:tcW w:w="1615" w:type="dxa"/>
            <w:gridSpan w:val="2"/>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2503"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1473" w:type="dxa"/>
            <w:vMerge w:val="continue"/>
            <w:noWrap w:val="0"/>
            <w:vAlign w:val="center"/>
          </w:tcPr>
          <w:p>
            <w:pPr>
              <w:jc w:val="center"/>
              <w:rPr>
                <w:rFonts w:hint="eastAsia" w:eastAsia="仿宋_GB2312"/>
                <w:sz w:val="24"/>
              </w:rPr>
            </w:pPr>
          </w:p>
        </w:tc>
        <w:tc>
          <w:tcPr>
            <w:tcW w:w="791" w:type="dxa"/>
            <w:gridSpan w:val="2"/>
            <w:vMerge w:val="continue"/>
            <w:noWrap w:val="0"/>
            <w:vAlign w:val="center"/>
          </w:tcPr>
          <w:p>
            <w:pPr>
              <w:jc w:val="center"/>
              <w:rPr>
                <w:rFonts w:hint="eastAsia" w:eastAsia="仿宋_GB2312"/>
                <w:sz w:val="24"/>
              </w:rPr>
            </w:pPr>
          </w:p>
        </w:tc>
        <w:tc>
          <w:tcPr>
            <w:tcW w:w="1290" w:type="dxa"/>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910" w:type="dxa"/>
            <w:gridSpan w:val="4"/>
            <w:tcBorders>
              <w:bottom w:val="single" w:color="auto" w:sz="4" w:space="0"/>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 w:val="21"/>
                <w:szCs w:val="21"/>
              </w:rPr>
              <w:t>工程质量等级</w:t>
            </w:r>
          </w:p>
        </w:tc>
        <w:tc>
          <w:tcPr>
            <w:tcW w:w="1615" w:type="dxa"/>
            <w:gridSpan w:val="2"/>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合格</w:t>
            </w:r>
          </w:p>
        </w:tc>
        <w:tc>
          <w:tcPr>
            <w:tcW w:w="2503" w:type="dxa"/>
            <w:gridSpan w:val="3"/>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1473" w:type="dxa"/>
            <w:vMerge w:val="continue"/>
            <w:noWrap w:val="0"/>
            <w:vAlign w:val="center"/>
          </w:tcPr>
          <w:p>
            <w:pPr>
              <w:jc w:val="center"/>
              <w:rPr>
                <w:rFonts w:hint="eastAsia" w:eastAsia="仿宋_GB2312"/>
                <w:sz w:val="24"/>
              </w:rPr>
            </w:pPr>
          </w:p>
        </w:tc>
        <w:tc>
          <w:tcPr>
            <w:tcW w:w="791" w:type="dxa"/>
            <w:gridSpan w:val="2"/>
            <w:vMerge w:val="continue"/>
            <w:noWrap w:val="0"/>
            <w:vAlign w:val="center"/>
          </w:tcPr>
          <w:p>
            <w:pPr>
              <w:jc w:val="center"/>
              <w:rPr>
                <w:rFonts w:hint="eastAsia" w:eastAsia="仿宋_GB2312"/>
                <w:sz w:val="24"/>
              </w:rPr>
            </w:pPr>
          </w:p>
        </w:tc>
        <w:tc>
          <w:tcPr>
            <w:tcW w:w="1290" w:type="dxa"/>
            <w:vMerge w:val="continue"/>
            <w:noWrap w:val="0"/>
            <w:vAlign w:val="center"/>
          </w:tcPr>
          <w:p>
            <w:pPr>
              <w:spacing w:line="360" w:lineRule="exact"/>
              <w:jc w:val="center"/>
              <w:rPr>
                <w:rFonts w:hint="eastAsia" w:eastAsia="仿宋_GB2312"/>
                <w:sz w:val="24"/>
              </w:rPr>
            </w:pPr>
          </w:p>
        </w:tc>
        <w:tc>
          <w:tcPr>
            <w:tcW w:w="1910" w:type="dxa"/>
            <w:gridSpan w:val="4"/>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1"/>
                <w:szCs w:val="21"/>
                <w:lang w:val="en-US" w:eastAsia="zh-CN" w:bidi="ar-SA"/>
              </w:rPr>
            </w:pPr>
            <w:r>
              <w:rPr>
                <w:rFonts w:hint="eastAsia"/>
                <w:sz w:val="21"/>
                <w:szCs w:val="21"/>
              </w:rPr>
              <w:t>项目验收情况</w:t>
            </w:r>
          </w:p>
        </w:tc>
        <w:tc>
          <w:tcPr>
            <w:tcW w:w="1615" w:type="dxa"/>
            <w:gridSpan w:val="2"/>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已通过县级整改自检</w:t>
            </w:r>
          </w:p>
        </w:tc>
        <w:tc>
          <w:tcPr>
            <w:tcW w:w="2503" w:type="dxa"/>
            <w:gridSpan w:val="3"/>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申请市局整改验收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jc w:val="center"/>
        </w:trPr>
        <w:tc>
          <w:tcPr>
            <w:tcW w:w="1473" w:type="dxa"/>
            <w:vMerge w:val="continue"/>
            <w:noWrap w:val="0"/>
            <w:vAlign w:val="center"/>
          </w:tcPr>
          <w:p>
            <w:pPr>
              <w:jc w:val="center"/>
              <w:rPr>
                <w:rFonts w:hint="eastAsia" w:eastAsia="仿宋_GB2312"/>
                <w:sz w:val="24"/>
              </w:rPr>
            </w:pPr>
          </w:p>
        </w:tc>
        <w:tc>
          <w:tcPr>
            <w:tcW w:w="791" w:type="dxa"/>
            <w:gridSpan w:val="2"/>
            <w:vMerge w:val="continue"/>
            <w:noWrap w:val="0"/>
            <w:vAlign w:val="center"/>
          </w:tcPr>
          <w:p>
            <w:pPr>
              <w:jc w:val="center"/>
              <w:rPr>
                <w:rFonts w:hint="eastAsia" w:eastAsia="仿宋_GB2312"/>
                <w:sz w:val="24"/>
              </w:rPr>
            </w:pPr>
          </w:p>
        </w:tc>
        <w:tc>
          <w:tcPr>
            <w:tcW w:w="1290" w:type="dxa"/>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910" w:type="dxa"/>
            <w:gridSpan w:val="4"/>
            <w:tcBorders>
              <w:bottom w:val="single" w:color="auto" w:sz="4" w:space="0"/>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 w:val="21"/>
                <w:szCs w:val="21"/>
              </w:rPr>
              <w:t>项目完成进度</w:t>
            </w:r>
          </w:p>
        </w:tc>
        <w:tc>
          <w:tcPr>
            <w:tcW w:w="1615" w:type="dxa"/>
            <w:gridSpan w:val="2"/>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c>
          <w:tcPr>
            <w:tcW w:w="2503" w:type="dxa"/>
            <w:gridSpan w:val="3"/>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1473" w:type="dxa"/>
            <w:vMerge w:val="continue"/>
            <w:noWrap w:val="0"/>
            <w:vAlign w:val="center"/>
          </w:tcPr>
          <w:p>
            <w:pPr>
              <w:jc w:val="center"/>
              <w:rPr>
                <w:rFonts w:hint="eastAsia" w:eastAsia="仿宋_GB2312"/>
                <w:sz w:val="24"/>
              </w:rPr>
            </w:pPr>
          </w:p>
        </w:tc>
        <w:tc>
          <w:tcPr>
            <w:tcW w:w="791" w:type="dxa"/>
            <w:gridSpan w:val="2"/>
            <w:vMerge w:val="continue"/>
            <w:noWrap w:val="0"/>
            <w:vAlign w:val="center"/>
          </w:tcPr>
          <w:p>
            <w:pPr>
              <w:jc w:val="center"/>
              <w:rPr>
                <w:rFonts w:hint="eastAsia" w:eastAsia="仿宋_GB2312"/>
                <w:sz w:val="24"/>
              </w:rPr>
            </w:pPr>
          </w:p>
        </w:tc>
        <w:tc>
          <w:tcPr>
            <w:tcW w:w="1290" w:type="dxa"/>
            <w:vMerge w:val="continue"/>
            <w:noWrap w:val="0"/>
            <w:vAlign w:val="center"/>
          </w:tcPr>
          <w:p>
            <w:pPr>
              <w:spacing w:line="360" w:lineRule="exact"/>
              <w:jc w:val="center"/>
              <w:rPr>
                <w:rFonts w:hint="eastAsia" w:eastAsia="仿宋_GB2312"/>
                <w:sz w:val="24"/>
              </w:rPr>
            </w:pPr>
          </w:p>
        </w:tc>
        <w:tc>
          <w:tcPr>
            <w:tcW w:w="1910" w:type="dxa"/>
            <w:gridSpan w:val="4"/>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1"/>
                <w:szCs w:val="21"/>
                <w:lang w:val="en-US" w:eastAsia="zh-CN" w:bidi="ar-SA"/>
              </w:rPr>
            </w:pPr>
            <w:r>
              <w:rPr>
                <w:rFonts w:hint="eastAsia"/>
                <w:sz w:val="21"/>
                <w:szCs w:val="21"/>
              </w:rPr>
              <w:t>质量问题整改</w:t>
            </w:r>
          </w:p>
        </w:tc>
        <w:tc>
          <w:tcPr>
            <w:tcW w:w="1615" w:type="dxa"/>
            <w:gridSpan w:val="2"/>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已整改完成</w:t>
            </w:r>
          </w:p>
        </w:tc>
        <w:tc>
          <w:tcPr>
            <w:tcW w:w="2503"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已整改完成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jc w:val="center"/>
        </w:trPr>
        <w:tc>
          <w:tcPr>
            <w:tcW w:w="1473" w:type="dxa"/>
            <w:vMerge w:val="continue"/>
            <w:noWrap w:val="0"/>
            <w:vAlign w:val="center"/>
          </w:tcPr>
          <w:p>
            <w:pPr>
              <w:jc w:val="center"/>
              <w:rPr>
                <w:rFonts w:hint="eastAsia" w:eastAsia="仿宋_GB2312"/>
                <w:sz w:val="24"/>
              </w:rPr>
            </w:pPr>
          </w:p>
        </w:tc>
        <w:tc>
          <w:tcPr>
            <w:tcW w:w="791" w:type="dxa"/>
            <w:gridSpan w:val="2"/>
            <w:vMerge w:val="continue"/>
            <w:noWrap w:val="0"/>
            <w:vAlign w:val="center"/>
          </w:tcPr>
          <w:p>
            <w:pPr>
              <w:jc w:val="center"/>
              <w:rPr>
                <w:rFonts w:hint="eastAsia" w:eastAsia="仿宋_GB2312"/>
                <w:sz w:val="24"/>
              </w:rPr>
            </w:pPr>
          </w:p>
        </w:tc>
        <w:tc>
          <w:tcPr>
            <w:tcW w:w="1290" w:type="dxa"/>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910" w:type="dxa"/>
            <w:gridSpan w:val="4"/>
            <w:noWrap w:val="0"/>
            <w:vAlign w:val="center"/>
          </w:tcPr>
          <w:p>
            <w:pPr>
              <w:spacing w:line="360" w:lineRule="exact"/>
              <w:jc w:val="center"/>
              <w:rPr>
                <w:rFonts w:hint="eastAsia" w:eastAsia="仿宋_GB2312"/>
                <w:sz w:val="24"/>
              </w:rPr>
            </w:pPr>
            <w:r>
              <w:rPr>
                <w:rFonts w:hint="eastAsia"/>
                <w:sz w:val="21"/>
                <w:szCs w:val="21"/>
              </w:rPr>
              <w:t>项目投资金额</w:t>
            </w:r>
          </w:p>
        </w:tc>
        <w:tc>
          <w:tcPr>
            <w:tcW w:w="1615" w:type="dxa"/>
            <w:gridSpan w:val="2"/>
            <w:noWrap w:val="0"/>
            <w:vAlign w:val="center"/>
          </w:tcPr>
          <w:p>
            <w:pPr>
              <w:jc w:val="center"/>
              <w:rPr>
                <w:rFonts w:hint="eastAsia" w:eastAsia="仿宋_GB2312"/>
                <w:sz w:val="24"/>
              </w:rPr>
            </w:pPr>
            <w:r>
              <w:rPr>
                <w:rFonts w:hint="eastAsia" w:eastAsia="仿宋_GB2312"/>
                <w:sz w:val="24"/>
                <w:lang w:val="en-US" w:eastAsia="zh-CN"/>
              </w:rPr>
              <w:t>5833.251万元民</w:t>
            </w:r>
          </w:p>
        </w:tc>
        <w:tc>
          <w:tcPr>
            <w:tcW w:w="2503"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noWrap w:val="0"/>
            <w:vAlign w:val="center"/>
          </w:tcPr>
          <w:p>
            <w:pPr>
              <w:jc w:val="center"/>
              <w:rPr>
                <w:rFonts w:hint="eastAsia" w:eastAsia="仿宋_GB2312"/>
                <w:sz w:val="24"/>
              </w:rPr>
            </w:pPr>
          </w:p>
        </w:tc>
        <w:tc>
          <w:tcPr>
            <w:tcW w:w="791" w:type="dxa"/>
            <w:gridSpan w:val="2"/>
            <w:vMerge w:val="restart"/>
            <w:noWrap w:val="0"/>
            <w:vAlign w:val="center"/>
          </w:tcPr>
          <w:p>
            <w:pPr>
              <w:jc w:val="center"/>
              <w:rPr>
                <w:rFonts w:hint="eastAsia" w:eastAsia="仿宋_GB2312"/>
                <w:sz w:val="24"/>
              </w:rPr>
            </w:pPr>
            <w:r>
              <w:rPr>
                <w:rFonts w:hint="eastAsia" w:eastAsia="仿宋_GB2312"/>
                <w:sz w:val="24"/>
              </w:rPr>
              <w:t>项目效益指标</w:t>
            </w:r>
          </w:p>
        </w:tc>
        <w:tc>
          <w:tcPr>
            <w:tcW w:w="1290" w:type="dxa"/>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910" w:type="dxa"/>
            <w:gridSpan w:val="4"/>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完成部分耕地修复</w:t>
            </w:r>
          </w:p>
        </w:tc>
        <w:tc>
          <w:tcPr>
            <w:tcW w:w="1615" w:type="dxa"/>
            <w:gridSpan w:val="2"/>
            <w:noWrap w:val="0"/>
            <w:vAlign w:val="center"/>
          </w:tcPr>
          <w:p>
            <w:pPr>
              <w:jc w:val="center"/>
              <w:rPr>
                <w:rFonts w:hint="default" w:eastAsia="仿宋_GB2312"/>
                <w:sz w:val="24"/>
                <w:lang w:val="en-US" w:eastAsia="zh-CN"/>
              </w:rPr>
            </w:pPr>
            <w:r>
              <w:rPr>
                <w:rFonts w:hint="eastAsia" w:eastAsia="仿宋_GB2312"/>
                <w:sz w:val="24"/>
                <w:lang w:eastAsia="zh-CN"/>
              </w:rPr>
              <w:t>3</w:t>
            </w:r>
            <w:r>
              <w:rPr>
                <w:rFonts w:hint="eastAsia" w:eastAsia="仿宋_GB2312"/>
                <w:sz w:val="24"/>
                <w:lang w:val="en-US" w:eastAsia="zh-CN"/>
              </w:rPr>
              <w:t>公顷</w:t>
            </w:r>
          </w:p>
        </w:tc>
        <w:tc>
          <w:tcPr>
            <w:tcW w:w="2503"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3.1颂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473" w:type="dxa"/>
            <w:vMerge w:val="continue"/>
            <w:noWrap w:val="0"/>
            <w:vAlign w:val="center"/>
          </w:tcPr>
          <w:p>
            <w:pPr>
              <w:jc w:val="center"/>
              <w:rPr>
                <w:rFonts w:hint="eastAsia" w:eastAsia="仿宋_GB2312"/>
                <w:sz w:val="24"/>
              </w:rPr>
            </w:pPr>
          </w:p>
        </w:tc>
        <w:tc>
          <w:tcPr>
            <w:tcW w:w="791" w:type="dxa"/>
            <w:gridSpan w:val="2"/>
            <w:vMerge w:val="continue"/>
            <w:noWrap w:val="0"/>
            <w:vAlign w:val="center"/>
          </w:tcPr>
          <w:p>
            <w:pPr>
              <w:jc w:val="center"/>
              <w:rPr>
                <w:rFonts w:hint="eastAsia" w:eastAsia="仿宋_GB2312"/>
                <w:sz w:val="24"/>
              </w:rPr>
            </w:pPr>
          </w:p>
        </w:tc>
        <w:tc>
          <w:tcPr>
            <w:tcW w:w="1290" w:type="dxa"/>
            <w:noWrap w:val="0"/>
            <w:vAlign w:val="center"/>
          </w:tcPr>
          <w:p>
            <w:pPr>
              <w:spacing w:line="360" w:lineRule="exact"/>
              <w:jc w:val="center"/>
              <w:rPr>
                <w:rFonts w:hint="eastAsia" w:eastAsia="仿宋_GB2312"/>
                <w:sz w:val="24"/>
              </w:rPr>
            </w:pPr>
            <w:r>
              <w:rPr>
                <w:rFonts w:hint="eastAsia" w:eastAsia="仿宋_GB2312"/>
                <w:sz w:val="24"/>
              </w:rPr>
              <w:t>社会益</w:t>
            </w:r>
          </w:p>
          <w:p>
            <w:pPr>
              <w:spacing w:line="360" w:lineRule="exact"/>
              <w:jc w:val="center"/>
              <w:rPr>
                <w:rFonts w:hint="eastAsia" w:eastAsia="仿宋_GB2312"/>
                <w:sz w:val="24"/>
              </w:rPr>
            </w:pPr>
            <w:r>
              <w:rPr>
                <w:rFonts w:hint="eastAsia" w:eastAsia="仿宋_GB2312"/>
                <w:sz w:val="24"/>
              </w:rPr>
              <w:t>指标</w:t>
            </w:r>
          </w:p>
        </w:tc>
        <w:tc>
          <w:tcPr>
            <w:tcW w:w="1910" w:type="dxa"/>
            <w:gridSpan w:val="4"/>
            <w:noWrap w:val="0"/>
            <w:vAlign w:val="center"/>
          </w:tcPr>
          <w:p>
            <w:pPr>
              <w:spacing w:line="360" w:lineRule="exact"/>
              <w:jc w:val="center"/>
              <w:rPr>
                <w:rFonts w:hint="default" w:ascii="仿宋_GB2312" w:hAnsi="仿宋_GB2312" w:eastAsia="仿宋_GB2312" w:cs="Times New Roman"/>
                <w:lang w:val="en-US" w:eastAsia="zh-CN"/>
              </w:rPr>
            </w:pPr>
            <w:r>
              <w:rPr>
                <w:rFonts w:hint="eastAsia" w:ascii="仿宋_GB2312" w:hAnsi="仿宋_GB2312" w:eastAsia="仿宋_GB2312" w:cs="Times New Roman"/>
                <w:lang w:val="en-US" w:eastAsia="zh-CN"/>
              </w:rPr>
              <w:t>完成79.68公顷</w:t>
            </w:r>
            <w:r>
              <w:rPr>
                <w:rFonts w:hint="eastAsia" w:ascii="仿宋_GB2312" w:hAnsi="仿宋_GB2312" w:eastAsia="仿宋_GB2312" w:cs="仿宋_GB2312"/>
                <w:color w:val="010302"/>
                <w:sz w:val="24"/>
                <w:szCs w:val="24"/>
                <w:lang w:val="en-US" w:eastAsia="zh-CN"/>
              </w:rPr>
              <w:t xml:space="preserve"> </w:t>
            </w:r>
            <w:r>
              <w:rPr>
                <w:rFonts w:hint="eastAsia" w:ascii="仿宋_GB2312" w:hAnsi="仿宋_GB2312" w:eastAsia="仿宋_GB2312" w:cs="Times New Roman"/>
              </w:rPr>
              <w:t>废弃矿山</w:t>
            </w:r>
            <w:r>
              <w:rPr>
                <w:rFonts w:hint="eastAsia" w:ascii="仿宋_GB2312" w:hAnsi="仿宋_GB2312" w:eastAsia="仿宋_GB2312" w:cs="Times New Roman"/>
                <w:lang w:val="en-US" w:eastAsia="zh-CN"/>
              </w:rPr>
              <w:t>修复任务</w:t>
            </w:r>
          </w:p>
        </w:tc>
        <w:tc>
          <w:tcPr>
            <w:tcW w:w="1615" w:type="dxa"/>
            <w:gridSpan w:val="2"/>
            <w:tcBorders>
              <w:bottom w:val="single" w:color="auto" w:sz="4" w:space="0"/>
            </w:tcBorders>
            <w:noWrap w:val="0"/>
            <w:vAlign w:val="center"/>
          </w:tcPr>
          <w:p>
            <w:pPr>
              <w:spacing w:line="360" w:lineRule="exact"/>
              <w:jc w:val="center"/>
              <w:rPr>
                <w:rFonts w:hint="eastAsia" w:ascii="仿宋_GB2312" w:hAnsi="仿宋_GB2312" w:eastAsia="仿宋_GB2312" w:cs="Times New Roman"/>
              </w:rPr>
            </w:pPr>
            <w:r>
              <w:rPr>
                <w:rFonts w:hint="eastAsia" w:ascii="仿宋_GB2312" w:hAnsi="仿宋_GB2312" w:eastAsia="仿宋_GB2312" w:cs="Times New Roman"/>
                <w:lang w:val="en-US" w:eastAsia="zh-CN"/>
              </w:rPr>
              <w:t>79.68公顷</w:t>
            </w:r>
          </w:p>
        </w:tc>
        <w:tc>
          <w:tcPr>
            <w:tcW w:w="2503" w:type="dxa"/>
            <w:gridSpan w:val="3"/>
            <w:noWrap w:val="0"/>
            <w:vAlign w:val="center"/>
          </w:tcPr>
          <w:p>
            <w:pPr>
              <w:spacing w:line="360" w:lineRule="exact"/>
              <w:jc w:val="center"/>
              <w:rPr>
                <w:rFonts w:hint="eastAsia" w:ascii="仿宋_GB2312" w:hAnsi="仿宋_GB2312" w:eastAsia="仿宋_GB2312" w:cs="Times New Roman"/>
                <w:lang w:val="en-US" w:eastAsia="zh-CN"/>
              </w:rPr>
            </w:pPr>
            <w:r>
              <w:rPr>
                <w:rFonts w:hint="eastAsia" w:ascii="仿宋_GB2312" w:hAnsi="仿宋_GB2312" w:eastAsia="仿宋_GB2312" w:cs="Times New Roman"/>
                <w:lang w:val="en-US" w:eastAsia="zh-CN"/>
              </w:rPr>
              <w:t>79.68公顷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791" w:type="dxa"/>
            <w:gridSpan w:val="2"/>
            <w:vMerge w:val="continue"/>
            <w:noWrap w:val="0"/>
            <w:vAlign w:val="center"/>
          </w:tcPr>
          <w:p>
            <w:pPr>
              <w:jc w:val="center"/>
              <w:rPr>
                <w:rFonts w:hint="eastAsia" w:eastAsia="仿宋_GB2312"/>
                <w:sz w:val="24"/>
              </w:rPr>
            </w:pPr>
          </w:p>
        </w:tc>
        <w:tc>
          <w:tcPr>
            <w:tcW w:w="1290" w:type="dxa"/>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910" w:type="dxa"/>
            <w:gridSpan w:val="4"/>
            <w:tcBorders>
              <w:bottom w:val="single" w:color="auto" w:sz="4" w:space="0"/>
            </w:tcBorders>
            <w:noWrap w:val="0"/>
            <w:vAlign w:val="center"/>
          </w:tcPr>
          <w:p>
            <w:pPr>
              <w:spacing w:line="360" w:lineRule="exact"/>
              <w:jc w:val="center"/>
              <w:rPr>
                <w:rFonts w:hint="eastAsia" w:ascii="仿宋_GB2312" w:hAnsi="仿宋_GB2312" w:eastAsia="仿宋_GB2312" w:cs="Times New Roman"/>
                <w:lang w:val="en-US" w:eastAsia="zh-CN"/>
              </w:rPr>
            </w:pPr>
            <w:r>
              <w:rPr>
                <w:rFonts w:hint="eastAsia" w:ascii="仿宋_GB2312" w:hAnsi="仿宋_GB2312" w:eastAsia="仿宋_GB2312" w:cs="Times New Roman"/>
              </w:rPr>
              <w:t>抵御灾害能力</w:t>
            </w:r>
          </w:p>
        </w:tc>
        <w:tc>
          <w:tcPr>
            <w:tcW w:w="1615" w:type="dxa"/>
            <w:gridSpan w:val="2"/>
            <w:tcBorders>
              <w:bottom w:val="single" w:color="auto" w:sz="4" w:space="0"/>
            </w:tcBorders>
            <w:noWrap w:val="0"/>
            <w:vAlign w:val="center"/>
          </w:tcPr>
          <w:p>
            <w:pPr>
              <w:spacing w:line="360" w:lineRule="exact"/>
              <w:jc w:val="center"/>
              <w:rPr>
                <w:rFonts w:hint="eastAsia" w:ascii="仿宋_GB2312" w:hAnsi="仿宋_GB2312" w:eastAsia="仿宋_GB2312" w:cs="Times New Roman"/>
                <w:lang w:val="en-US" w:eastAsia="zh-CN"/>
              </w:rPr>
            </w:pPr>
            <w:r>
              <w:rPr>
                <w:rFonts w:hint="eastAsia" w:ascii="仿宋_GB2312" w:hAnsi="仿宋_GB2312" w:eastAsia="仿宋_GB2312" w:cs="Times New Roman"/>
              </w:rPr>
              <w:t>有效增强</w:t>
            </w:r>
          </w:p>
        </w:tc>
        <w:tc>
          <w:tcPr>
            <w:tcW w:w="2503" w:type="dxa"/>
            <w:gridSpan w:val="3"/>
            <w:tcBorders>
              <w:bottom w:val="single" w:color="auto" w:sz="4" w:space="0"/>
            </w:tcBorders>
            <w:noWrap w:val="0"/>
            <w:vAlign w:val="center"/>
          </w:tcPr>
          <w:p>
            <w:pPr>
              <w:spacing w:line="360" w:lineRule="exact"/>
              <w:jc w:val="center"/>
              <w:rPr>
                <w:rFonts w:hint="eastAsia" w:ascii="仿宋_GB2312" w:hAnsi="仿宋_GB2312" w:eastAsia="仿宋_GB2312" w:cs="Times New Roman"/>
                <w:lang w:val="en-US" w:eastAsia="zh-CN"/>
              </w:rPr>
            </w:pPr>
            <w:r>
              <w:rPr>
                <w:rFonts w:hint="eastAsia" w:ascii="仿宋_GB2312" w:hAnsi="仿宋_GB2312" w:eastAsia="仿宋_GB2312" w:cs="Times New Roman"/>
              </w:rPr>
              <w:t>有效增强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791" w:type="dxa"/>
            <w:gridSpan w:val="2"/>
            <w:vMerge w:val="continue"/>
            <w:noWrap w:val="0"/>
            <w:vAlign w:val="center"/>
          </w:tcPr>
          <w:p>
            <w:pPr>
              <w:jc w:val="center"/>
              <w:rPr>
                <w:rFonts w:hint="eastAsia" w:eastAsia="仿宋_GB2312"/>
                <w:sz w:val="24"/>
              </w:rPr>
            </w:pPr>
          </w:p>
        </w:tc>
        <w:tc>
          <w:tcPr>
            <w:tcW w:w="1290" w:type="dxa"/>
            <w:vMerge w:val="continue"/>
            <w:noWrap w:val="0"/>
            <w:vAlign w:val="center"/>
          </w:tcPr>
          <w:p>
            <w:pPr>
              <w:spacing w:line="360" w:lineRule="exact"/>
              <w:jc w:val="center"/>
              <w:rPr>
                <w:rFonts w:hint="eastAsia" w:eastAsia="仿宋_GB2312"/>
                <w:sz w:val="24"/>
              </w:rPr>
            </w:pPr>
          </w:p>
        </w:tc>
        <w:tc>
          <w:tcPr>
            <w:tcW w:w="1910" w:type="dxa"/>
            <w:gridSpan w:val="4"/>
            <w:tcBorders>
              <w:bottom w:val="single" w:color="auto" w:sz="4" w:space="0"/>
            </w:tcBorders>
            <w:noWrap w:val="0"/>
            <w:vAlign w:val="center"/>
          </w:tcPr>
          <w:p>
            <w:pPr>
              <w:spacing w:line="360" w:lineRule="exact"/>
              <w:jc w:val="center"/>
              <w:rPr>
                <w:rFonts w:hint="eastAsia" w:ascii="仿宋_GB2312" w:hAnsi="仿宋_GB2312" w:eastAsia="仿宋_GB2312" w:cs="Times New Roman"/>
                <w:lang w:val="en-US" w:eastAsia="zh-CN"/>
              </w:rPr>
            </w:pPr>
            <w:r>
              <w:rPr>
                <w:rFonts w:hint="eastAsia" w:ascii="仿宋_GB2312" w:hAnsi="仿宋_GB2312" w:eastAsia="仿宋_GB2312" w:cs="Times New Roman"/>
              </w:rPr>
              <w:t>资源利用效率</w:t>
            </w:r>
          </w:p>
        </w:tc>
        <w:tc>
          <w:tcPr>
            <w:tcW w:w="1615" w:type="dxa"/>
            <w:gridSpan w:val="2"/>
            <w:tcBorders>
              <w:bottom w:val="single" w:color="auto" w:sz="4" w:space="0"/>
            </w:tcBorders>
            <w:noWrap w:val="0"/>
            <w:vAlign w:val="center"/>
          </w:tcPr>
          <w:p>
            <w:pPr>
              <w:spacing w:line="360" w:lineRule="exact"/>
              <w:jc w:val="center"/>
              <w:rPr>
                <w:rFonts w:hint="eastAsia" w:ascii="仿宋_GB2312" w:hAnsi="仿宋_GB2312" w:eastAsia="仿宋_GB2312" w:cs="Times New Roman"/>
                <w:lang w:val="en-US" w:eastAsia="zh-CN"/>
              </w:rPr>
            </w:pPr>
            <w:r>
              <w:rPr>
                <w:rFonts w:hint="eastAsia" w:ascii="仿宋_GB2312" w:hAnsi="仿宋_GB2312" w:eastAsia="仿宋_GB2312" w:cs="Times New Roman"/>
              </w:rPr>
              <w:t>合理提高</w:t>
            </w:r>
          </w:p>
        </w:tc>
        <w:tc>
          <w:tcPr>
            <w:tcW w:w="2503" w:type="dxa"/>
            <w:gridSpan w:val="3"/>
            <w:tcBorders>
              <w:bottom w:val="single" w:color="auto" w:sz="4" w:space="0"/>
            </w:tcBorders>
            <w:noWrap w:val="0"/>
            <w:vAlign w:val="center"/>
          </w:tcPr>
          <w:p>
            <w:pPr>
              <w:spacing w:line="360" w:lineRule="exact"/>
              <w:jc w:val="center"/>
              <w:rPr>
                <w:rFonts w:hint="eastAsia" w:ascii="仿宋_GB2312" w:hAnsi="仿宋_GB2312" w:eastAsia="仿宋_GB2312" w:cs="Times New Roman"/>
                <w:lang w:val="en-US" w:eastAsia="zh-CN"/>
              </w:rPr>
            </w:pPr>
            <w:r>
              <w:rPr>
                <w:rFonts w:hint="eastAsia" w:ascii="仿宋_GB2312" w:hAnsi="仿宋_GB2312" w:eastAsia="仿宋_GB2312" w:cs="Times New Roman"/>
              </w:rPr>
              <w:t>合理提高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noWrap w:val="0"/>
            <w:vAlign w:val="center"/>
          </w:tcPr>
          <w:p>
            <w:pPr>
              <w:jc w:val="center"/>
              <w:rPr>
                <w:rFonts w:hint="eastAsia" w:eastAsia="仿宋_GB2312"/>
                <w:sz w:val="24"/>
              </w:rPr>
            </w:pPr>
          </w:p>
        </w:tc>
        <w:tc>
          <w:tcPr>
            <w:tcW w:w="791" w:type="dxa"/>
            <w:gridSpan w:val="2"/>
            <w:vMerge w:val="continue"/>
            <w:noWrap w:val="0"/>
            <w:vAlign w:val="center"/>
          </w:tcPr>
          <w:p>
            <w:pPr>
              <w:jc w:val="center"/>
              <w:rPr>
                <w:rFonts w:hint="eastAsia" w:eastAsia="仿宋_GB2312"/>
                <w:sz w:val="24"/>
              </w:rPr>
            </w:pPr>
          </w:p>
        </w:tc>
        <w:tc>
          <w:tcPr>
            <w:tcW w:w="1290" w:type="dxa"/>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910" w:type="dxa"/>
            <w:gridSpan w:val="4"/>
            <w:noWrap w:val="0"/>
            <w:vAlign w:val="center"/>
          </w:tcPr>
          <w:p>
            <w:pPr>
              <w:spacing w:line="360" w:lineRule="exact"/>
              <w:jc w:val="center"/>
              <w:rPr>
                <w:rFonts w:hint="eastAsia" w:eastAsia="仿宋_GB2312"/>
                <w:sz w:val="24"/>
              </w:rPr>
            </w:pPr>
            <w:r>
              <w:rPr>
                <w:rFonts w:hint="eastAsia" w:ascii="仿宋_GB2312" w:hAnsi="仿宋_GB2312" w:eastAsia="仿宋_GB2312" w:cs="Times New Roman"/>
                <w:lang w:eastAsia="zh-CN"/>
              </w:rPr>
              <w:t>项目</w:t>
            </w:r>
            <w:r>
              <w:rPr>
                <w:rFonts w:hint="eastAsia" w:ascii="仿宋_GB2312" w:hAnsi="仿宋_GB2312" w:eastAsia="仿宋_GB2312" w:cs="Times New Roman"/>
              </w:rPr>
              <w:t>质量满意度</w:t>
            </w:r>
          </w:p>
        </w:tc>
        <w:tc>
          <w:tcPr>
            <w:tcW w:w="1615" w:type="dxa"/>
            <w:gridSpan w:val="2"/>
            <w:noWrap w:val="0"/>
            <w:vAlign w:val="center"/>
          </w:tcPr>
          <w:p>
            <w:pPr>
              <w:jc w:val="center"/>
              <w:rPr>
                <w:rFonts w:hint="eastAsia" w:eastAsia="仿宋_GB2312"/>
                <w:sz w:val="24"/>
                <w:lang w:val="en-US" w:eastAsia="zh-CN"/>
              </w:rPr>
            </w:pPr>
            <w:r>
              <w:rPr>
                <w:rFonts w:hint="eastAsia" w:eastAsia="仿宋_GB2312"/>
                <w:sz w:val="24"/>
                <w:lang w:val="en-US" w:eastAsia="zh-CN"/>
              </w:rPr>
              <w:t>满意</w:t>
            </w:r>
          </w:p>
        </w:tc>
        <w:tc>
          <w:tcPr>
            <w:tcW w:w="2503" w:type="dxa"/>
            <w:gridSpan w:val="3"/>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4" w:type="dxa"/>
            <w:gridSpan w:val="3"/>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318" w:type="dxa"/>
            <w:gridSpan w:val="10"/>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4" w:type="dxa"/>
            <w:gridSpan w:val="3"/>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318" w:type="dxa"/>
            <w:gridSpan w:val="10"/>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3"/>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3"/>
            <w:noWrap w:val="0"/>
            <w:vAlign w:val="center"/>
          </w:tcPr>
          <w:p>
            <w:pPr>
              <w:jc w:val="center"/>
              <w:rPr>
                <w:rFonts w:hint="eastAsia" w:eastAsia="仿宋_GB2312"/>
                <w:sz w:val="24"/>
              </w:rPr>
            </w:pPr>
            <w:r>
              <w:rPr>
                <w:rFonts w:hint="eastAsia" w:eastAsia="仿宋_GB2312"/>
                <w:sz w:val="24"/>
              </w:rPr>
              <w:t>职称/职务</w:t>
            </w:r>
          </w:p>
        </w:tc>
        <w:tc>
          <w:tcPr>
            <w:tcW w:w="2483" w:type="dxa"/>
            <w:gridSpan w:val="4"/>
            <w:noWrap w:val="0"/>
            <w:vAlign w:val="center"/>
          </w:tcPr>
          <w:p>
            <w:pPr>
              <w:jc w:val="center"/>
              <w:rPr>
                <w:rFonts w:hint="eastAsia" w:eastAsia="仿宋_GB2312"/>
                <w:sz w:val="24"/>
              </w:rPr>
            </w:pPr>
            <w:r>
              <w:rPr>
                <w:rFonts w:hint="eastAsia" w:eastAsia="仿宋_GB2312"/>
                <w:sz w:val="24"/>
              </w:rPr>
              <w:t>单  位</w:t>
            </w:r>
          </w:p>
        </w:tc>
        <w:tc>
          <w:tcPr>
            <w:tcW w:w="2503"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default" w:eastAsia="仿宋_GB2312"/>
                <w:sz w:val="24"/>
                <w:lang w:val="en-US" w:eastAsia="zh-CN"/>
              </w:rPr>
            </w:pPr>
            <w:r>
              <w:rPr>
                <w:rFonts w:hint="eastAsia" w:eastAsia="仿宋_GB2312"/>
                <w:sz w:val="24"/>
                <w:lang w:val="en-US" w:eastAsia="zh-CN"/>
              </w:rPr>
              <w:t>甘 静</w:t>
            </w:r>
          </w:p>
        </w:tc>
        <w:tc>
          <w:tcPr>
            <w:tcW w:w="2332" w:type="dxa"/>
            <w:gridSpan w:val="3"/>
            <w:noWrap w:val="0"/>
            <w:vAlign w:val="center"/>
          </w:tcPr>
          <w:p>
            <w:pPr>
              <w:jc w:val="center"/>
              <w:rPr>
                <w:rFonts w:hint="default" w:eastAsia="仿宋_GB2312"/>
                <w:sz w:val="24"/>
                <w:lang w:val="en-US" w:eastAsia="zh-CN"/>
              </w:rPr>
            </w:pPr>
            <w:r>
              <w:rPr>
                <w:rFonts w:hint="eastAsia" w:eastAsia="仿宋_GB2312"/>
                <w:sz w:val="24"/>
                <w:lang w:val="en-US" w:eastAsia="zh-CN"/>
              </w:rPr>
              <w:t>副局长</w:t>
            </w:r>
          </w:p>
        </w:tc>
        <w:tc>
          <w:tcPr>
            <w:tcW w:w="2483" w:type="dxa"/>
            <w:gridSpan w:val="4"/>
            <w:noWrap w:val="0"/>
            <w:vAlign w:val="center"/>
          </w:tcPr>
          <w:p>
            <w:pPr>
              <w:jc w:val="center"/>
              <w:rPr>
                <w:rFonts w:hint="default" w:eastAsia="仿宋_GB2312"/>
                <w:sz w:val="24"/>
                <w:lang w:val="en-US" w:eastAsia="zh-CN"/>
              </w:rPr>
            </w:pPr>
            <w:r>
              <w:rPr>
                <w:rFonts w:hint="eastAsia" w:eastAsia="仿宋_GB2312"/>
                <w:sz w:val="24"/>
                <w:lang w:val="en-US" w:eastAsia="zh-CN"/>
              </w:rPr>
              <w:t>自然资源局</w:t>
            </w:r>
          </w:p>
        </w:tc>
        <w:tc>
          <w:tcPr>
            <w:tcW w:w="2503"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default" w:eastAsia="仿宋_GB2312"/>
                <w:sz w:val="24"/>
                <w:lang w:val="en-US" w:eastAsia="zh-CN"/>
              </w:rPr>
            </w:pPr>
            <w:r>
              <w:rPr>
                <w:rFonts w:hint="eastAsia" w:eastAsia="仿宋_GB2312"/>
                <w:sz w:val="24"/>
                <w:lang w:val="en-US" w:eastAsia="zh-CN"/>
              </w:rPr>
              <w:t>洪 伟</w:t>
            </w:r>
          </w:p>
        </w:tc>
        <w:tc>
          <w:tcPr>
            <w:tcW w:w="2332" w:type="dxa"/>
            <w:gridSpan w:val="3"/>
            <w:noWrap w:val="0"/>
            <w:vAlign w:val="center"/>
          </w:tcPr>
          <w:p>
            <w:pPr>
              <w:jc w:val="center"/>
              <w:rPr>
                <w:rFonts w:hint="default" w:eastAsia="仿宋_GB2312"/>
                <w:sz w:val="24"/>
                <w:lang w:val="en-US" w:eastAsia="zh-CN"/>
              </w:rPr>
            </w:pPr>
            <w:r>
              <w:rPr>
                <w:rFonts w:hint="eastAsia" w:eastAsia="仿宋_GB2312"/>
                <w:sz w:val="24"/>
                <w:lang w:val="en-US" w:eastAsia="zh-CN"/>
              </w:rPr>
              <w:t>生态修复股长</w:t>
            </w:r>
          </w:p>
        </w:tc>
        <w:tc>
          <w:tcPr>
            <w:tcW w:w="2483" w:type="dxa"/>
            <w:gridSpan w:val="4"/>
            <w:noWrap w:val="0"/>
            <w:vAlign w:val="center"/>
          </w:tcPr>
          <w:p>
            <w:pPr>
              <w:jc w:val="center"/>
              <w:rPr>
                <w:rFonts w:hint="eastAsia" w:eastAsia="仿宋_GB2312"/>
                <w:sz w:val="24"/>
              </w:rPr>
            </w:pPr>
            <w:r>
              <w:rPr>
                <w:rFonts w:hint="eastAsia" w:eastAsia="仿宋_GB2312"/>
                <w:sz w:val="24"/>
                <w:lang w:val="en-US" w:eastAsia="zh-CN"/>
              </w:rPr>
              <w:t>自然资源局</w:t>
            </w:r>
          </w:p>
        </w:tc>
        <w:tc>
          <w:tcPr>
            <w:tcW w:w="2503"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default" w:eastAsia="仿宋_GB2312"/>
                <w:sz w:val="24"/>
                <w:lang w:val="en-US" w:eastAsia="zh-CN"/>
              </w:rPr>
            </w:pPr>
            <w:r>
              <w:rPr>
                <w:rFonts w:hint="eastAsia" w:eastAsia="仿宋_GB2312"/>
                <w:sz w:val="24"/>
                <w:lang w:val="en-US" w:eastAsia="zh-CN"/>
              </w:rPr>
              <w:t>孙立华</w:t>
            </w:r>
          </w:p>
        </w:tc>
        <w:tc>
          <w:tcPr>
            <w:tcW w:w="2332" w:type="dxa"/>
            <w:gridSpan w:val="3"/>
            <w:noWrap w:val="0"/>
            <w:vAlign w:val="center"/>
          </w:tcPr>
          <w:p>
            <w:pPr>
              <w:jc w:val="center"/>
              <w:rPr>
                <w:rFonts w:hint="default" w:eastAsia="仿宋_GB2312"/>
                <w:sz w:val="24"/>
                <w:lang w:val="en-US" w:eastAsia="zh-CN"/>
              </w:rPr>
            </w:pPr>
            <w:r>
              <w:rPr>
                <w:rFonts w:hint="eastAsia" w:eastAsia="仿宋_GB2312"/>
                <w:sz w:val="24"/>
                <w:lang w:val="en-US" w:eastAsia="zh-CN"/>
              </w:rPr>
              <w:t>账务股长</w:t>
            </w:r>
          </w:p>
        </w:tc>
        <w:tc>
          <w:tcPr>
            <w:tcW w:w="2483" w:type="dxa"/>
            <w:gridSpan w:val="4"/>
            <w:noWrap w:val="0"/>
            <w:vAlign w:val="center"/>
          </w:tcPr>
          <w:p>
            <w:pPr>
              <w:jc w:val="center"/>
              <w:rPr>
                <w:rFonts w:hint="eastAsia" w:eastAsia="仿宋_GB2312"/>
                <w:sz w:val="24"/>
              </w:rPr>
            </w:pPr>
            <w:r>
              <w:rPr>
                <w:rFonts w:hint="eastAsia" w:eastAsia="仿宋_GB2312"/>
                <w:sz w:val="24"/>
                <w:lang w:val="en-US" w:eastAsia="zh-CN"/>
              </w:rPr>
              <w:t>自然资源局</w:t>
            </w:r>
          </w:p>
        </w:tc>
        <w:tc>
          <w:tcPr>
            <w:tcW w:w="2503" w:type="dxa"/>
            <w:gridSpan w:val="3"/>
            <w:noWrap w:val="0"/>
            <w:vAlign w:val="center"/>
          </w:tcPr>
          <w:p>
            <w:pPr>
              <w:rPr>
                <w:rFonts w:hint="eastAsia" w:eastAsia="仿宋_GB2312"/>
                <w:sz w:val="24"/>
              </w:rPr>
            </w:pPr>
          </w:p>
          <w:p>
            <w:pPr>
              <w:rPr>
                <w:rFonts w:hint="eastAsia" w:eastAsia="仿宋_GB2312"/>
                <w:sz w:val="24"/>
              </w:rPr>
            </w:pPr>
          </w:p>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ind w:firstLine="720" w:firstLineChars="300"/>
              <w:jc w:val="both"/>
              <w:rPr>
                <w:rFonts w:hint="default" w:eastAsia="仿宋_GB2312"/>
                <w:sz w:val="24"/>
                <w:lang w:val="en-US" w:eastAsia="zh-CN"/>
              </w:rPr>
            </w:pPr>
            <w:r>
              <w:rPr>
                <w:rFonts w:hint="eastAsia" w:eastAsia="仿宋_GB2312"/>
                <w:sz w:val="24"/>
                <w:lang w:val="en-US" w:eastAsia="zh-CN"/>
              </w:rPr>
              <w:t>严 聪</w:t>
            </w:r>
          </w:p>
        </w:tc>
        <w:tc>
          <w:tcPr>
            <w:tcW w:w="2332" w:type="dxa"/>
            <w:gridSpan w:val="3"/>
            <w:noWrap w:val="0"/>
            <w:vAlign w:val="center"/>
          </w:tcPr>
          <w:p>
            <w:pPr>
              <w:jc w:val="center"/>
              <w:rPr>
                <w:rFonts w:hint="default" w:eastAsia="仿宋_GB2312"/>
                <w:sz w:val="24"/>
                <w:lang w:val="en-US" w:eastAsia="zh-CN"/>
              </w:rPr>
            </w:pPr>
            <w:r>
              <w:rPr>
                <w:rFonts w:hint="eastAsia" w:eastAsia="仿宋_GB2312"/>
                <w:sz w:val="24"/>
                <w:lang w:val="en-US" w:eastAsia="zh-CN"/>
              </w:rPr>
              <w:t>纪检监察室主任</w:t>
            </w:r>
          </w:p>
        </w:tc>
        <w:tc>
          <w:tcPr>
            <w:tcW w:w="2483" w:type="dxa"/>
            <w:gridSpan w:val="4"/>
            <w:noWrap w:val="0"/>
            <w:vAlign w:val="center"/>
          </w:tcPr>
          <w:p>
            <w:pPr>
              <w:jc w:val="center"/>
              <w:rPr>
                <w:rFonts w:hint="eastAsia" w:eastAsia="仿宋_GB2312"/>
                <w:sz w:val="24"/>
                <w:lang w:val="en-US" w:eastAsia="zh-CN"/>
              </w:rPr>
            </w:pPr>
            <w:r>
              <w:rPr>
                <w:rFonts w:hint="eastAsia" w:eastAsia="仿宋_GB2312"/>
                <w:sz w:val="24"/>
                <w:lang w:val="en-US" w:eastAsia="zh-CN"/>
              </w:rPr>
              <w:t>自然资源局</w:t>
            </w:r>
          </w:p>
        </w:tc>
        <w:tc>
          <w:tcPr>
            <w:tcW w:w="2503"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lang w:val="en-US" w:eastAsia="zh-CN"/>
              </w:rPr>
            </w:pPr>
          </w:p>
        </w:tc>
        <w:tc>
          <w:tcPr>
            <w:tcW w:w="2332" w:type="dxa"/>
            <w:gridSpan w:val="3"/>
            <w:noWrap w:val="0"/>
            <w:vAlign w:val="center"/>
          </w:tcPr>
          <w:p>
            <w:pPr>
              <w:rPr>
                <w:rFonts w:hint="eastAsia" w:eastAsia="仿宋_GB2312"/>
                <w:sz w:val="24"/>
                <w:lang w:val="en-US" w:eastAsia="zh-CN"/>
              </w:rPr>
            </w:pPr>
          </w:p>
        </w:tc>
        <w:tc>
          <w:tcPr>
            <w:tcW w:w="2483" w:type="dxa"/>
            <w:gridSpan w:val="4"/>
            <w:noWrap w:val="0"/>
            <w:vAlign w:val="center"/>
          </w:tcPr>
          <w:p>
            <w:pPr>
              <w:rPr>
                <w:rFonts w:hint="eastAsia" w:eastAsia="仿宋_GB2312"/>
                <w:sz w:val="24"/>
                <w:lang w:val="en-US" w:eastAsia="zh-CN"/>
              </w:rPr>
            </w:pPr>
          </w:p>
        </w:tc>
        <w:tc>
          <w:tcPr>
            <w:tcW w:w="2503"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lang w:val="en-US" w:eastAsia="zh-CN"/>
              </w:rPr>
            </w:pPr>
          </w:p>
        </w:tc>
        <w:tc>
          <w:tcPr>
            <w:tcW w:w="2332" w:type="dxa"/>
            <w:gridSpan w:val="3"/>
            <w:noWrap w:val="0"/>
            <w:vAlign w:val="center"/>
          </w:tcPr>
          <w:p>
            <w:pPr>
              <w:rPr>
                <w:rFonts w:hint="eastAsia" w:eastAsia="仿宋_GB2312"/>
                <w:sz w:val="24"/>
                <w:lang w:val="en-US" w:eastAsia="zh-CN"/>
              </w:rPr>
            </w:pPr>
          </w:p>
        </w:tc>
        <w:tc>
          <w:tcPr>
            <w:tcW w:w="2483" w:type="dxa"/>
            <w:gridSpan w:val="4"/>
            <w:noWrap w:val="0"/>
            <w:vAlign w:val="center"/>
          </w:tcPr>
          <w:p>
            <w:pPr>
              <w:rPr>
                <w:rFonts w:hint="eastAsia" w:eastAsia="仿宋_GB2312"/>
                <w:sz w:val="24"/>
                <w:lang w:val="en-US" w:eastAsia="zh-CN"/>
              </w:rPr>
            </w:pPr>
          </w:p>
        </w:tc>
        <w:tc>
          <w:tcPr>
            <w:tcW w:w="2503"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exact"/>
          <w:jc w:val="center"/>
        </w:trPr>
        <w:tc>
          <w:tcPr>
            <w:tcW w:w="9582" w:type="dxa"/>
            <w:gridSpan w:val="13"/>
            <w:noWrap w:val="0"/>
            <w:vAlign w:val="center"/>
          </w:tcPr>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exact"/>
          <w:jc w:val="center"/>
        </w:trPr>
        <w:tc>
          <w:tcPr>
            <w:tcW w:w="9582" w:type="dxa"/>
            <w:gridSpan w:val="13"/>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exact"/>
          <w:jc w:val="center"/>
        </w:trPr>
        <w:tc>
          <w:tcPr>
            <w:tcW w:w="9582" w:type="dxa"/>
            <w:gridSpan w:val="13"/>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exact"/>
          <w:jc w:val="center"/>
        </w:trPr>
        <w:tc>
          <w:tcPr>
            <w:tcW w:w="9582" w:type="dxa"/>
            <w:gridSpan w:val="13"/>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尹尚春</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13487783388</w:t>
      </w:r>
      <w:bookmarkStart w:id="0" w:name="_GoBack"/>
      <w:bookmarkEnd w:id="0"/>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numPr>
                <w:ilvl w:val="0"/>
                <w:numId w:val="4"/>
              </w:numPr>
              <w:spacing w:line="56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项目基本概况</w:t>
            </w:r>
          </w:p>
          <w:p>
            <w:pPr>
              <w:numPr>
                <w:ilvl w:val="0"/>
                <w:numId w:val="0"/>
              </w:num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自然资源局办公厅下发的《关于开展长江经济带废弃露天矿山生态修复工作的通知》（自然资办发（2019）33号）以及湖南省自然资源厅印发的《关于开展我省长江经济带废弃露天矿山生态修复工作的通知》（湘自然资办发【2019】69号）对华容县境内长江沿岸10公里范围内的废弃露天矿山进行生态修复。2019年10月县人民政府委托核工业岳阳建设工程有有限公司编制了《长江经济带湖南省岳阳市华容县段废弃露天矿山生态修复实施细则（2019-2020年）》并通过了专家评审，对华容县境内长江沿岸10公里范围内的19座废弃露天矿山共21个图斑进行生态修复。主要修复措施为：地貌重塑、土壤重构、植被重建、岩质边坡复绿、平台水土保持、旱地复垦及配套工程，修复面积为79.68公顷。</w:t>
            </w:r>
          </w:p>
          <w:p>
            <w:pPr>
              <w:numPr>
                <w:ilvl w:val="0"/>
                <w:numId w:val="0"/>
              </w:numPr>
              <w:spacing w:line="560" w:lineRule="exact"/>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（二）项目资金使用及管理情况</w:t>
            </w:r>
          </w:p>
          <w:p>
            <w:pPr>
              <w:numPr>
                <w:ilvl w:val="0"/>
                <w:numId w:val="0"/>
              </w:numPr>
              <w:spacing w:line="56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根据县财政投资评审中心《关于华容县长江经济带废弃露天矿山生态修复项目结算审核的报告》及华容县审计局《2019年以来蛋子山矿区生态修复综合治理工程投资情况审计》，华容县长江经济带废弃露天矿山生态修复项目长江沿岸10公里范围内的19座废弃露天矿山共21个图斑总投资为5833.251万元，工程建设直接费5411.93万元，其中机械土石方工程2696.98万元，市政工程395.24万元，景观绿化工程2213.89万元；藤立方栽植88.44万元；零星签证工程51.88万元；工程其他建设费190.95万元；待摊投资230.371万元。项目资金实行专款专用，项目工程款严格按照程序审批拨付，项目资金无弄虚作假、截留、拆借挤占等现象。</w:t>
            </w:r>
          </w:p>
          <w:p>
            <w:pPr>
              <w:numPr>
                <w:numId w:val="0"/>
              </w:numPr>
              <w:spacing w:line="560" w:lineRule="exact"/>
              <w:ind w:left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（三）</w:t>
            </w:r>
            <w:r>
              <w:rPr>
                <w:rFonts w:hint="eastAsia" w:ascii="仿宋_GB2312" w:hAnsi="仿宋_GB2312" w:eastAsia="仿宋_GB2312" w:cs="仿宋_GB2312"/>
                <w:b/>
                <w:bCs/>
                <w:sz w:val="28"/>
                <w:szCs w:val="28"/>
              </w:rPr>
              <w:t>项目组织实施情况</w:t>
            </w:r>
          </w:p>
          <w:p>
            <w:pPr>
              <w:numPr>
                <w:ilvl w:val="0"/>
                <w:numId w:val="0"/>
              </w:numPr>
              <w:spacing w:line="560" w:lineRule="exact"/>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 xml:space="preserve">认真贯彻落实自然资源部《关于开展长江经济带废弃露天矿山生态修复工作的通知》（自然资办发（2019）33号）以及湖南省自然资源厅印发的《关于开展我省长江经济带废弃露天矿山生态修复工作的通知》（湘自然资办发【2019】69号）精神，坚持党委政府主导、自然部门牵头、技术单位承办实施、监理单位监管、项目建设指挥部督办的模式，全面深入推进长江经济带废弃露天矿山生态修复工作。为加强项目的组织实施：一是政府常务会议专题研究；二是成立高规格的领导小组；三是项目指挥部多次召开专题会议部署推进；四是制订出台相关政策文件。为加快项目的推进，采取多种过硬措施：一是实行日报周报；二是实行任务倒排。三是实行监理监管。四是实行定期督查。五是实行 是实行合同约束。六是实行领导约谈。2020年底，项目全面建设完工。 </w:t>
            </w:r>
          </w:p>
          <w:p>
            <w:pPr>
              <w:numPr>
                <w:ilvl w:val="0"/>
                <w:numId w:val="0"/>
              </w:numPr>
              <w:spacing w:line="560" w:lineRule="exact"/>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（四）综合评价情况及评价结论</w:t>
            </w:r>
          </w:p>
          <w:p>
            <w:pPr>
              <w:numPr>
                <w:ilvl w:val="0"/>
                <w:numId w:val="0"/>
              </w:numPr>
              <w:spacing w:line="560" w:lineRule="exact"/>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华容县长江经济带废弃露天矿山生态修复项目于2020年3月开始启动，县人民政府专门召开政府常务会议讨论成立华容县长江经济带废弃露天矿山生态修复项目指挥部，由项目建设指挥部领导组织开展，并通过公开招投标由技术服务单位具体组织实施。2020年底，项目完成了县自检，2021年1月完成了市级验收。2022年项目完成了全面整改工作。</w:t>
            </w:r>
          </w:p>
          <w:p>
            <w:pPr>
              <w:numPr>
                <w:ilvl w:val="0"/>
                <w:numId w:val="0"/>
              </w:numPr>
              <w:spacing w:line="560" w:lineRule="exact"/>
              <w:ind w:left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）项目主要绩效情况分析</w:t>
            </w:r>
          </w:p>
          <w:p>
            <w:pPr>
              <w:ind w:firstLine="560" w:firstLineChars="200"/>
              <w:rPr>
                <w:rFonts w:hint="default" w:eastAsia="楷体_GB2312"/>
                <w:bCs/>
                <w:sz w:val="28"/>
                <w:szCs w:val="28"/>
                <w:lang w:val="en-US"/>
              </w:rPr>
            </w:pPr>
            <w:r>
              <w:rPr>
                <w:rFonts w:hint="eastAsia" w:ascii="仿宋_GB2312" w:hAnsi="仿宋_GB2312" w:eastAsia="仿宋_GB2312" w:cs="仿宋_GB2312"/>
                <w:sz w:val="28"/>
                <w:szCs w:val="28"/>
                <w:lang w:val="en-US" w:eastAsia="zh-CN"/>
              </w:rPr>
              <w:t>华容县长江经济带废弃露天矿山生态修复项目的实施，加快了我县废弃矿山的综合治理，加快推进了我县矿地的综合利用，实现了矿区水环境、农业与农村环境，矿区生态环境及生物多样性的保护。使矿区人民的人居环境得到了良好的改善。</w:t>
            </w: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691"/>
        <w:gridCol w:w="937"/>
        <w:gridCol w:w="1350"/>
        <w:gridCol w:w="4288"/>
        <w:gridCol w:w="537"/>
        <w:gridCol w:w="688"/>
        <w:gridCol w:w="1403"/>
      </w:tblGrid>
      <w:tr>
        <w:tblPrEx>
          <w:tblCellMar>
            <w:top w:w="0" w:type="dxa"/>
            <w:left w:w="108" w:type="dxa"/>
            <w:bottom w:w="0" w:type="dxa"/>
            <w:right w:w="108" w:type="dxa"/>
          </w:tblCellMar>
        </w:tblPrEx>
        <w:trPr>
          <w:trHeight w:val="525"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28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53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68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40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69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288"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28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288"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69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5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288"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9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5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288"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县财政资金紧张，影响资金拨付</w:t>
            </w:r>
          </w:p>
        </w:tc>
      </w:tr>
      <w:tr>
        <w:tblPrEx>
          <w:tblCellMar>
            <w:top w:w="0" w:type="dxa"/>
            <w:left w:w="108" w:type="dxa"/>
            <w:bottom w:w="0" w:type="dxa"/>
            <w:right w:w="108" w:type="dxa"/>
          </w:tblCellMar>
        </w:tblPrEx>
        <w:trPr>
          <w:trHeight w:val="619"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5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288"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28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28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28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69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288"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53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40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69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288"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53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40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部分采购目录外项目未执行政府采购</w:t>
            </w:r>
          </w:p>
        </w:tc>
      </w:tr>
      <w:tr>
        <w:tblPrEx>
          <w:tblCellMar>
            <w:top w:w="0" w:type="dxa"/>
            <w:left w:w="108" w:type="dxa"/>
            <w:bottom w:w="0" w:type="dxa"/>
            <w:right w:w="108" w:type="dxa"/>
          </w:tblCellMar>
        </w:tblPrEx>
        <w:trPr>
          <w:trHeight w:val="630" w:hRule="atLeast"/>
          <w:jc w:val="center"/>
        </w:trPr>
        <w:tc>
          <w:tcPr>
            <w:tcW w:w="69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288"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53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40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69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288"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53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40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713"/>
        <w:gridCol w:w="937"/>
        <w:gridCol w:w="1363"/>
        <w:gridCol w:w="4287"/>
        <w:gridCol w:w="525"/>
        <w:gridCol w:w="688"/>
        <w:gridCol w:w="1424"/>
      </w:tblGrid>
      <w:tr>
        <w:tblPrEx>
          <w:tblCellMar>
            <w:top w:w="0" w:type="dxa"/>
            <w:left w:w="108" w:type="dxa"/>
            <w:bottom w:w="0" w:type="dxa"/>
            <w:right w:w="108" w:type="dxa"/>
          </w:tblCellMar>
        </w:tblPrEx>
        <w:trPr>
          <w:trHeight w:val="67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28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52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68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424"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71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28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52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8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424"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both"/>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eastAsia="zh-CN"/>
              </w:rPr>
              <w:t>资产未有偿使用</w:t>
            </w:r>
          </w:p>
        </w:tc>
      </w:tr>
      <w:tr>
        <w:tblPrEx>
          <w:tblCellMar>
            <w:top w:w="0" w:type="dxa"/>
            <w:left w:w="108" w:type="dxa"/>
            <w:bottom w:w="0" w:type="dxa"/>
            <w:right w:w="108" w:type="dxa"/>
          </w:tblCellMar>
        </w:tblPrEx>
        <w:trPr>
          <w:trHeight w:val="859" w:hRule="atLeast"/>
          <w:jc w:val="center"/>
        </w:trPr>
        <w:tc>
          <w:tcPr>
            <w:tcW w:w="7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6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28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52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42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eastAsia="zh-CN"/>
              </w:rPr>
              <w:t>机构改革合并有闲置资产</w:t>
            </w:r>
          </w:p>
        </w:tc>
      </w:tr>
      <w:tr>
        <w:tblPrEx>
          <w:tblCellMar>
            <w:top w:w="0" w:type="dxa"/>
            <w:left w:w="108" w:type="dxa"/>
            <w:bottom w:w="0" w:type="dxa"/>
            <w:right w:w="108" w:type="dxa"/>
          </w:tblCellMar>
        </w:tblPrEx>
        <w:trPr>
          <w:trHeight w:val="998" w:hRule="atLeast"/>
          <w:jc w:val="center"/>
        </w:trPr>
        <w:tc>
          <w:tcPr>
            <w:tcW w:w="71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37"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287"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52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8</w:t>
            </w:r>
          </w:p>
        </w:tc>
        <w:tc>
          <w:tcPr>
            <w:tcW w:w="142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1013" w:hRule="atLeast"/>
          <w:jc w:val="center"/>
        </w:trPr>
        <w:tc>
          <w:tcPr>
            <w:tcW w:w="7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6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2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42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756" w:hRule="atLeast"/>
          <w:jc w:val="center"/>
        </w:trPr>
        <w:tc>
          <w:tcPr>
            <w:tcW w:w="7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6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2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42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998" w:hRule="atLeast"/>
          <w:jc w:val="center"/>
        </w:trPr>
        <w:tc>
          <w:tcPr>
            <w:tcW w:w="7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6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2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42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888" w:hRule="atLeast"/>
          <w:jc w:val="center"/>
        </w:trPr>
        <w:tc>
          <w:tcPr>
            <w:tcW w:w="7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6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2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42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669" w:hRule="atLeast"/>
          <w:jc w:val="center"/>
        </w:trPr>
        <w:tc>
          <w:tcPr>
            <w:tcW w:w="71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7"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6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287"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52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42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eastAsia="zh-CN"/>
              </w:rPr>
              <w:t>土地收益离预期有差异</w:t>
            </w:r>
          </w:p>
        </w:tc>
      </w:tr>
      <w:tr>
        <w:tblPrEx>
          <w:tblCellMar>
            <w:top w:w="0" w:type="dxa"/>
            <w:left w:w="108" w:type="dxa"/>
            <w:bottom w:w="0" w:type="dxa"/>
            <w:right w:w="108" w:type="dxa"/>
          </w:tblCellMar>
        </w:tblPrEx>
        <w:trPr>
          <w:trHeight w:val="669" w:hRule="atLeast"/>
          <w:jc w:val="center"/>
        </w:trPr>
        <w:tc>
          <w:tcPr>
            <w:tcW w:w="7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6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2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42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669" w:hRule="atLeast"/>
          <w:jc w:val="center"/>
        </w:trPr>
        <w:tc>
          <w:tcPr>
            <w:tcW w:w="7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6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2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42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1051" w:hRule="atLeast"/>
          <w:jc w:val="center"/>
        </w:trPr>
        <w:tc>
          <w:tcPr>
            <w:tcW w:w="7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6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28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42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756" w:hRule="atLeast"/>
          <w:jc w:val="center"/>
        </w:trPr>
        <w:tc>
          <w:tcPr>
            <w:tcW w:w="7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6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28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lang w:val="en-US" w:eastAsia="zh-CN"/>
              </w:rPr>
              <w:t>95</w:t>
            </w:r>
          </w:p>
        </w:tc>
        <w:tc>
          <w:tcPr>
            <w:tcW w:w="142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lang w:val="en-US" w:eastAsia="zh-CN" w:bidi="ar-SA"/>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93</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A9AD86"/>
    <w:multiLevelType w:val="singleLevel"/>
    <w:tmpl w:val="A5A9AD86"/>
    <w:lvl w:ilvl="0" w:tentative="0">
      <w:start w:val="1"/>
      <w:numFmt w:val="chineseCounting"/>
      <w:suff w:val="nothing"/>
      <w:lvlText w:val="（%1）"/>
      <w:lvlJc w:val="left"/>
      <w:rPr>
        <w:rFonts w:hint="eastAsia" w:ascii="黑体" w:hAnsi="黑体" w:eastAsia="黑体" w:cs="黑体"/>
      </w:rPr>
    </w:lvl>
  </w:abstractNum>
  <w:abstractNum w:abstractNumId="1">
    <w:nsid w:val="4499B024"/>
    <w:multiLevelType w:val="singleLevel"/>
    <w:tmpl w:val="4499B024"/>
    <w:lvl w:ilvl="0" w:tentative="0">
      <w:start w:val="2"/>
      <w:numFmt w:val="decimal"/>
      <w:suff w:val="nothing"/>
      <w:lvlText w:val="%1、"/>
      <w:lvlJc w:val="left"/>
    </w:lvl>
  </w:abstractNum>
  <w:abstractNum w:abstractNumId="2">
    <w:nsid w:val="68DFF4BC"/>
    <w:multiLevelType w:val="singleLevel"/>
    <w:tmpl w:val="68DFF4BC"/>
    <w:lvl w:ilvl="0" w:tentative="0">
      <w:start w:val="2"/>
      <w:numFmt w:val="chineseCounting"/>
      <w:suff w:val="nothing"/>
      <w:lvlText w:val="（%1）"/>
      <w:lvlJc w:val="left"/>
      <w:rPr>
        <w:rFonts w:hint="eastAsia"/>
      </w:rPr>
    </w:lvl>
  </w:abstractNum>
  <w:abstractNum w:abstractNumId="3">
    <w:nsid w:val="7C79F7EB"/>
    <w:multiLevelType w:val="singleLevel"/>
    <w:tmpl w:val="7C79F7EB"/>
    <w:lvl w:ilvl="0" w:tentative="0">
      <w:start w:val="4"/>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MmMyY2E5M2RhNTJhNjA1NWRmMTFhNmZiYTkzMmQifQ=="/>
  </w:docVars>
  <w:rsids>
    <w:rsidRoot w:val="2CE55C20"/>
    <w:rsid w:val="007B2063"/>
    <w:rsid w:val="00EF7950"/>
    <w:rsid w:val="011959AD"/>
    <w:rsid w:val="01A72475"/>
    <w:rsid w:val="01D95F0B"/>
    <w:rsid w:val="029307AF"/>
    <w:rsid w:val="02F2197A"/>
    <w:rsid w:val="04601BDB"/>
    <w:rsid w:val="05BB557A"/>
    <w:rsid w:val="083749E7"/>
    <w:rsid w:val="08BB45BC"/>
    <w:rsid w:val="091D7025"/>
    <w:rsid w:val="09316D5F"/>
    <w:rsid w:val="0A0855DF"/>
    <w:rsid w:val="0AC27E84"/>
    <w:rsid w:val="0B7F7B23"/>
    <w:rsid w:val="0C717585"/>
    <w:rsid w:val="0CB679B8"/>
    <w:rsid w:val="0DC26267"/>
    <w:rsid w:val="0DE528CD"/>
    <w:rsid w:val="10521CAA"/>
    <w:rsid w:val="120A0268"/>
    <w:rsid w:val="1336279F"/>
    <w:rsid w:val="14651B4E"/>
    <w:rsid w:val="14656E27"/>
    <w:rsid w:val="148B12E6"/>
    <w:rsid w:val="14B129ED"/>
    <w:rsid w:val="154A6EC9"/>
    <w:rsid w:val="163C6D3C"/>
    <w:rsid w:val="16B74615"/>
    <w:rsid w:val="17E7717C"/>
    <w:rsid w:val="18053067"/>
    <w:rsid w:val="18725427"/>
    <w:rsid w:val="189A2440"/>
    <w:rsid w:val="19CD1B5D"/>
    <w:rsid w:val="1AED2CFB"/>
    <w:rsid w:val="1B2926A8"/>
    <w:rsid w:val="1D2C5F18"/>
    <w:rsid w:val="1D8334A3"/>
    <w:rsid w:val="1E394958"/>
    <w:rsid w:val="1E870D71"/>
    <w:rsid w:val="1E937715"/>
    <w:rsid w:val="1ED52C4B"/>
    <w:rsid w:val="1F1620F4"/>
    <w:rsid w:val="1F552C1D"/>
    <w:rsid w:val="1FAC7012"/>
    <w:rsid w:val="1FFE5062"/>
    <w:rsid w:val="21077559"/>
    <w:rsid w:val="22625AB7"/>
    <w:rsid w:val="23571D7C"/>
    <w:rsid w:val="254E2FC7"/>
    <w:rsid w:val="25506360"/>
    <w:rsid w:val="25B607B7"/>
    <w:rsid w:val="25D7082F"/>
    <w:rsid w:val="263C173A"/>
    <w:rsid w:val="264010F1"/>
    <w:rsid w:val="26551A71"/>
    <w:rsid w:val="26955FF5"/>
    <w:rsid w:val="274C1CCB"/>
    <w:rsid w:val="282910EA"/>
    <w:rsid w:val="283642C0"/>
    <w:rsid w:val="289D055E"/>
    <w:rsid w:val="29231FDE"/>
    <w:rsid w:val="2C351E0C"/>
    <w:rsid w:val="2C9F197B"/>
    <w:rsid w:val="2CA33441"/>
    <w:rsid w:val="2CE55C20"/>
    <w:rsid w:val="2D091E2F"/>
    <w:rsid w:val="2DAB4805"/>
    <w:rsid w:val="2DF74D94"/>
    <w:rsid w:val="2F287302"/>
    <w:rsid w:val="2F3B1E2F"/>
    <w:rsid w:val="2F520F27"/>
    <w:rsid w:val="2FCE2CA3"/>
    <w:rsid w:val="30426D13"/>
    <w:rsid w:val="314B4F91"/>
    <w:rsid w:val="31E95C8F"/>
    <w:rsid w:val="32D835BF"/>
    <w:rsid w:val="33E63B4D"/>
    <w:rsid w:val="34901FC4"/>
    <w:rsid w:val="355A1C3C"/>
    <w:rsid w:val="358856A2"/>
    <w:rsid w:val="37104E51"/>
    <w:rsid w:val="375600C6"/>
    <w:rsid w:val="37BE3010"/>
    <w:rsid w:val="37F34E29"/>
    <w:rsid w:val="39C40C73"/>
    <w:rsid w:val="3A43255A"/>
    <w:rsid w:val="3A7B3A28"/>
    <w:rsid w:val="3AFD4048"/>
    <w:rsid w:val="3C074325"/>
    <w:rsid w:val="3C367516"/>
    <w:rsid w:val="3D6201A1"/>
    <w:rsid w:val="3DFE5B9C"/>
    <w:rsid w:val="3EC46785"/>
    <w:rsid w:val="3F8A6044"/>
    <w:rsid w:val="42073DF3"/>
    <w:rsid w:val="43747266"/>
    <w:rsid w:val="438D657A"/>
    <w:rsid w:val="43A702D9"/>
    <w:rsid w:val="44592EA4"/>
    <w:rsid w:val="455530C7"/>
    <w:rsid w:val="477245B4"/>
    <w:rsid w:val="49617FA5"/>
    <w:rsid w:val="49C600F0"/>
    <w:rsid w:val="4A680A2C"/>
    <w:rsid w:val="4A834D28"/>
    <w:rsid w:val="4AEB2C26"/>
    <w:rsid w:val="4B820AC3"/>
    <w:rsid w:val="4D171D42"/>
    <w:rsid w:val="4E4F0BB0"/>
    <w:rsid w:val="4F934F18"/>
    <w:rsid w:val="4FCC21D8"/>
    <w:rsid w:val="50293C7B"/>
    <w:rsid w:val="50537907"/>
    <w:rsid w:val="510C31D4"/>
    <w:rsid w:val="537162DF"/>
    <w:rsid w:val="53BF661E"/>
    <w:rsid w:val="54A27E58"/>
    <w:rsid w:val="54B716F3"/>
    <w:rsid w:val="566969D2"/>
    <w:rsid w:val="56F43293"/>
    <w:rsid w:val="589A0F2A"/>
    <w:rsid w:val="590908BE"/>
    <w:rsid w:val="59475F02"/>
    <w:rsid w:val="5A9F7E98"/>
    <w:rsid w:val="5AAB580B"/>
    <w:rsid w:val="5B4825CA"/>
    <w:rsid w:val="5B675E44"/>
    <w:rsid w:val="5BE95901"/>
    <w:rsid w:val="5BF154A0"/>
    <w:rsid w:val="5BF60C53"/>
    <w:rsid w:val="5C4C26D6"/>
    <w:rsid w:val="5CEC170B"/>
    <w:rsid w:val="5CFA4828"/>
    <w:rsid w:val="5D3549DE"/>
    <w:rsid w:val="5D3D58BD"/>
    <w:rsid w:val="5E7E7C98"/>
    <w:rsid w:val="5F644958"/>
    <w:rsid w:val="60D07D7A"/>
    <w:rsid w:val="613D1187"/>
    <w:rsid w:val="62361C1C"/>
    <w:rsid w:val="63C416EC"/>
    <w:rsid w:val="63CB65D6"/>
    <w:rsid w:val="63EE14D4"/>
    <w:rsid w:val="642B176B"/>
    <w:rsid w:val="64B81F86"/>
    <w:rsid w:val="64F61D79"/>
    <w:rsid w:val="652A0877"/>
    <w:rsid w:val="65DA51F7"/>
    <w:rsid w:val="66742F55"/>
    <w:rsid w:val="68817BAC"/>
    <w:rsid w:val="689F6284"/>
    <w:rsid w:val="68F4037D"/>
    <w:rsid w:val="6A0A15CD"/>
    <w:rsid w:val="6A303C80"/>
    <w:rsid w:val="6A9040D6"/>
    <w:rsid w:val="6ABE50E7"/>
    <w:rsid w:val="6BC56CC5"/>
    <w:rsid w:val="6C5A499B"/>
    <w:rsid w:val="6C5D5B4B"/>
    <w:rsid w:val="6D452F22"/>
    <w:rsid w:val="6DF170E3"/>
    <w:rsid w:val="6DF352BD"/>
    <w:rsid w:val="6E54333B"/>
    <w:rsid w:val="6E8E16E6"/>
    <w:rsid w:val="6F597A10"/>
    <w:rsid w:val="6F8561D3"/>
    <w:rsid w:val="6FF627F9"/>
    <w:rsid w:val="705E3E6D"/>
    <w:rsid w:val="7121017E"/>
    <w:rsid w:val="71A01FCC"/>
    <w:rsid w:val="71C1048A"/>
    <w:rsid w:val="71C32FE3"/>
    <w:rsid w:val="72341F66"/>
    <w:rsid w:val="72783DCD"/>
    <w:rsid w:val="72B666A4"/>
    <w:rsid w:val="7396188C"/>
    <w:rsid w:val="73F35F5B"/>
    <w:rsid w:val="74C73AA1"/>
    <w:rsid w:val="7529415D"/>
    <w:rsid w:val="756B1F1D"/>
    <w:rsid w:val="789B25C4"/>
    <w:rsid w:val="794C1B10"/>
    <w:rsid w:val="79C04582"/>
    <w:rsid w:val="7A982D4B"/>
    <w:rsid w:val="7B827A6B"/>
    <w:rsid w:val="7CB2612E"/>
    <w:rsid w:val="7CF46746"/>
    <w:rsid w:val="7D1F0DA2"/>
    <w:rsid w:val="7F477001"/>
    <w:rsid w:val="7F631961"/>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8891</Words>
  <Characters>10191</Characters>
  <Lines>0</Lines>
  <Paragraphs>0</Paragraphs>
  <TotalTime>19</TotalTime>
  <ScaleCrop>false</ScaleCrop>
  <LinksUpToDate>false</LinksUpToDate>
  <CharactersWithSpaces>11258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2022-07-05T03:39:10Z</cp:lastPrinted>
  <dcterms:modified xsi:type="dcterms:W3CDTF">2022-07-05T03:43:27Z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86C911031B7D4654A92CD30A9A93ED80</vt:lpwstr>
  </property>
</Properties>
</file>