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附件2-1</w:t>
      </w:r>
    </w:p>
    <w:p>
      <w:pPr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rPr>
          <w:rFonts w:hint="eastAsia" w:ascii="黑体" w:hAnsi="黑体" w:eastAsia="黑体" w:cs="黑体"/>
          <w:bCs/>
          <w:sz w:val="36"/>
          <w:szCs w:val="36"/>
        </w:rPr>
      </w:pPr>
    </w:p>
    <w:p>
      <w:pPr>
        <w:spacing w:before="301" w:beforeLines="50" w:line="348" w:lineRule="auto"/>
        <w:ind w:firstLine="536" w:firstLineChars="150"/>
        <w:rPr>
          <w:rFonts w:hint="eastAsia" w:ascii="仿宋" w:hAnsi="仿宋" w:eastAsia="仿宋" w:cs="仿宋"/>
          <w:sz w:val="36"/>
          <w:szCs w:val="36"/>
          <w:u w:val="single"/>
        </w:rPr>
      </w:pPr>
      <w:r>
        <w:rPr>
          <w:rFonts w:hint="eastAsia" w:ascii="仿宋" w:hAnsi="仿宋" w:eastAsia="仿宋" w:cs="仿宋"/>
          <w:sz w:val="36"/>
          <w:szCs w:val="36"/>
        </w:rPr>
        <w:t>部门(单位)名称：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</w:t>
      </w:r>
      <w:r>
        <w:rPr>
          <w:rFonts w:hint="eastAsia" w:ascii="仿宋" w:hAnsi="仿宋" w:eastAsia="仿宋" w:cs="仿宋"/>
          <w:sz w:val="36"/>
          <w:szCs w:val="36"/>
          <w:u w:val="single"/>
          <w:lang w:eastAsia="zh-CN"/>
        </w:rPr>
        <w:t>华容县</w:t>
      </w:r>
      <w:r>
        <w:rPr>
          <w:rFonts w:hint="eastAsia" w:ascii="仿宋" w:hAnsi="仿宋" w:eastAsia="仿宋" w:cs="仿宋"/>
          <w:sz w:val="36"/>
          <w:szCs w:val="36"/>
          <w:u w:val="single"/>
          <w:lang w:val="en-US" w:eastAsia="zh-CN"/>
        </w:rPr>
        <w:t>东山</w:t>
      </w:r>
      <w:r>
        <w:rPr>
          <w:rFonts w:hint="eastAsia" w:ascii="仿宋" w:hAnsi="仿宋" w:eastAsia="仿宋" w:cs="仿宋"/>
          <w:sz w:val="36"/>
          <w:szCs w:val="36"/>
          <w:u w:val="single"/>
          <w:lang w:eastAsia="zh-CN"/>
        </w:rPr>
        <w:t>库管理所</w:t>
      </w:r>
      <w:r>
        <w:rPr>
          <w:rFonts w:hint="eastAsia" w:ascii="仿宋" w:hAnsi="仿宋" w:eastAsia="仿宋" w:cs="仿宋"/>
          <w:sz w:val="36"/>
          <w:szCs w:val="36"/>
          <w:u w:val="single"/>
        </w:rPr>
        <w:t xml:space="preserve">                              </w:t>
      </w:r>
    </w:p>
    <w:p>
      <w:pPr>
        <w:spacing w:before="301" w:beforeLines="50" w:line="348" w:lineRule="auto"/>
        <w:ind w:firstLine="536" w:firstLineChars="150"/>
        <w:rPr>
          <w:rFonts w:hint="eastAsia" w:ascii="仿宋" w:hAnsi="仿宋" w:eastAsia="仿宋" w:cs="仿宋"/>
          <w:spacing w:val="20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预</w:t>
      </w:r>
      <w:r>
        <w:rPr>
          <w:rFonts w:hint="eastAsia" w:ascii="仿宋" w:hAnsi="仿宋" w:eastAsia="仿宋" w:cs="仿宋"/>
          <w:spacing w:val="30"/>
          <w:sz w:val="36"/>
          <w:szCs w:val="36"/>
        </w:rPr>
        <w:t xml:space="preserve"> 算 编 码：</w:t>
      </w:r>
      <w:r>
        <w:rPr>
          <w:rFonts w:hint="eastAsia" w:ascii="仿宋" w:hAnsi="仿宋" w:eastAsia="仿宋" w:cs="仿宋"/>
          <w:spacing w:val="20"/>
          <w:sz w:val="36"/>
          <w:szCs w:val="36"/>
          <w:u w:val="single"/>
        </w:rPr>
        <w:t xml:space="preserve">      </w:t>
      </w:r>
      <w:r>
        <w:rPr>
          <w:rFonts w:hint="eastAsia" w:ascii="仿宋" w:hAnsi="仿宋" w:eastAsia="仿宋" w:cs="仿宋"/>
          <w:spacing w:val="20"/>
          <w:sz w:val="36"/>
          <w:szCs w:val="36"/>
          <w:u w:val="single"/>
          <w:lang w:val="en-US" w:eastAsia="zh-CN"/>
        </w:rPr>
        <w:t>400006</w:t>
      </w:r>
      <w:r>
        <w:rPr>
          <w:rFonts w:hint="eastAsia" w:ascii="仿宋" w:hAnsi="仿宋" w:eastAsia="仿宋" w:cs="仿宋"/>
          <w:spacing w:val="20"/>
          <w:sz w:val="36"/>
          <w:szCs w:val="36"/>
          <w:u w:val="single"/>
        </w:rPr>
        <w:t xml:space="preserve">                 </w:t>
      </w:r>
    </w:p>
    <w:p>
      <w:pPr>
        <w:spacing w:before="301" w:beforeLines="50" w:line="348" w:lineRule="auto"/>
        <w:ind w:firstLine="536" w:firstLineChars="15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评价方式：部门（单位）绩效自评</w:t>
      </w:r>
    </w:p>
    <w:p>
      <w:pPr>
        <w:spacing w:before="301" w:beforeLines="50" w:line="348" w:lineRule="auto"/>
        <w:ind w:firstLine="536" w:firstLineChars="150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评价机构：部门（单位）评价组   </w:t>
      </w:r>
    </w:p>
    <w:p>
      <w:pPr>
        <w:spacing w:line="720" w:lineRule="exact"/>
        <w:ind w:firstLine="2464" w:firstLineChars="690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720" w:lineRule="exact"/>
        <w:ind w:firstLine="2464" w:firstLineChars="690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720" w:lineRule="exact"/>
        <w:ind w:firstLine="2464" w:firstLineChars="690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720" w:lineRule="exact"/>
        <w:ind w:firstLine="2464" w:firstLineChars="690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720" w:lineRule="exact"/>
        <w:ind w:firstLine="2464" w:firstLineChars="690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720" w:lineRule="exact"/>
        <w:ind w:firstLine="2464" w:firstLineChars="690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348" w:lineRule="auto"/>
        <w:jc w:val="center"/>
        <w:rPr>
          <w:rFonts w:hint="eastAsia"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 xml:space="preserve">报告日期： 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2022</w:t>
      </w:r>
      <w:r>
        <w:rPr>
          <w:rFonts w:hint="eastAsia" w:ascii="仿宋" w:hAnsi="仿宋" w:eastAsia="仿宋" w:cs="仿宋"/>
          <w:sz w:val="36"/>
          <w:szCs w:val="36"/>
        </w:rPr>
        <w:t xml:space="preserve"> 年 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10</w:t>
      </w:r>
      <w:r>
        <w:rPr>
          <w:rFonts w:hint="eastAsia" w:ascii="仿宋" w:hAnsi="仿宋" w:eastAsia="仿宋" w:cs="仿宋"/>
          <w:sz w:val="36"/>
          <w:szCs w:val="36"/>
        </w:rPr>
        <w:t>月</w:t>
      </w:r>
      <w:r>
        <w:rPr>
          <w:rFonts w:hint="eastAsia" w:ascii="仿宋" w:hAnsi="仿宋" w:eastAsia="仿宋" w:cs="仿宋"/>
          <w:sz w:val="36"/>
          <w:szCs w:val="36"/>
          <w:lang w:val="en-US" w:eastAsia="zh-CN"/>
        </w:rPr>
        <w:t>13</w:t>
      </w:r>
      <w:r>
        <w:rPr>
          <w:rFonts w:hint="eastAsia" w:ascii="仿宋" w:hAnsi="仿宋" w:eastAsia="仿宋" w:cs="仿宋"/>
          <w:sz w:val="36"/>
          <w:szCs w:val="36"/>
        </w:rPr>
        <w:t>日</w:t>
      </w:r>
    </w:p>
    <w:p>
      <w:pPr>
        <w:autoSpaceDN w:val="0"/>
        <w:jc w:val="center"/>
        <w:textAlignment w:val="center"/>
        <w:rPr>
          <w:rFonts w:hint="eastAsia" w:ascii="仿宋" w:hAnsi="仿宋" w:eastAsia="仿宋" w:cs="仿宋"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1588" w:right="1588" w:bottom="1588" w:left="1588" w:header="851" w:footer="992" w:gutter="0"/>
          <w:pgNumType w:start="1"/>
          <w:cols w:space="720" w:num="1"/>
          <w:docGrid w:type="linesAndChars" w:linePitch="602" w:charSpace="-782"/>
        </w:sect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华容县</w:t>
      </w:r>
      <w:r>
        <w:rPr>
          <w:rFonts w:hint="eastAsia" w:ascii="仿宋" w:hAnsi="仿宋" w:eastAsia="仿宋" w:cs="仿宋"/>
          <w:sz w:val="36"/>
          <w:szCs w:val="36"/>
        </w:rPr>
        <w:t>财政局（制）</w:t>
      </w:r>
    </w:p>
    <w:tbl>
      <w:tblPr>
        <w:tblStyle w:val="4"/>
        <w:tblW w:w="980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441"/>
        <w:gridCol w:w="213"/>
        <w:gridCol w:w="46"/>
        <w:gridCol w:w="1213"/>
        <w:gridCol w:w="77"/>
        <w:gridCol w:w="1145"/>
        <w:gridCol w:w="272"/>
        <w:gridCol w:w="808"/>
        <w:gridCol w:w="1479"/>
        <w:gridCol w:w="226"/>
        <w:gridCol w:w="196"/>
        <w:gridCol w:w="259"/>
        <w:gridCol w:w="1080"/>
        <w:gridCol w:w="265"/>
        <w:gridCol w:w="139"/>
        <w:gridCol w:w="316"/>
        <w:gridCol w:w="6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1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一、部门（单位）基本概况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徐芮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联络电话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17680475365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人员编制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实有人数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85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职能职责概述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320" w:lineRule="exact"/>
              <w:ind w:left="140" w:leftChars="0" w:firstLine="0" w:firstLine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确保所辖区域水库的安全渡汛；</w:t>
            </w:r>
          </w:p>
          <w:p>
            <w:pPr>
              <w:numPr>
                <w:ilvl w:val="0"/>
                <w:numId w:val="1"/>
              </w:numPr>
              <w:autoSpaceDN w:val="0"/>
              <w:spacing w:line="320" w:lineRule="exact"/>
              <w:ind w:left="140" w:leftChars="0" w:firstLine="0" w:firstLineChars="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负责库区的水利工程的规划，建设和管理，受益村场用水调度和协调。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25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spacing w:line="348" w:lineRule="auto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348" w:lineRule="auto"/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spacing w:line="80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20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主要工作内容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、确保一座中性水库防洪保安。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、确保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东山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灌区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2.3万亩农田的灌溉保收。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3、东山灌区村场农田水利设施的建设与管护。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4、东山水库日常保洁，防溺水等常规化工作。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5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8"/>
                <w:szCs w:val="28"/>
              </w:rPr>
              <w:t>年度部门（单位）总体运行情况及取得的成绩</w:t>
            </w:r>
          </w:p>
        </w:tc>
        <w:tc>
          <w:tcPr>
            <w:tcW w:w="8146" w:type="dxa"/>
            <w:gridSpan w:val="15"/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确保了水库安全度汛。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确保了东山灌区2.3万亩农田的灌溉用水。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二、部门（单位）收支情况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年度收入情况（万元）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机构名称</w:t>
            </w:r>
          </w:p>
        </w:tc>
        <w:tc>
          <w:tcPr>
            <w:tcW w:w="121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收入合计</w:t>
            </w:r>
          </w:p>
        </w:tc>
        <w:tc>
          <w:tcPr>
            <w:tcW w:w="688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上年结转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公共财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政拨款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政府基金拨款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纳入专户管理的非税收入拨款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其他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收入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72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局机关及二级机构汇总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1、局机关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东山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水库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331.91</w:t>
            </w: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331.91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3、二级机构2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部门（单位）年度支出和结余情况（万元）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机构名称</w:t>
            </w:r>
          </w:p>
        </w:tc>
        <w:tc>
          <w:tcPr>
            <w:tcW w:w="121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支出合计</w:t>
            </w:r>
          </w:p>
        </w:tc>
        <w:tc>
          <w:tcPr>
            <w:tcW w:w="5542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其中：</w:t>
            </w:r>
          </w:p>
        </w:tc>
        <w:tc>
          <w:tcPr>
            <w:tcW w:w="1345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基本支出</w:t>
            </w:r>
          </w:p>
        </w:tc>
        <w:tc>
          <w:tcPr>
            <w:tcW w:w="324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其中：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项目支出</w:t>
            </w:r>
          </w:p>
        </w:tc>
        <w:tc>
          <w:tcPr>
            <w:tcW w:w="72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当年结余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累计结余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人员支出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公用支出</w:t>
            </w:r>
          </w:p>
        </w:tc>
        <w:tc>
          <w:tcPr>
            <w:tcW w:w="1080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7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局机关及二级机构汇总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1、局机关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东山水库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336.91</w:t>
            </w: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131.89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114.04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17.85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205.02</w:t>
            </w: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3、二级机构2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62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机构名称</w:t>
            </w:r>
          </w:p>
        </w:tc>
        <w:tc>
          <w:tcPr>
            <w:tcW w:w="121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三公经费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6887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公务接待费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公务用车运维费</w:t>
            </w: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公务用车购置费</w:t>
            </w: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因公出国费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8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局机关及二级机构汇总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1、局机关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东山水库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3、二级机构2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22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25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机构名称</w:t>
            </w:r>
          </w:p>
        </w:tc>
        <w:tc>
          <w:tcPr>
            <w:tcW w:w="121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固定资产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5946" w:type="dxa"/>
            <w:gridSpan w:val="11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其中：</w:t>
            </w:r>
          </w:p>
        </w:tc>
        <w:tc>
          <w:tcPr>
            <w:tcW w:w="941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在用固定资产</w:t>
            </w:r>
          </w:p>
        </w:tc>
        <w:tc>
          <w:tcPr>
            <w:tcW w:w="3644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出租固定资产</w:t>
            </w:r>
          </w:p>
        </w:tc>
        <w:tc>
          <w:tcPr>
            <w:tcW w:w="941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55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局机关及二级机构汇总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1、局机关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东山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水库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2015.5</w:t>
            </w:r>
          </w:p>
        </w:tc>
        <w:tc>
          <w:tcPr>
            <w:tcW w:w="230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2015.5</w:t>
            </w: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700" w:type="dxa"/>
            <w:gridSpan w:val="3"/>
            <w:noWrap w:val="0"/>
            <w:vAlign w:val="center"/>
          </w:tcPr>
          <w:p>
            <w:pPr>
              <w:spacing w:line="320" w:lineRule="exact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3、二级机构2</w:t>
            </w:r>
          </w:p>
        </w:tc>
        <w:tc>
          <w:tcPr>
            <w:tcW w:w="1213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0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64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三、部门（单位）整体支出绩效自评情况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整体支出绩效定性目标及实施计划完成情况</w:t>
            </w: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预期目标</w:t>
            </w: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实际完成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287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3774" w:type="dxa"/>
            <w:gridSpan w:val="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目标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水库安全度汛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目标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东山灌区2.3万亩农田的灌溉用水。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585" w:type="dxa"/>
            <w:gridSpan w:val="9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1，保证了2021年度水库安全度汛。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2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确保了东山灌区2.3万亩农田的灌溉用水。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="1680" w:leftChars="0"/>
              <w:jc w:val="both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整体支出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绩效定量目标及实施计划完成情况</w:t>
            </w:r>
          </w:p>
        </w:tc>
        <w:tc>
          <w:tcPr>
            <w:tcW w:w="2966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评价内容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绩效目标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产出目标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（部门工作实绩，包含上级部门和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县委县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政府布置的重点工作、实事任务等，根据部门实际进行调整细化）</w:t>
            </w: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质量指标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1、东山灌区2.3万亩农田的灌溉用水。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确保了东山灌区2.3万亩农田的灌溉用水。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9"/>
                <w:lang w:val="en-US" w:eastAsia="zh-CN" w:bidi="ar"/>
              </w:rPr>
              <w:t xml:space="preserve">     </w:t>
            </w:r>
            <w:r>
              <w:rPr>
                <w:rStyle w:val="9"/>
                <w:rFonts w:hint="eastAsia"/>
                <w:lang w:val="en-US" w:eastAsia="zh-CN" w:bidi="ar"/>
              </w:rPr>
              <w:t>通过对灌区水利维护，目前渠道利用率达到60%</w:t>
            </w:r>
            <w:r>
              <w:rPr>
                <w:rStyle w:val="9"/>
                <w:lang w:val="en-US" w:eastAsia="zh-CN" w:bidi="ar"/>
              </w:rPr>
              <w:t xml:space="preserve">       </w:t>
            </w:r>
            <w:r>
              <w:rPr>
                <w:rStyle w:val="9"/>
                <w:lang w:val="en-US" w:eastAsia="zh-CN" w:bidi="ar"/>
              </w:rPr>
              <w:br w:type="textWrapping"/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2，保证了2021年度水库安全度汛。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数量指标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东山灌区2.3万亩农田的灌溉用水。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numPr>
                <w:ilvl w:val="0"/>
                <w:numId w:val="0"/>
              </w:num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确保了东山灌区2.3万亩农田的灌溉用水。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Style w:val="8"/>
                <w:lang w:val="en-US" w:eastAsia="zh-CN" w:bidi="ar"/>
              </w:rPr>
              <w:t>对水库工作人员进行了培训并发放工资。</w:t>
            </w:r>
            <w:r>
              <w:rPr>
                <w:rStyle w:val="8"/>
                <w:lang w:val="en-US" w:eastAsia="zh-CN" w:bidi="ar"/>
              </w:rPr>
              <w:br w:type="textWrapping"/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61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4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时效指标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按水利目标管理单位完成各项指标。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9"/>
                <w:rFonts w:hint="eastAsia"/>
                <w:lang w:val="en-US" w:eastAsia="zh-CN" w:bidi="ar"/>
              </w:rPr>
              <w:t>已</w:t>
            </w:r>
            <w:r>
              <w:rPr>
                <w:rStyle w:val="9"/>
                <w:lang w:val="en-US" w:eastAsia="zh-CN" w:bidi="ar"/>
              </w:rPr>
              <w:t>按水利目标管理单位完成各项指标。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成本指标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Style w:val="9"/>
                <w:lang w:val="en-US" w:eastAsia="zh-CN" w:bidi="ar"/>
              </w:rPr>
              <w:t>农田灌溉用水利用率提高10%。</w:t>
            </w:r>
            <w:r>
              <w:rPr>
                <w:rStyle w:val="9"/>
                <w:lang w:val="en-US" w:eastAsia="zh-CN" w:bidi="ar"/>
              </w:rPr>
              <w:br w:type="textWrapping"/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农田灌溉用水利用率提高10%。</w:t>
            </w:r>
            <w:r>
              <w:rPr>
                <w:rStyle w:val="9"/>
                <w:lang w:val="en-US" w:eastAsia="zh-CN" w:bidi="ar"/>
              </w:rPr>
              <w:br w:type="textWrapping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restart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效益目标</w:t>
            </w:r>
          </w:p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（预期实现的效益）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社会效益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灌区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2.3万亩农田的灌溉。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  <w:t>确保了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2021年灌区2.3万亩农田的灌溉用水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经济效益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灌溉区域农民收入较去年提高10%。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  <w:t>灌溉区域农民收入较去年提高10%。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5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生态效益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灌区通过科学及时的排涝抗旱，发挥了机电排灌的显著效果</w:t>
            </w: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  <w:t>确保了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val="en-US" w:eastAsia="zh-CN"/>
              </w:rPr>
              <w:t>东山</w:t>
            </w: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  <w:lang w:eastAsia="zh-CN"/>
              </w:rPr>
              <w:t>水库灌区环境及水质的提升。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65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vMerge w:val="continue"/>
            <w:noWrap w:val="0"/>
            <w:vAlign w:val="center"/>
          </w:tcPr>
          <w:p>
            <w:pPr>
              <w:autoSpaceDN w:val="0"/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社会公众或服务对象满意度</w:t>
            </w:r>
          </w:p>
        </w:tc>
        <w:tc>
          <w:tcPr>
            <w:tcW w:w="2709" w:type="dxa"/>
            <w:gridSpan w:val="4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灌区农民对我们的服务满意度达到95%以上。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both"/>
              <w:textAlignment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8"/>
                <w:szCs w:val="28"/>
              </w:rPr>
              <w:t>灌区农民对我们的服务满意度达到95%以上。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绩效自评综合得分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2990" w:type="dxa"/>
            <w:gridSpan w:val="5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评价等次</w:t>
            </w:r>
          </w:p>
        </w:tc>
        <w:tc>
          <w:tcPr>
            <w:tcW w:w="6810" w:type="dxa"/>
            <w:gridSpan w:val="1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四、评价人员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67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单  位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签  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尹少华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所长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东山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水库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肖必超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副所长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东山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水库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吴敏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工会主席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东山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水库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80" w:hRule="atLeast"/>
          <w:jc w:val="center"/>
        </w:trPr>
        <w:tc>
          <w:tcPr>
            <w:tcW w:w="1654" w:type="dxa"/>
            <w:gridSpan w:val="2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徐芮</w:t>
            </w:r>
          </w:p>
        </w:tc>
        <w:tc>
          <w:tcPr>
            <w:tcW w:w="3561" w:type="dxa"/>
            <w:gridSpan w:val="6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会计</w:t>
            </w:r>
          </w:p>
        </w:tc>
        <w:tc>
          <w:tcPr>
            <w:tcW w:w="1479" w:type="dxa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东山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水库</w:t>
            </w:r>
          </w:p>
        </w:tc>
        <w:tc>
          <w:tcPr>
            <w:tcW w:w="3106" w:type="dxa"/>
            <w:gridSpan w:val="8"/>
            <w:noWrap w:val="0"/>
            <w:vAlign w:val="center"/>
          </w:tcPr>
          <w:p>
            <w:pPr>
              <w:autoSpaceDN w:val="0"/>
              <w:spacing w:line="32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评价组组长（签字）：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年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月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22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部门（单位）意见：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部门（单位）负责人（签章）：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2022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年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月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794" w:hRule="atLeast"/>
          <w:jc w:val="center"/>
        </w:trPr>
        <w:tc>
          <w:tcPr>
            <w:tcW w:w="9800" w:type="dxa"/>
            <w:gridSpan w:val="17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财政部门归口业务科室意见：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财政部门归口业务科室负责人（签章）：</w:t>
            </w:r>
          </w:p>
          <w:p>
            <w:pPr>
              <w:autoSpaceDN w:val="0"/>
              <w:spacing w:line="320" w:lineRule="exact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          年    月   日</w:t>
            </w:r>
          </w:p>
        </w:tc>
      </w:tr>
    </w:tbl>
    <w:p>
      <w:pPr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填报人（签名）：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徐芮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           联系电话：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17680475365</w:t>
      </w:r>
    </w:p>
    <w:tbl>
      <w:tblPr>
        <w:tblStyle w:val="4"/>
        <w:tblW w:w="95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558" w:type="dxa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spacing w:line="440" w:lineRule="exact"/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一、部门（单位）概况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（一）部门（单位）基本情况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ind w:firstLine="840" w:firstLineChars="300"/>
              <w:rPr>
                <w:rFonts w:hint="default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东山水库属差额拨款事业单位，编制数12人，实有人数11人，隶属县水利局二级单位。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（二）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部门（单位）整体支出规模、使用方向和主要内容、涉及范围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等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leftChars="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autoSpaceDN w:val="0"/>
              <w:spacing w:line="320" w:lineRule="exact"/>
              <w:ind w:firstLine="28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1,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确保一座中性水库防洪保安。</w:t>
            </w:r>
          </w:p>
          <w:p>
            <w:pPr>
              <w:autoSpaceDN w:val="0"/>
              <w:spacing w:line="320" w:lineRule="exact"/>
              <w:ind w:firstLine="280" w:firstLineChars="100"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autoSpaceDN w:val="0"/>
              <w:spacing w:line="320" w:lineRule="exact"/>
              <w:ind w:firstLine="28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确保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东山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eastAsia="zh-CN"/>
              </w:rPr>
              <w:t>灌区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2.3万亩农田的灌溉保收。</w:t>
            </w:r>
          </w:p>
          <w:p>
            <w:pPr>
              <w:autoSpaceDN w:val="0"/>
              <w:spacing w:line="320" w:lineRule="exact"/>
              <w:ind w:firstLine="28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3"/>
              </w:numPr>
              <w:autoSpaceDN w:val="0"/>
              <w:spacing w:line="320" w:lineRule="exact"/>
              <w:ind w:left="0" w:leftChars="0" w:firstLine="28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东山灌区村场农田水利设施的建设与管护。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firstLine="280" w:firstLineChars="10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 xml:space="preserve"> 5,东山水库日常保洁，防溺水等常规化工作。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leftChars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二、部门（单位）整体支出管理及使用情况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（一）基本支出</w:t>
            </w:r>
          </w:p>
          <w:p>
            <w:pPr>
              <w:spacing w:line="560" w:lineRule="exact"/>
              <w:ind w:firstLine="840" w:firstLineChars="3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东山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水库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2021年度基本支出为：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131.89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万元。其中人员支出为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114.04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万元，公用支出为17.85万元。</w:t>
            </w:r>
          </w:p>
          <w:p>
            <w:pPr>
              <w:numPr>
                <w:ilvl w:val="0"/>
                <w:numId w:val="4"/>
              </w:numPr>
              <w:spacing w:line="560" w:lineRule="exact"/>
              <w:ind w:left="700" w:leftChars="0" w:firstLine="560" w:firstLineChars="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专项支出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无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numPr>
                <w:ilvl w:val="0"/>
                <w:numId w:val="5"/>
              </w:num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专项资金安排落实、总投入等情况分析</w:t>
            </w:r>
          </w:p>
          <w:p>
            <w:pPr>
              <w:numPr>
                <w:ilvl w:val="0"/>
                <w:numId w:val="5"/>
              </w:numPr>
              <w:spacing w:line="560" w:lineRule="exact"/>
              <w:ind w:left="0" w:leftChars="0"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专项资金实际使用情况分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析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3、专项资金管理情况分析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（一）专项组织情况分析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280" w:firstLineChars="100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（二）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专项管理情况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分析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三、部门（单位）专项组织实施情况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（一）专项组织情况分析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（二）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专项管理情况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  <w:t>分析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280" w:firstLineChars="100"/>
              <w:rPr>
                <w:rFonts w:hint="eastAsia" w:ascii="仿宋" w:hAnsi="仿宋" w:eastAsia="仿宋" w:cs="仿宋"/>
                <w:bCs/>
                <w:sz w:val="28"/>
                <w:szCs w:val="28"/>
                <w:lang w:eastAsia="zh-CN"/>
              </w:rPr>
            </w:pPr>
          </w:p>
          <w:p>
            <w:p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四、部门（单位）整体支出绩效情况</w:t>
            </w:r>
          </w:p>
          <w:p>
            <w:pPr>
              <w:numPr>
                <w:ilvl w:val="0"/>
                <w:numId w:val="0"/>
              </w:numPr>
              <w:autoSpaceDN w:val="0"/>
              <w:spacing w:line="320" w:lineRule="exact"/>
              <w:ind w:firstLine="840" w:firstLineChars="300"/>
              <w:jc w:val="both"/>
              <w:textAlignment w:val="center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  <w:p>
            <w:pPr>
              <w:numPr>
                <w:ilvl w:val="0"/>
                <w:numId w:val="6"/>
              </w:numPr>
              <w:spacing w:line="560" w:lineRule="exact"/>
              <w:ind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存在的主要问题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spacing w:line="560" w:lineRule="exact"/>
              <w:ind w:firstLine="280" w:firstLineChars="1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对绩效评价认识不足，对整体支出绩效评价业务有不熟悉。预算执行进度和效率有待加强，绩效目标管理和调整有待提升。</w:t>
            </w:r>
          </w:p>
          <w:p>
            <w:pPr>
              <w:numPr>
                <w:ilvl w:val="0"/>
                <w:numId w:val="0"/>
              </w:numPr>
              <w:spacing w:line="560" w:lineRule="exact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</w:p>
          <w:p>
            <w:pPr>
              <w:numPr>
                <w:ilvl w:val="0"/>
                <w:numId w:val="6"/>
              </w:numPr>
              <w:spacing w:line="560" w:lineRule="exact"/>
              <w:ind w:left="0" w:leftChars="0" w:firstLine="560" w:firstLineChars="200"/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改进措施和有关建议</w:t>
            </w:r>
          </w:p>
          <w:p>
            <w:pPr>
              <w:numPr>
                <w:ilvl w:val="0"/>
                <w:numId w:val="7"/>
              </w:numPr>
              <w:spacing w:line="560" w:lineRule="exact"/>
              <w:ind w:left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切实加快预算执行进度，提升资金使用效率。</w:t>
            </w:r>
          </w:p>
          <w:p>
            <w:pPr>
              <w:numPr>
                <w:ilvl w:val="0"/>
                <w:numId w:val="7"/>
              </w:numPr>
              <w:spacing w:line="560" w:lineRule="exact"/>
              <w:ind w:leftChars="200"/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  <w:lang w:val="en-US" w:eastAsia="zh-CN"/>
              </w:rPr>
              <w:t>密切关注目标任务开展情况，确保实际工作切合绩效目标。</w:t>
            </w:r>
          </w:p>
          <w:p>
            <w:pPr>
              <w:rPr>
                <w:rFonts w:hint="eastAsia" w:ascii="仿宋" w:hAnsi="仿宋" w:eastAsia="仿宋" w:cs="仿宋"/>
                <w:bCs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before="156" w:beforeLines="50"/>
        <w:contextualSpacing/>
        <w:rPr>
          <w:rFonts w:hint="eastAsia" w:eastAsia="仿宋_GB2312"/>
          <w:sz w:val="32"/>
        </w:rPr>
      </w:pPr>
      <w:bookmarkStart w:id="0" w:name="_GoBack"/>
      <w:bookmarkEnd w:id="0"/>
    </w:p>
    <w:sectPr>
      <w:footerReference r:id="rId5" w:type="default"/>
      <w:footerReference r:id="rId6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outside" w:y="1"/>
    </w:pPr>
    <w:r>
      <w:fldChar w:fldCharType="begin"/>
    </w:r>
    <w:r>
      <w:instrText xml:space="preserve">PAGE  </w:instrText>
    </w:r>
    <w:r>
      <w:fldChar w:fldCharType="separate"/>
    </w:r>
    <w:r>
      <w:t>- 15 -</w:t>
    </w:r>
    <w:r>
      <w:fldChar w:fldCharType="end"/>
    </w:r>
  </w:p>
  <w:p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18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1A3F0F"/>
    <w:multiLevelType w:val="singleLevel"/>
    <w:tmpl w:val="D31A3F0F"/>
    <w:lvl w:ilvl="0" w:tentative="0">
      <w:start w:val="3"/>
      <w:numFmt w:val="decimal"/>
      <w:suff w:val="nothing"/>
      <w:lvlText w:val="%1，"/>
      <w:lvlJc w:val="left"/>
    </w:lvl>
  </w:abstractNum>
  <w:abstractNum w:abstractNumId="1">
    <w:nsid w:val="EA87B86D"/>
    <w:multiLevelType w:val="singleLevel"/>
    <w:tmpl w:val="EA87B86D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3523946B"/>
    <w:multiLevelType w:val="singleLevel"/>
    <w:tmpl w:val="3523946B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35C877DE"/>
    <w:multiLevelType w:val="singleLevel"/>
    <w:tmpl w:val="35C877DE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49D4548"/>
    <w:multiLevelType w:val="singleLevel"/>
    <w:tmpl w:val="549D4548"/>
    <w:lvl w:ilvl="0" w:tentative="0">
      <w:start w:val="2"/>
      <w:numFmt w:val="chineseCounting"/>
      <w:suff w:val="nothing"/>
      <w:lvlText w:val="（%1）"/>
      <w:lvlJc w:val="left"/>
      <w:pPr>
        <w:ind w:left="700"/>
      </w:pPr>
      <w:rPr>
        <w:rFonts w:hint="eastAsia"/>
      </w:rPr>
    </w:lvl>
  </w:abstractNum>
  <w:abstractNum w:abstractNumId="5">
    <w:nsid w:val="744576D2"/>
    <w:multiLevelType w:val="singleLevel"/>
    <w:tmpl w:val="744576D2"/>
    <w:lvl w:ilvl="0" w:tentative="0">
      <w:start w:val="1"/>
      <w:numFmt w:val="decimal"/>
      <w:suff w:val="nothing"/>
      <w:lvlText w:val="%1、"/>
      <w:lvlJc w:val="left"/>
      <w:pPr>
        <w:ind w:left="140" w:leftChars="0" w:firstLine="0" w:firstLineChars="0"/>
      </w:pPr>
    </w:lvl>
  </w:abstractNum>
  <w:abstractNum w:abstractNumId="6">
    <w:nsid w:val="7C6A46BE"/>
    <w:multiLevelType w:val="singleLevel"/>
    <w:tmpl w:val="7C6A46BE"/>
    <w:lvl w:ilvl="0" w:tentative="0">
      <w:start w:val="1"/>
      <w:numFmt w:val="decimal"/>
      <w:suff w:val="nothing"/>
      <w:lvlText w:val="%1，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zZjc5NTllMGFiYmY5NmVhMTllZTJlYTQ3YTVjMjgifQ=="/>
  </w:docVars>
  <w:rsids>
    <w:rsidRoot w:val="2CE55C20"/>
    <w:rsid w:val="007B2063"/>
    <w:rsid w:val="00FB5396"/>
    <w:rsid w:val="028D0585"/>
    <w:rsid w:val="03F5434F"/>
    <w:rsid w:val="070501D5"/>
    <w:rsid w:val="07677300"/>
    <w:rsid w:val="083749E7"/>
    <w:rsid w:val="08AA5532"/>
    <w:rsid w:val="0BA22424"/>
    <w:rsid w:val="0C172F94"/>
    <w:rsid w:val="0C282477"/>
    <w:rsid w:val="0DE528CD"/>
    <w:rsid w:val="10C5721A"/>
    <w:rsid w:val="128E45DD"/>
    <w:rsid w:val="14AC710F"/>
    <w:rsid w:val="14D669B6"/>
    <w:rsid w:val="15150867"/>
    <w:rsid w:val="155E0E1B"/>
    <w:rsid w:val="16F07FD4"/>
    <w:rsid w:val="18725427"/>
    <w:rsid w:val="1A140B8A"/>
    <w:rsid w:val="1AF879F8"/>
    <w:rsid w:val="1B033065"/>
    <w:rsid w:val="1B996355"/>
    <w:rsid w:val="1C573BDD"/>
    <w:rsid w:val="1FA35C4B"/>
    <w:rsid w:val="254E2FC7"/>
    <w:rsid w:val="258B140D"/>
    <w:rsid w:val="25A77F4A"/>
    <w:rsid w:val="263C173A"/>
    <w:rsid w:val="28292D62"/>
    <w:rsid w:val="28471582"/>
    <w:rsid w:val="286419B6"/>
    <w:rsid w:val="28DB3271"/>
    <w:rsid w:val="291B09D7"/>
    <w:rsid w:val="2CA33441"/>
    <w:rsid w:val="2CE55C20"/>
    <w:rsid w:val="2ECC6AC3"/>
    <w:rsid w:val="2F287302"/>
    <w:rsid w:val="30426D13"/>
    <w:rsid w:val="305C2BC8"/>
    <w:rsid w:val="3177557E"/>
    <w:rsid w:val="35215492"/>
    <w:rsid w:val="36682375"/>
    <w:rsid w:val="3A43255A"/>
    <w:rsid w:val="3B8B4DA0"/>
    <w:rsid w:val="3D255E0C"/>
    <w:rsid w:val="3D6201A1"/>
    <w:rsid w:val="3DAC54FB"/>
    <w:rsid w:val="3DF26C24"/>
    <w:rsid w:val="3EC46785"/>
    <w:rsid w:val="3F8A6044"/>
    <w:rsid w:val="45E12DDC"/>
    <w:rsid w:val="477245B4"/>
    <w:rsid w:val="47FC59B7"/>
    <w:rsid w:val="48F56F09"/>
    <w:rsid w:val="4B8B3217"/>
    <w:rsid w:val="4E4F0BB0"/>
    <w:rsid w:val="4ED95EDD"/>
    <w:rsid w:val="4EE00C3C"/>
    <w:rsid w:val="4F554AA1"/>
    <w:rsid w:val="543A08DA"/>
    <w:rsid w:val="56367405"/>
    <w:rsid w:val="57533CB9"/>
    <w:rsid w:val="58781F73"/>
    <w:rsid w:val="590E2AC6"/>
    <w:rsid w:val="5BE95901"/>
    <w:rsid w:val="5FCA554E"/>
    <w:rsid w:val="621C5939"/>
    <w:rsid w:val="62D17B01"/>
    <w:rsid w:val="63094374"/>
    <w:rsid w:val="69AA6B70"/>
    <w:rsid w:val="6A0A15CD"/>
    <w:rsid w:val="6DF352BD"/>
    <w:rsid w:val="705E3E6D"/>
    <w:rsid w:val="71C1048A"/>
    <w:rsid w:val="722D56B1"/>
    <w:rsid w:val="73F35F5B"/>
    <w:rsid w:val="7577531A"/>
    <w:rsid w:val="79C04582"/>
    <w:rsid w:val="7AB61E90"/>
    <w:rsid w:val="7D1F0DA2"/>
    <w:rsid w:val="7FE6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0"/>
    <w:pPr>
      <w:ind w:firstLine="588" w:firstLineChars="200"/>
    </w:pPr>
    <w:rPr>
      <w:rFonts w:ascii="仿宋_GB2312" w:hAnsi="Calibri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6">
    <w:name w:val="page number"/>
    <w:qFormat/>
    <w:uiPriority w:val="0"/>
  </w:style>
  <w:style w:type="character" w:customStyle="1" w:styleId="7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9">
    <w:name w:val="font11"/>
    <w:basedOn w:val="5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1796</Words>
  <Characters>1954</Characters>
  <Lines>0</Lines>
  <Paragraphs>0</Paragraphs>
  <TotalTime>33</TotalTime>
  <ScaleCrop>false</ScaleCrop>
  <LinksUpToDate>false</LinksUpToDate>
  <CharactersWithSpaces>2301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2019-05-08T01:00:00Z</dcterms:created>
  <dc:creator>Administrator</dc:creator>
  <cp:lastModifiedBy>戴</cp:lastModifiedBy>
  <cp:lastPrinted>2021-07-20T02:59:00Z</cp:lastPrinted>
  <dcterms:modified xsi:type="dcterms:W3CDTF">2022-10-24T02:29:33Z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3960C4FEB2C5401CB809038C7CDA3F5A</vt:lpwstr>
  </property>
</Properties>
</file>