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华容县发改局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107001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年6 月13日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黎丽萍</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4188323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拟订全县国民经济和社会发展战略、中长期规划和年度计划并组织实施；2、组织编制国民经济动员、国防交通保障规划、计划；3、统筹规划和综合协调产业发展，推动全县经济结构战略性调整；4、协调平衡卫生健康、科技教育、文化旅游、体育民政等发展政策；5、推进可持续发展战略，负责节能减排的综合协调工作；6、负责全县固定资产投资管理；7、负责全县价格工作的宏观管理和综合平衡；8、完成上级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5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任务1、完成“十四五”规划编制年度任务；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任务2、完成争项争资年度任务；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任务3、完成国定资产投资年度目标；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任务4、完成华容长江大保护项目年度建设任务；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任务5、完成智慧华容PPP项目年度建设任务；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任务6、完成易地扶贫搬迁年度任务；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任务7、完成年度成本调查和监测任务；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任务8、按要求做好涉案物的鉴定工作；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任务9、完成上级交办的其他任务。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8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eastAsia="仿宋_GB2312"/>
                <w:sz w:val="24"/>
              </w:rPr>
              <w:t>2021年，县发改局在县委、县政府的坚强领导下，大力推进“一廊二中心”建设，强力推进富美华容高质量发展。全年地区生产增长8.1%,六县市排名第三，固投增长11.5%，六县市排名第三；城居收入增长8.5%，六县市排名第二。较好完成了县委、县政府下达的各项目标任务， 2021年获</w:t>
            </w:r>
            <w:r>
              <w:rPr>
                <w:rFonts w:hint="eastAsia" w:ascii="仿宋_GB2312" w:hAnsi="仿宋_GB2312" w:eastAsia="仿宋_GB2312" w:cs="仿宋_GB2312"/>
                <w:color w:val="000000"/>
                <w:sz w:val="24"/>
              </w:rPr>
              <w:t>全县“综合绩效考核”一类单位，乡村振兴优胜单位、推进产业链发展优胜单位、财税工作优胜单位。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6"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787.04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787.04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787.04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787.04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787.04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787.04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582.44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204.6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787.04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787.04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582.44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204.6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24.64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24.64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24.64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目标1：完成争项争资年度任务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目标2：完成年度计划编制年度任务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目标3:完成GDP、固投、城居目标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目标4：完成易地扶贫搬迁年度任务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目标5：完成成本调查和监测任务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目标6：做好涉案物的鉴定工作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目标7：完成上级交办的其他任务</w:t>
            </w:r>
          </w:p>
        </w:tc>
        <w:tc>
          <w:tcPr>
            <w:tcW w:w="4585" w:type="dxa"/>
            <w:gridSpan w:val="9"/>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超额完成年度争项争资任务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完成年度计划编制任务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完成GDP、固投、城居目标年度任务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完成易地扶贫搬迁年度任务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完成年度成本调查和监测任务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完成涉案物认证工作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完成县委、县政府交办的其他任务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1"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ind w:left="720" w:hanging="720" w:hanging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指标1：全县争项争资全市第三</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ind w:left="720" w:hanging="720" w:hanging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指标2：发改系统争项争资全市第三</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指标1：地区生产总值增幅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指标2：固定资产投资增幅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指标3：城镇居民收入增幅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指标1：完成年度计划编制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完成预期目标任务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指标2：监华公铁两用桥</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按时间节点顺利推进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指标1：三公经费控制严格</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未超预期目标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指标2：项目经费控制严格</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未超预期目标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bottom w:val="single" w:color="auto" w:sz="4" w:space="0"/>
            </w:tcBorders>
            <w:vAlign w:val="center"/>
          </w:tcPr>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指标1：经济体制和社会体制改革</w:t>
            </w:r>
          </w:p>
        </w:tc>
        <w:tc>
          <w:tcPr>
            <w:tcW w:w="2684" w:type="dxa"/>
            <w:gridSpan w:val="6"/>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auto" w:sz="4" w:space="0"/>
              <w:bottom w:val="single" w:color="auto" w:sz="4" w:space="0"/>
            </w:tcBorders>
            <w:vAlign w:val="center"/>
          </w:tcPr>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指标2：成本调查和市场监测</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bottom w:val="single" w:color="auto" w:sz="4" w:space="0"/>
            </w:tcBorders>
            <w:vAlign w:val="center"/>
          </w:tcPr>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指标1：全县争项争资37.02亿元</w:t>
            </w:r>
          </w:p>
        </w:tc>
        <w:tc>
          <w:tcPr>
            <w:tcW w:w="2684" w:type="dxa"/>
            <w:gridSpan w:val="6"/>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auto" w:sz="4" w:space="0"/>
              <w:bottom w:val="single" w:color="auto" w:sz="4" w:space="0"/>
            </w:tcBorders>
            <w:vAlign w:val="center"/>
          </w:tcPr>
          <w:p>
            <w:pPr>
              <w:autoSpaceDN w:val="0"/>
              <w:spacing w:line="320" w:lineRule="exact"/>
              <w:ind w:left="600" w:hanging="600" w:hangingChars="2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指标2：发改系统争项争资全市第三</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指标1：节能减排全市第二</w:t>
            </w:r>
          </w:p>
        </w:tc>
        <w:tc>
          <w:tcPr>
            <w:tcW w:w="2684" w:type="dxa"/>
            <w:gridSpan w:val="6"/>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指标2：易地扶贫搬迁</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完成年度目标任务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bottom w:val="single" w:color="auto" w:sz="4" w:space="0"/>
            </w:tcBorders>
            <w:vAlign w:val="center"/>
          </w:tcPr>
          <w:p>
            <w:pPr>
              <w:autoSpaceDN w:val="0"/>
              <w:spacing w:line="320" w:lineRule="exact"/>
              <w:ind w:left="960" w:hanging="960" w:hanging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指标1：行政审批、优化经济环境</w:t>
            </w:r>
          </w:p>
        </w:tc>
        <w:tc>
          <w:tcPr>
            <w:tcW w:w="2684" w:type="dxa"/>
            <w:gridSpan w:val="6"/>
            <w:tcBorders>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auto" w:sz="4" w:space="0"/>
              <w:bottom w:val="single" w:color="auto" w:sz="4" w:space="0"/>
            </w:tcBorders>
            <w:vAlign w:val="center"/>
          </w:tcPr>
          <w:p>
            <w:pPr>
              <w:autoSpaceDN w:val="0"/>
              <w:spacing w:line="320" w:lineRule="exact"/>
              <w:ind w:left="720" w:hanging="720" w:hanging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指标2：价格收费管理涉案物认证工作</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社会公众满意度95%以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张杰勇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  晓</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钟  孝</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投资股股长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黎丽萍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发改局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1"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27"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70"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1、职能职责</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 xml:space="preserve">拟订全县国民经济和社会发展战略、中长期规划和年度计划并组织实施；组织编制国民经济动员、国防交通保障规划、计划；统筹规划和综合协调产业发展，推动全县经济结构战略性调整；协调平衡卫生健康、科技教育、文化旅游、体育民政等发展政策；推进可持续发展战略，负责节能减排的综合协调工作；负责全县固定资产投资管理；负责全县价格工作的宏观管理和综合平衡；完成上级交办的其他任务。       </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2、机构设置</w:t>
            </w:r>
          </w:p>
          <w:p>
            <w:pPr>
              <w:spacing w:line="520" w:lineRule="exact"/>
              <w:ind w:firstLine="640" w:firstLineChars="200"/>
              <w:rPr>
                <w:rFonts w:ascii="仿宋" w:hAnsi="仿宋" w:eastAsia="仿宋" w:cs="仿宋"/>
                <w:sz w:val="32"/>
                <w:szCs w:val="32"/>
              </w:rPr>
            </w:pPr>
            <w:r>
              <w:rPr>
                <w:rFonts w:hint="eastAsia" w:ascii="仿宋" w:hAnsi="仿宋" w:eastAsia="仿宋" w:cs="仿宋"/>
                <w:bCs/>
                <w:sz w:val="32"/>
                <w:szCs w:val="32"/>
              </w:rPr>
              <w:t>县发展和改革局设12个内设机构：办公室、政策法规股（承担县招标投标监督管理委员会办公室日常工作）、固定资产投资股、农村经济股、工业外经股（加挂园区办和综合办牌子）、基础能源股（承担国民经济动员办公室、县国防动员委员会装备动员办公室日常工作）、社会发展和财贸服务业股、资源环境和节能监察股（长江经济带和洞庭湖发展办公室）、信用信息股（加挂县争项争资领导小组办公室和县经济体制改革领导小组办公室牌子）、行政审批股、收费价管股、成本调查监审股（对外称华容县成本监审股）</w:t>
            </w:r>
            <w:r>
              <w:rPr>
                <w:rFonts w:hint="eastAsia" w:ascii="仿宋" w:hAnsi="仿宋" w:eastAsia="仿宋" w:cs="仿宋"/>
                <w:sz w:val="32"/>
                <w:szCs w:val="32"/>
              </w:rPr>
              <w:t>。</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3、人员情况</w:t>
            </w:r>
          </w:p>
          <w:p>
            <w:pPr>
              <w:spacing w:line="520" w:lineRule="exact"/>
              <w:ind w:firstLine="640" w:firstLineChars="200"/>
              <w:rPr>
                <w:rFonts w:ascii="仿宋" w:hAnsi="仿宋" w:eastAsia="仿宋" w:cs="仿宋"/>
                <w:bCs/>
                <w:sz w:val="32"/>
                <w:szCs w:val="32"/>
              </w:rPr>
            </w:pPr>
            <w:r>
              <w:rPr>
                <w:rFonts w:hint="eastAsia" w:ascii="仿宋" w:hAnsi="仿宋" w:eastAsia="仿宋" w:cs="仿宋"/>
                <w:sz w:val="32"/>
                <w:szCs w:val="32"/>
              </w:rPr>
              <w:t>县</w:t>
            </w:r>
            <w:r>
              <w:rPr>
                <w:rFonts w:hint="eastAsia" w:ascii="仿宋" w:hAnsi="仿宋" w:eastAsia="仿宋" w:cs="仿宋"/>
                <w:bCs/>
                <w:sz w:val="32"/>
                <w:szCs w:val="32"/>
              </w:rPr>
              <w:t>发展和改革局机关行政编制17名，其中局长1名，副局长3名。核定机关后勤服务事业编制1名，事业编制20名。2021年年末实有在职人数52人。</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hd w:val="clear" w:color="auto" w:fill="FFFFFF"/>
              <w:adjustRightInd w:val="0"/>
              <w:spacing w:line="52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kern w:val="0"/>
                <w:sz w:val="32"/>
                <w:szCs w:val="32"/>
                <w:shd w:val="clear" w:color="auto" w:fill="FFFFFF"/>
              </w:rPr>
              <w:t>发改局2021年度整体支出为</w:t>
            </w:r>
            <w:r>
              <w:rPr>
                <w:rFonts w:hint="eastAsia" w:ascii="仿宋" w:hAnsi="仿宋" w:eastAsia="仿宋" w:cs="仿宋"/>
                <w:sz w:val="32"/>
                <w:szCs w:val="32"/>
                <w:lang w:val="en-US" w:eastAsia="zh-CN"/>
              </w:rPr>
              <w:t>787.04</w:t>
            </w:r>
            <w:r>
              <w:rPr>
                <w:rFonts w:hint="eastAsia" w:ascii="仿宋" w:hAnsi="仿宋" w:eastAsia="仿宋" w:cs="仿宋"/>
                <w:color w:val="333333"/>
                <w:kern w:val="0"/>
                <w:sz w:val="32"/>
                <w:szCs w:val="32"/>
                <w:shd w:val="clear" w:color="auto" w:fill="FFFFFF"/>
              </w:rPr>
              <w:t>万元</w:t>
            </w:r>
            <w:r>
              <w:rPr>
                <w:rFonts w:hint="eastAsia" w:ascii="仿宋" w:hAnsi="仿宋" w:eastAsia="仿宋" w:cs="仿宋"/>
                <w:color w:val="333333"/>
                <w:sz w:val="32"/>
                <w:szCs w:val="32"/>
                <w:shd w:val="clear" w:color="auto" w:fill="FFFFFF"/>
              </w:rPr>
              <w:t>。</w:t>
            </w:r>
          </w:p>
          <w:p>
            <w:pPr>
              <w:numPr>
                <w:ilvl w:val="0"/>
                <w:numId w:val="1"/>
              </w:numPr>
              <w:autoSpaceDE w:val="0"/>
              <w:autoSpaceDN w:val="0"/>
              <w:adjustRightInd w:val="0"/>
              <w:spacing w:line="520" w:lineRule="exact"/>
              <w:ind w:firstLine="643" w:firstLineChars="200"/>
              <w:jc w:val="left"/>
              <w:rPr>
                <w:rFonts w:ascii="仿宋" w:hAnsi="仿宋" w:eastAsia="仿宋" w:cs="仿宋"/>
                <w:kern w:val="0"/>
                <w:sz w:val="32"/>
                <w:szCs w:val="32"/>
                <w:highlight w:val="white"/>
                <w:lang w:val="zh-CN"/>
              </w:rPr>
            </w:pPr>
            <w:r>
              <w:rPr>
                <w:rFonts w:hint="eastAsia" w:ascii="仿宋" w:hAnsi="仿宋" w:eastAsia="仿宋" w:cs="仿宋"/>
                <w:b/>
                <w:bCs/>
                <w:color w:val="333333"/>
                <w:sz w:val="32"/>
                <w:szCs w:val="32"/>
                <w:shd w:val="clear" w:color="auto" w:fill="FFFFFF"/>
              </w:rPr>
              <w:t>基本支出</w:t>
            </w:r>
            <w:r>
              <w:rPr>
                <w:rFonts w:hint="eastAsia" w:ascii="仿宋" w:hAnsi="仿宋" w:eastAsia="仿宋" w:cs="仿宋"/>
                <w:color w:val="333333"/>
                <w:sz w:val="32"/>
                <w:szCs w:val="32"/>
                <w:shd w:val="clear" w:color="auto" w:fill="FFFFFF"/>
              </w:rPr>
              <w:t>：</w:t>
            </w:r>
            <w:r>
              <w:rPr>
                <w:rFonts w:hint="eastAsia" w:ascii="仿宋" w:hAnsi="仿宋" w:eastAsia="仿宋" w:cs="仿宋"/>
                <w:sz w:val="32"/>
                <w:szCs w:val="32"/>
                <w:highlight w:val="white"/>
                <w:lang w:val="zh-CN"/>
              </w:rPr>
              <w:t>20</w:t>
            </w:r>
            <w:r>
              <w:rPr>
                <w:rFonts w:hint="eastAsia" w:ascii="仿宋" w:hAnsi="仿宋" w:eastAsia="仿宋" w:cs="仿宋"/>
                <w:sz w:val="32"/>
                <w:szCs w:val="32"/>
                <w:highlight w:val="white"/>
              </w:rPr>
              <w:t>21</w:t>
            </w:r>
            <w:r>
              <w:rPr>
                <w:rFonts w:hint="eastAsia" w:ascii="仿宋" w:hAnsi="仿宋" w:eastAsia="仿宋" w:cs="仿宋"/>
                <w:sz w:val="32"/>
                <w:szCs w:val="32"/>
                <w:highlight w:val="white"/>
                <w:lang w:val="zh-CN"/>
              </w:rPr>
              <w:t>年度</w:t>
            </w:r>
            <w:r>
              <w:rPr>
                <w:rFonts w:hint="eastAsia" w:ascii="仿宋" w:hAnsi="仿宋" w:eastAsia="仿宋" w:cs="仿宋"/>
                <w:kern w:val="0"/>
                <w:sz w:val="32"/>
                <w:szCs w:val="32"/>
                <w:highlight w:val="white"/>
              </w:rPr>
              <w:t>财政拨款基本支出7</w:t>
            </w:r>
            <w:r>
              <w:rPr>
                <w:rFonts w:hint="eastAsia" w:ascii="仿宋" w:hAnsi="仿宋" w:eastAsia="仿宋" w:cs="仿宋"/>
                <w:kern w:val="0"/>
                <w:sz w:val="32"/>
                <w:szCs w:val="32"/>
                <w:highlight w:val="white"/>
                <w:lang w:val="en-US" w:eastAsia="zh-CN"/>
              </w:rPr>
              <w:t>87.04</w:t>
            </w:r>
            <w:r>
              <w:rPr>
                <w:rFonts w:hint="eastAsia" w:ascii="仿宋" w:hAnsi="仿宋" w:eastAsia="仿宋" w:cs="仿宋"/>
                <w:kern w:val="0"/>
                <w:sz w:val="32"/>
                <w:szCs w:val="32"/>
                <w:highlight w:val="white"/>
              </w:rPr>
              <w:t>万元，其中:人员经费5</w:t>
            </w:r>
            <w:r>
              <w:rPr>
                <w:rFonts w:hint="eastAsia" w:ascii="仿宋" w:hAnsi="仿宋" w:eastAsia="仿宋" w:cs="仿宋"/>
                <w:kern w:val="0"/>
                <w:sz w:val="32"/>
                <w:szCs w:val="32"/>
                <w:highlight w:val="white"/>
                <w:lang w:val="en-US" w:eastAsia="zh-CN"/>
              </w:rPr>
              <w:t>82.44</w:t>
            </w:r>
            <w:r>
              <w:rPr>
                <w:rFonts w:hint="eastAsia" w:ascii="仿宋" w:hAnsi="仿宋" w:eastAsia="仿宋" w:cs="仿宋"/>
                <w:kern w:val="0"/>
                <w:sz w:val="32"/>
                <w:szCs w:val="32"/>
                <w:highlight w:val="white"/>
              </w:rPr>
              <w:t>万元，主要包括基本工资、津贴补贴、</w:t>
            </w:r>
            <w:r>
              <w:rPr>
                <w:rFonts w:hint="eastAsia" w:ascii="仿宋" w:hAnsi="仿宋" w:eastAsia="仿宋" w:cs="仿宋"/>
                <w:kern w:val="0"/>
                <w:sz w:val="32"/>
                <w:szCs w:val="32"/>
                <w:highlight w:val="white"/>
                <w:lang w:val="zh-CN"/>
              </w:rPr>
              <w:t>奖金、绩效工资、机关事业单位基本养老保险缴费、职工基本医疗保险缴费、其他社会保障缴费、住房公积金、其他工资福利支出、抚恤金、其他对个人和家庭的补助等，公用支出</w:t>
            </w:r>
            <w:r>
              <w:rPr>
                <w:rFonts w:hint="eastAsia" w:ascii="仿宋" w:hAnsi="仿宋" w:eastAsia="仿宋" w:cs="仿宋"/>
                <w:kern w:val="0"/>
                <w:sz w:val="32"/>
                <w:szCs w:val="32"/>
                <w:highlight w:val="white"/>
              </w:rPr>
              <w:t>2</w:t>
            </w:r>
            <w:r>
              <w:rPr>
                <w:rFonts w:hint="eastAsia" w:ascii="仿宋" w:hAnsi="仿宋" w:eastAsia="仿宋" w:cs="仿宋"/>
                <w:kern w:val="0"/>
                <w:sz w:val="32"/>
                <w:szCs w:val="32"/>
                <w:highlight w:val="white"/>
                <w:lang w:val="en-US" w:eastAsia="zh-CN"/>
              </w:rPr>
              <w:t>04.6</w:t>
            </w:r>
            <w:r>
              <w:rPr>
                <w:rFonts w:hint="eastAsia" w:ascii="仿宋" w:hAnsi="仿宋" w:eastAsia="仿宋" w:cs="仿宋"/>
                <w:kern w:val="0"/>
                <w:sz w:val="32"/>
                <w:szCs w:val="32"/>
                <w:highlight w:val="white"/>
              </w:rPr>
              <w:t>万元，主要包括办公费、印刷费、咨询费、水费、电费、邮电费、差旅费、维修（护）费、会议费、培训费、公务接待费、劳务费、工会经费、福利费、其他交通费用、其他商品和服务支出、办公设备购置等</w:t>
            </w:r>
          </w:p>
          <w:p>
            <w:pPr>
              <w:numPr>
                <w:numId w:val="0"/>
              </w:numPr>
              <w:autoSpaceDE w:val="0"/>
              <w:autoSpaceDN w:val="0"/>
              <w:adjustRightInd w:val="0"/>
              <w:spacing w:line="520" w:lineRule="exact"/>
              <w:jc w:val="left"/>
              <w:rPr>
                <w:rFonts w:ascii="仿宋" w:hAnsi="仿宋" w:eastAsia="仿宋" w:cs="仿宋"/>
                <w:kern w:val="0"/>
                <w:sz w:val="32"/>
                <w:szCs w:val="32"/>
                <w:highlight w:val="white"/>
                <w:lang w:val="zh-CN"/>
              </w:rPr>
            </w:pPr>
            <w:bookmarkStart w:id="0" w:name="_GoBack"/>
            <w:bookmarkEnd w:id="0"/>
          </w:p>
          <w:p>
            <w:pPr>
              <w:shd w:val="clear" w:color="auto" w:fill="FFFFFF"/>
              <w:adjustRightInd w:val="0"/>
              <w:spacing w:line="520" w:lineRule="exact"/>
              <w:ind w:firstLine="643" w:firstLineChars="200"/>
              <w:rPr>
                <w:rFonts w:hint="eastAsia" w:ascii="仿宋_GB2312" w:hAnsi="仿宋_GB2312" w:eastAsia="仿宋_GB2312" w:cs="仿宋_GB2312"/>
                <w:bCs/>
                <w:sz w:val="28"/>
                <w:szCs w:val="28"/>
              </w:rPr>
            </w:pPr>
            <w:r>
              <w:rPr>
                <w:rFonts w:hint="eastAsia" w:ascii="仿宋" w:hAnsi="仿宋" w:eastAsia="仿宋" w:cs="仿宋"/>
                <w:b/>
                <w:bCs/>
                <w:color w:val="333333"/>
                <w:kern w:val="0"/>
                <w:sz w:val="32"/>
                <w:szCs w:val="32"/>
                <w:shd w:val="clear" w:color="auto" w:fill="FFFFFF"/>
              </w:rPr>
              <w:t>（</w:t>
            </w:r>
            <w:r>
              <w:rPr>
                <w:rFonts w:hint="eastAsia" w:ascii="仿宋" w:hAnsi="仿宋" w:eastAsia="仿宋" w:cs="仿宋"/>
                <w:b/>
                <w:bCs/>
                <w:color w:val="333333"/>
                <w:kern w:val="0"/>
                <w:sz w:val="32"/>
                <w:szCs w:val="32"/>
                <w:shd w:val="clear" w:color="auto" w:fill="FFFFFF"/>
                <w:lang w:eastAsia="zh-CN"/>
              </w:rPr>
              <w:t>二</w:t>
            </w:r>
            <w:r>
              <w:rPr>
                <w:rFonts w:hint="eastAsia" w:ascii="仿宋" w:hAnsi="仿宋" w:eastAsia="仿宋" w:cs="仿宋"/>
                <w:b/>
                <w:bCs/>
                <w:color w:val="333333"/>
                <w:kern w:val="0"/>
                <w:sz w:val="32"/>
                <w:szCs w:val="32"/>
                <w:shd w:val="clear" w:color="auto" w:fill="FFFFFF"/>
              </w:rPr>
              <w:t>）三公”经费支出</w:t>
            </w:r>
            <w:r>
              <w:rPr>
                <w:rFonts w:hint="eastAsia" w:ascii="仿宋" w:hAnsi="仿宋" w:eastAsia="仿宋" w:cs="仿宋"/>
                <w:color w:val="333333"/>
                <w:kern w:val="0"/>
                <w:sz w:val="32"/>
                <w:szCs w:val="32"/>
                <w:shd w:val="clear" w:color="auto" w:fill="FFFFFF"/>
              </w:rPr>
              <w:t>：4.</w:t>
            </w:r>
            <w:r>
              <w:rPr>
                <w:rFonts w:hint="eastAsia" w:ascii="仿宋" w:hAnsi="仿宋" w:eastAsia="仿宋" w:cs="仿宋"/>
                <w:color w:val="333333"/>
                <w:kern w:val="0"/>
                <w:sz w:val="32"/>
                <w:szCs w:val="32"/>
                <w:shd w:val="clear" w:color="auto" w:fill="FFFFFF"/>
                <w:lang w:val="en-US" w:eastAsia="zh-CN"/>
              </w:rPr>
              <w:t>55</w:t>
            </w:r>
            <w:r>
              <w:rPr>
                <w:rFonts w:hint="eastAsia" w:ascii="仿宋" w:hAnsi="仿宋" w:eastAsia="仿宋" w:cs="仿宋"/>
                <w:color w:val="333333"/>
                <w:kern w:val="0"/>
                <w:sz w:val="32"/>
                <w:szCs w:val="32"/>
                <w:shd w:val="clear" w:color="auto" w:fill="FFFFFF"/>
              </w:rPr>
              <w:t>万元，</w:t>
            </w:r>
            <w:r>
              <w:rPr>
                <w:rFonts w:hint="eastAsia" w:ascii="仿宋" w:hAnsi="仿宋" w:eastAsia="仿宋" w:cs="仿宋"/>
                <w:color w:val="222222"/>
                <w:sz w:val="32"/>
                <w:szCs w:val="32"/>
                <w:shd w:val="clear" w:color="auto" w:fill="FFFFFF"/>
              </w:rPr>
              <w:t>全部为财政拨款资金，用于</w:t>
            </w:r>
            <w:r>
              <w:rPr>
                <w:rFonts w:hint="eastAsia" w:ascii="仿宋" w:hAnsi="仿宋" w:eastAsia="仿宋" w:cs="仿宋"/>
                <w:color w:val="333333"/>
                <w:kern w:val="0"/>
                <w:sz w:val="32"/>
                <w:szCs w:val="32"/>
                <w:shd w:val="clear" w:color="auto" w:fill="FFFFFF"/>
              </w:rPr>
              <w:t>公务接待4.</w:t>
            </w:r>
            <w:r>
              <w:rPr>
                <w:rFonts w:hint="eastAsia" w:ascii="仿宋" w:hAnsi="仿宋" w:eastAsia="仿宋" w:cs="仿宋"/>
                <w:color w:val="333333"/>
                <w:kern w:val="0"/>
                <w:sz w:val="32"/>
                <w:szCs w:val="32"/>
                <w:shd w:val="clear" w:color="auto" w:fill="FFFFFF"/>
                <w:lang w:val="en-US" w:eastAsia="zh-CN"/>
              </w:rPr>
              <w:t>55</w:t>
            </w:r>
            <w:r>
              <w:rPr>
                <w:rFonts w:hint="eastAsia" w:ascii="仿宋" w:hAnsi="仿宋" w:eastAsia="仿宋" w:cs="仿宋"/>
                <w:color w:val="333333"/>
                <w:kern w:val="0"/>
                <w:sz w:val="32"/>
                <w:szCs w:val="32"/>
                <w:shd w:val="clear" w:color="auto" w:fill="FFFFFF"/>
              </w:rPr>
              <w:t>万元，因公出国费、公务用车均为0，与上年度5.37万元相比，“三公”经费下降</w:t>
            </w:r>
            <w:r>
              <w:rPr>
                <w:rFonts w:hint="eastAsia" w:ascii="仿宋" w:hAnsi="仿宋" w:eastAsia="仿宋" w:cs="仿宋"/>
                <w:color w:val="333333"/>
                <w:kern w:val="0"/>
                <w:sz w:val="32"/>
                <w:szCs w:val="32"/>
                <w:shd w:val="clear" w:color="auto" w:fill="FFFFFF"/>
                <w:lang w:eastAsia="zh-CN"/>
              </w:rPr>
              <w:t>，</w:t>
            </w:r>
            <w:r>
              <w:rPr>
                <w:rFonts w:hint="eastAsia" w:ascii="仿宋" w:hAnsi="仿宋" w:eastAsia="仿宋" w:cs="仿宋"/>
                <w:sz w:val="32"/>
                <w:szCs w:val="32"/>
              </w:rPr>
              <w:t>总体控制较好。</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二</w:t>
            </w:r>
            <w:r>
              <w:rPr>
                <w:rFonts w:hint="eastAsia" w:ascii="黑体" w:hAnsi="黑体" w:eastAsia="黑体" w:cs="黑体"/>
                <w:bCs/>
                <w:sz w:val="28"/>
                <w:szCs w:val="28"/>
              </w:rPr>
              <w:t>、部门（单位）整体支出绩效情况</w:t>
            </w:r>
          </w:p>
          <w:p>
            <w:pPr>
              <w:spacing w:line="520" w:lineRule="exact"/>
              <w:ind w:firstLine="643" w:firstLineChars="200"/>
              <w:jc w:val="left"/>
              <w:rPr>
                <w:rFonts w:hint="eastAsia" w:ascii="仿宋" w:hAnsi="仿宋" w:eastAsia="仿宋"/>
                <w:b/>
                <w:sz w:val="32"/>
                <w:szCs w:val="32"/>
              </w:rPr>
            </w:pP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1.全力推进争项争资。</w:t>
            </w:r>
            <w:r>
              <w:rPr>
                <w:rFonts w:hint="eastAsia" w:ascii="仿宋" w:hAnsi="仿宋" w:eastAsia="仿宋"/>
                <w:sz w:val="32"/>
                <w:szCs w:val="32"/>
              </w:rPr>
              <w:t>坚持把争项争资作为主责主业，第一时收集项目信息、解读项目政策、指导项目申报，全力配合各乡镇、县直有关单位争取项目落地。全县41个县单位共争取项目325个，争取资金37.02亿元，占年度任务的106.9%。发改系统共争取项目24个，争取资金1.87亿元。</w:t>
            </w:r>
          </w:p>
          <w:p>
            <w:pPr>
              <w:spacing w:line="520" w:lineRule="exact"/>
              <w:ind w:firstLine="643" w:firstLineChars="200"/>
              <w:jc w:val="left"/>
              <w:rPr>
                <w:rFonts w:ascii="仿宋" w:hAnsi="仿宋" w:eastAsia="仿宋" w:cs="宋体"/>
                <w:sz w:val="32"/>
                <w:szCs w:val="32"/>
              </w:rPr>
            </w:pPr>
            <w:r>
              <w:rPr>
                <w:rFonts w:hint="eastAsia" w:ascii="仿宋" w:hAnsi="仿宋" w:eastAsia="仿宋"/>
                <w:b/>
                <w:sz w:val="32"/>
                <w:szCs w:val="32"/>
              </w:rPr>
              <w:t>2.强力推进乡村“雪亮工程”建设。</w:t>
            </w:r>
            <w:r>
              <w:rPr>
                <w:rFonts w:hint="eastAsia" w:ascii="仿宋" w:hAnsi="仿宋" w:eastAsia="仿宋"/>
                <w:sz w:val="32"/>
                <w:szCs w:val="32"/>
              </w:rPr>
              <w:t>切实加大协调督导力度，组织北晟慧华公司、三个施工工程队、供电公司、广电有线、移动公司、电信公司和联通公司等单位人员，克服时间紧、任务重等困难，在规定时间内高质量完成了省政法委下达给我县2021年乡村“雪亮工程”建设任务（914个摄像头）。</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3.有效推进监利至华容公铁两用桥项目。</w:t>
            </w:r>
            <w:r>
              <w:rPr>
                <w:rFonts w:hint="eastAsia" w:ascii="仿宋" w:hAnsi="仿宋" w:eastAsia="仿宋"/>
                <w:sz w:val="32"/>
                <w:szCs w:val="32"/>
              </w:rPr>
              <w:t>协助推进了项目可研，积极开展了两县市工作交流，到省市进行了汇报对接。3月10日县人民政府具函委托同步开展监利至华容铁路（含公铁两用桥）可行性研究及相关专题研究。9月14日，中铁四院桥梁院执行院长何晓春一行来华容调研，就项目进展情况和下步工作计划充分交流了意见。10月15日完成了监利至华容（含公铁两用桥）工可研究公开招标工作。</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4.扎实推进国能岳阳电厂和铁水联运储配基地项目。</w:t>
            </w:r>
            <w:r>
              <w:rPr>
                <w:rFonts w:hint="eastAsia" w:ascii="仿宋" w:hAnsi="仿宋" w:eastAsia="仿宋"/>
                <w:sz w:val="32"/>
                <w:szCs w:val="32"/>
              </w:rPr>
              <w:t>为省市2021年度重点建设项目，年度投资任务分别为7.4亿元和3.5亿元。截止12月底，分别完成投资8.9亿元和5.55亿元，占年度计划的121%、159%。同时，配合做好了我县城市停车场建设情况的摸底与上报，配合做好了通用机场的选址，对国能岳阳电厂开发屋顶分布式光伏发电试点工作进行了申报。</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5.积极推进国家示范园创建工作。</w:t>
            </w:r>
            <w:r>
              <w:rPr>
                <w:rFonts w:hint="eastAsia" w:ascii="仿宋" w:hAnsi="仿宋" w:eastAsia="仿宋"/>
                <w:sz w:val="32"/>
                <w:szCs w:val="32"/>
              </w:rPr>
              <w:t>根据《关于做好国家农村产业融合发展示范园建设经验总结和推荐第三批创建名单的通知》和开展第三批国家农村产业融合发展示范园认定工作等文件精神，我县结合农村产业融合发展示范园实际建设情况，编制了《湖南省华容县国家农村产业融合发展示范园自评价工作报告》，，省发改委初步认定我县为第三批国家农村产业融合发展示范园，并列入推荐名单上报至国家发改委。</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6.稳妥推进招标投标。一是</w:t>
            </w:r>
            <w:r>
              <w:rPr>
                <w:rFonts w:hint="eastAsia" w:ascii="仿宋" w:hAnsi="仿宋" w:eastAsia="仿宋"/>
                <w:sz w:val="32"/>
                <w:szCs w:val="32"/>
              </w:rPr>
              <w:t>完成了22个项目招标文件的审核，20个项目的开标现场监督，12个项目的标后检查工作；</w:t>
            </w:r>
            <w:r>
              <w:rPr>
                <w:rFonts w:hint="eastAsia" w:ascii="仿宋" w:hAnsi="仿宋" w:eastAsia="仿宋"/>
                <w:b/>
                <w:sz w:val="32"/>
                <w:szCs w:val="32"/>
              </w:rPr>
              <w:t>二是</w:t>
            </w:r>
            <w:r>
              <w:rPr>
                <w:rFonts w:hint="eastAsia" w:ascii="仿宋" w:hAnsi="仿宋" w:eastAsia="仿宋"/>
                <w:sz w:val="32"/>
                <w:szCs w:val="32"/>
              </w:rPr>
              <w:t>完成了华容县政府投资项目超概算问题专项清查；</w:t>
            </w:r>
            <w:r>
              <w:rPr>
                <w:rFonts w:hint="eastAsia" w:ascii="仿宋" w:hAnsi="仿宋" w:eastAsia="仿宋"/>
                <w:b/>
                <w:sz w:val="32"/>
                <w:szCs w:val="32"/>
              </w:rPr>
              <w:t>三是</w:t>
            </w:r>
            <w:r>
              <w:rPr>
                <w:rFonts w:hint="eastAsia" w:ascii="仿宋" w:hAnsi="仿宋" w:eastAsia="仿宋"/>
                <w:sz w:val="32"/>
                <w:szCs w:val="32"/>
              </w:rPr>
              <w:t>查处了教体局2017-2019年政府投资项目和操军中学留仙小学幼儿园建设项目规避公开招标案。</w:t>
            </w:r>
          </w:p>
          <w:p>
            <w:pPr>
              <w:spacing w:line="520" w:lineRule="exact"/>
              <w:ind w:firstLine="643" w:firstLineChars="200"/>
              <w:jc w:val="left"/>
              <w:rPr>
                <w:rFonts w:ascii="仿宋" w:hAnsi="仿宋" w:eastAsia="仿宋"/>
                <w:b/>
                <w:sz w:val="32"/>
                <w:szCs w:val="32"/>
              </w:rPr>
            </w:pPr>
            <w:r>
              <w:rPr>
                <w:rFonts w:hint="eastAsia" w:ascii="仿宋" w:hAnsi="仿宋" w:eastAsia="仿宋"/>
                <w:b/>
                <w:sz w:val="32"/>
                <w:szCs w:val="32"/>
              </w:rPr>
              <w:t>7.及时推进工改工作。一是</w:t>
            </w:r>
            <w:r>
              <w:rPr>
                <w:rFonts w:hint="eastAsia" w:ascii="仿宋" w:hAnsi="仿宋" w:eastAsia="仿宋"/>
                <w:sz w:val="32"/>
                <w:szCs w:val="32"/>
              </w:rPr>
              <w:t>按照工改要求，完成所有涉及房屋建筑和市政设施项目全部进入省工程建设项目审批平台办理，实现企业投资备案1天办结、企业投资核准3天办结的目标。</w:t>
            </w:r>
            <w:r>
              <w:rPr>
                <w:rFonts w:hint="eastAsia" w:ascii="仿宋" w:hAnsi="仿宋" w:eastAsia="仿宋"/>
                <w:b/>
                <w:sz w:val="32"/>
                <w:szCs w:val="32"/>
              </w:rPr>
              <w:t>二是</w:t>
            </w:r>
            <w:r>
              <w:rPr>
                <w:rFonts w:hint="eastAsia" w:ascii="仿宋" w:hAnsi="仿宋" w:eastAsia="仿宋"/>
                <w:sz w:val="32"/>
                <w:szCs w:val="32"/>
              </w:rPr>
              <w:t>中介服务于2021年7月1日统一入驻使用岳阳市网上中介服务超市系统平台，逐步实现行政审批中介服务标准化、规范化管理。</w:t>
            </w:r>
            <w:r>
              <w:rPr>
                <w:rFonts w:hint="eastAsia" w:ascii="仿宋" w:hAnsi="仿宋" w:eastAsia="仿宋"/>
                <w:b/>
                <w:sz w:val="32"/>
                <w:szCs w:val="32"/>
              </w:rPr>
              <w:t>三是</w:t>
            </w:r>
            <w:r>
              <w:rPr>
                <w:rFonts w:hint="eastAsia" w:ascii="仿宋" w:hAnsi="仿宋" w:eastAsia="仿宋"/>
                <w:sz w:val="32"/>
                <w:szCs w:val="32"/>
              </w:rPr>
              <w:t>督促指导县高新区完成了8项评估成果，制作了区域评估一图、一表和操作指南，在县政府门户网站公布了区域评估成果。</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8.加快推进农业水价综合改革。</w:t>
            </w:r>
            <w:r>
              <w:rPr>
                <w:rFonts w:hint="eastAsia" w:ascii="仿宋" w:hAnsi="仿宋" w:eastAsia="仿宋"/>
                <w:sz w:val="32"/>
                <w:szCs w:val="32"/>
              </w:rPr>
              <w:t>根据湖南省发展和改革委员会、财政厅、水利厅、农业农村厅印发《关于分类有序推进湖南省农业水价综合改革的实施方案》的通知（湘发改价调〔2021〕685号），我局会同财政局、水利局、农业农村局制定我县农业水价综合改革实施方案，各相关单位迅速行动，有序推进各项工作。此项工作已纳入粮食安全生产省长责任制和最严格水资源管理制度考核，我县农业水价综合改革在全市考核中排名第一。</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9.积极推进“信用华容”网站子平台上线营运。</w:t>
            </w:r>
            <w:r>
              <w:rPr>
                <w:rFonts w:hint="eastAsia" w:ascii="仿宋" w:hAnsi="仿宋" w:eastAsia="仿宋"/>
                <w:sz w:val="32"/>
                <w:szCs w:val="32"/>
              </w:rPr>
              <w:t>实现了省、市、县三级信用信息平台的互联互通。开展了信用数据、红黑名单和“双公示”信息归集工作。截止2021年12月，信用信息平台共收集了县税务局、市场监督局、人社局、商务粮食局、住建局、交通运输局、卫健局、文旅广电局、民政局、公安局、发改局等部门单位近63万条信息。</w:t>
            </w:r>
          </w:p>
          <w:p>
            <w:pPr>
              <w:spacing w:line="520" w:lineRule="exact"/>
              <w:ind w:firstLine="643" w:firstLineChars="200"/>
              <w:rPr>
                <w:rFonts w:ascii="仿宋" w:hAnsi="仿宋" w:eastAsia="仿宋" w:cs="仿宋"/>
                <w:sz w:val="32"/>
                <w:szCs w:val="32"/>
              </w:rPr>
            </w:pPr>
            <w:r>
              <w:rPr>
                <w:rFonts w:hint="eastAsia" w:ascii="仿宋" w:hAnsi="仿宋" w:eastAsia="仿宋" w:cs="仿宋"/>
                <w:b/>
                <w:sz w:val="32"/>
                <w:szCs w:val="32"/>
              </w:rPr>
              <w:t>10.价格认证监测工作。</w:t>
            </w:r>
            <w:r>
              <w:rPr>
                <w:rFonts w:hint="eastAsia" w:ascii="仿宋" w:hAnsi="仿宋" w:eastAsia="仿宋" w:cs="仿宋"/>
                <w:sz w:val="32"/>
                <w:szCs w:val="32"/>
              </w:rPr>
              <w:t>停止了所有价格认定事项的收费，主动退出了民事案件价格认定、交通事故车损评估等市场性业务。共完成各类认定案件226宗，涉案金额133万元。做到认定范围精确、认定工作精准、认定案卷精细。</w:t>
            </w:r>
          </w:p>
          <w:p>
            <w:pPr>
              <w:spacing w:line="520" w:lineRule="exact"/>
              <w:ind w:firstLine="643" w:firstLineChars="200"/>
              <w:rPr>
                <w:rFonts w:ascii="仿宋" w:hAnsi="仿宋" w:eastAsia="仿宋" w:cs="仿宋"/>
                <w:sz w:val="32"/>
                <w:szCs w:val="32"/>
              </w:rPr>
            </w:pPr>
            <w:r>
              <w:rPr>
                <w:rFonts w:hint="eastAsia" w:ascii="仿宋" w:hAnsi="仿宋" w:eastAsia="仿宋" w:cs="仿宋"/>
                <w:b/>
                <w:sz w:val="32"/>
                <w:szCs w:val="32"/>
              </w:rPr>
              <w:t>11、价格成本调查和信息监测工作。一是开展成本监审。</w:t>
            </w:r>
            <w:r>
              <w:rPr>
                <w:rFonts w:hint="eastAsia" w:ascii="仿宋" w:hAnsi="仿宋" w:eastAsia="仿宋" w:cs="仿宋"/>
                <w:sz w:val="32"/>
                <w:szCs w:val="32"/>
              </w:rPr>
              <w:t>对全县教育、殡葬服务、天燃气三个领域开展了成本监审和调查，共核减不合理费用近600多万元。</w:t>
            </w:r>
            <w:r>
              <w:rPr>
                <w:rFonts w:hint="eastAsia" w:ascii="仿宋" w:hAnsi="仿宋" w:eastAsia="仿宋" w:cs="仿宋"/>
                <w:b/>
                <w:sz w:val="32"/>
                <w:szCs w:val="32"/>
              </w:rPr>
              <w:t>二是开展农本调查。</w:t>
            </w:r>
            <w:r>
              <w:rPr>
                <w:rFonts w:hint="eastAsia" w:ascii="仿宋" w:hAnsi="仿宋" w:eastAsia="仿宋" w:cs="仿宋"/>
                <w:sz w:val="32"/>
                <w:szCs w:val="32"/>
              </w:rPr>
              <w:t>对农民的种植意向、生猪的生产成本、粮食生产及市场情况、农资市场情况、油菜籽生产成本、棉花生产成本等进行了深入细致地调查，撰写有价值有份量的上传报告。</w:t>
            </w:r>
            <w:r>
              <w:rPr>
                <w:rFonts w:hint="eastAsia" w:ascii="仿宋" w:hAnsi="仿宋" w:eastAsia="仿宋" w:cs="仿宋"/>
                <w:b/>
                <w:sz w:val="32"/>
                <w:szCs w:val="32"/>
              </w:rPr>
              <w:t>三是开展价格监测。</w:t>
            </w:r>
            <w:r>
              <w:rPr>
                <w:rFonts w:hint="eastAsia" w:ascii="仿宋" w:hAnsi="仿宋" w:eastAsia="仿宋" w:cs="仿宋"/>
                <w:sz w:val="32"/>
                <w:szCs w:val="32"/>
              </w:rPr>
              <w:t>积极深入农村、农户、城区集贸市场、超市、个体工商户和相关加工企业进行价格监测和调查研究。</w:t>
            </w:r>
          </w:p>
          <w:p>
            <w:pPr>
              <w:widowControl/>
              <w:shd w:val="clear" w:color="auto" w:fill="FFFFFF"/>
              <w:adjustRightInd w:val="0"/>
              <w:spacing w:line="520" w:lineRule="exact"/>
              <w:ind w:firstLine="643" w:firstLineChars="200"/>
              <w:rPr>
                <w:rFonts w:ascii="仿宋" w:hAnsi="仿宋" w:eastAsia="仿宋" w:cs="仿宋"/>
                <w:b/>
                <w:color w:val="333333"/>
                <w:kern w:val="0"/>
                <w:sz w:val="32"/>
                <w:szCs w:val="32"/>
              </w:rPr>
            </w:pPr>
            <w:r>
              <w:rPr>
                <w:rFonts w:hint="eastAsia" w:ascii="仿宋" w:hAnsi="仿宋" w:eastAsia="仿宋" w:cs="仿宋"/>
                <w:b/>
                <w:color w:val="333333"/>
                <w:kern w:val="0"/>
                <w:sz w:val="32"/>
                <w:szCs w:val="32"/>
              </w:rPr>
              <w:t>三、2021年度预算整体绩效评价情况</w:t>
            </w:r>
          </w:p>
          <w:p>
            <w:pPr>
              <w:spacing w:line="520" w:lineRule="exact"/>
              <w:ind w:firstLine="640" w:firstLineChars="200"/>
              <w:rPr>
                <w:rFonts w:ascii="仿宋" w:hAnsi="仿宋" w:eastAsia="仿宋" w:cs="仿宋"/>
                <w:b/>
                <w:sz w:val="32"/>
                <w:szCs w:val="32"/>
              </w:rPr>
            </w:pPr>
            <w:r>
              <w:rPr>
                <w:rFonts w:hint="eastAsia" w:ascii="仿宋" w:hAnsi="仿宋" w:eastAsia="仿宋" w:cs="仿宋"/>
                <w:color w:val="333333"/>
                <w:kern w:val="0"/>
                <w:sz w:val="32"/>
                <w:szCs w:val="32"/>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p>
            <w:pPr>
              <w:widowControl/>
              <w:shd w:val="clear" w:color="auto" w:fill="FFFFFF"/>
              <w:adjustRightInd w:val="0"/>
              <w:spacing w:line="520" w:lineRule="exact"/>
              <w:ind w:firstLine="643" w:firstLineChars="200"/>
              <w:jc w:val="left"/>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四、存在的问题</w:t>
            </w:r>
          </w:p>
          <w:p>
            <w:pPr>
              <w:spacing w:line="520" w:lineRule="exac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对部门整体支出绩效管理工作的认识不够深入，业务知识存在盲区，通过对我单位整体支出情况的分析，反映出目前在整体支出的预算编制、执行和管理过程中，依然存在一些问题和不足，预算编制不够科学、不够合理。</w:t>
            </w:r>
          </w:p>
          <w:p>
            <w:pPr>
              <w:spacing w:line="520" w:lineRule="exact"/>
              <w:ind w:firstLine="643" w:firstLineChars="200"/>
              <w:rPr>
                <w:rFonts w:ascii="仿宋" w:hAnsi="仿宋" w:eastAsia="仿宋" w:cs="仿宋"/>
                <w:b/>
                <w:bCs/>
                <w:color w:val="333333"/>
                <w:kern w:val="0"/>
                <w:sz w:val="32"/>
                <w:szCs w:val="32"/>
              </w:rPr>
            </w:pPr>
            <w:r>
              <w:rPr>
                <w:rFonts w:hint="eastAsia" w:ascii="仿宋" w:hAnsi="仿宋" w:eastAsia="仿宋" w:cs="仿宋"/>
                <w:b/>
                <w:bCs/>
                <w:color w:val="333333"/>
                <w:kern w:val="0"/>
                <w:sz w:val="32"/>
                <w:szCs w:val="32"/>
              </w:rPr>
              <w:t>五、意见及建议</w:t>
            </w:r>
          </w:p>
          <w:p>
            <w:pPr>
              <w:spacing w:line="520" w:lineRule="exac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1、加强预算编制的科学性和合理性。</w:t>
            </w:r>
          </w:p>
          <w:p>
            <w:pPr>
              <w:widowControl/>
              <w:shd w:val="clear" w:color="auto" w:fill="FFFFFF"/>
              <w:spacing w:after="120" w:line="52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2、 加强财务管理，严格财务审核。在费用报账支付时，按照预算规定的费用项目和用途进行资金使用审核、列报支付、财务核算，杜绝超支现象的发生。</w:t>
            </w:r>
          </w:p>
          <w:p>
            <w:pPr>
              <w:tabs>
                <w:tab w:val="left" w:pos="670"/>
              </w:tabs>
              <w:spacing w:line="520" w:lineRule="exac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3、持续抓好“三公”经费控制管理。严格控制“三公”经费的规模和比例。</w:t>
            </w:r>
          </w:p>
          <w:p>
            <w:pPr>
              <w:tabs>
                <w:tab w:val="left" w:pos="945"/>
              </w:tabs>
              <w:spacing w:line="520" w:lineRule="exac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4、把关经费支出的审核、审批，杜绝挪用和挤占其他预算资金行为。</w:t>
            </w:r>
          </w:p>
        </w:tc>
      </w:tr>
    </w:tbl>
    <w:p>
      <w:pPr>
        <w:spacing w:line="348" w:lineRule="auto"/>
        <w:rPr>
          <w:rFonts w:eastAsia="楷体_GB2312"/>
          <w:bCs/>
          <w:sz w:val="28"/>
          <w:szCs w:val="28"/>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F235E"/>
    <w:multiLevelType w:val="singleLevel"/>
    <w:tmpl w:val="37FF23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B7A1F"/>
    <w:rsid w:val="001061A7"/>
    <w:rsid w:val="0011692E"/>
    <w:rsid w:val="00121480"/>
    <w:rsid w:val="002237A3"/>
    <w:rsid w:val="00237127"/>
    <w:rsid w:val="002E54AC"/>
    <w:rsid w:val="003815FE"/>
    <w:rsid w:val="0039414B"/>
    <w:rsid w:val="003B7152"/>
    <w:rsid w:val="004555D4"/>
    <w:rsid w:val="00460337"/>
    <w:rsid w:val="00583566"/>
    <w:rsid w:val="006209A2"/>
    <w:rsid w:val="00631978"/>
    <w:rsid w:val="00635799"/>
    <w:rsid w:val="00676B57"/>
    <w:rsid w:val="006D5B42"/>
    <w:rsid w:val="00764584"/>
    <w:rsid w:val="007B2063"/>
    <w:rsid w:val="007E4AAF"/>
    <w:rsid w:val="00855464"/>
    <w:rsid w:val="009408E8"/>
    <w:rsid w:val="009960CF"/>
    <w:rsid w:val="00A11053"/>
    <w:rsid w:val="00A6187C"/>
    <w:rsid w:val="00B009B1"/>
    <w:rsid w:val="00BE6D1E"/>
    <w:rsid w:val="00C07119"/>
    <w:rsid w:val="00CC36CE"/>
    <w:rsid w:val="00E112FF"/>
    <w:rsid w:val="00E34E90"/>
    <w:rsid w:val="00E91529"/>
    <w:rsid w:val="00F67FBB"/>
    <w:rsid w:val="00F91F06"/>
    <w:rsid w:val="00F93225"/>
    <w:rsid w:val="00FB2DE3"/>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585575A"/>
    <w:rsid w:val="477245B4"/>
    <w:rsid w:val="49617FA5"/>
    <w:rsid w:val="498D0226"/>
    <w:rsid w:val="4D171D42"/>
    <w:rsid w:val="4E4F0BB0"/>
    <w:rsid w:val="54D92FD6"/>
    <w:rsid w:val="5BE95901"/>
    <w:rsid w:val="643E0C82"/>
    <w:rsid w:val="692772D0"/>
    <w:rsid w:val="6A0A15CD"/>
    <w:rsid w:val="6D452F22"/>
    <w:rsid w:val="6DF352BD"/>
    <w:rsid w:val="705E3E6D"/>
    <w:rsid w:val="71C1048A"/>
    <w:rsid w:val="7396188C"/>
    <w:rsid w:val="73F35F5B"/>
    <w:rsid w:val="762162AA"/>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70BD80-8CA9-4383-9F4D-36C100A70389}">
  <ds:schemaRefs/>
</ds:datastoreItem>
</file>

<file path=docProps/app.xml><?xml version="1.0" encoding="utf-8"?>
<Properties xmlns="http://schemas.openxmlformats.org/officeDocument/2006/extended-properties" xmlns:vt="http://schemas.openxmlformats.org/officeDocument/2006/docPropsVTypes">
  <Template>Normal</Template>
  <Pages>13</Pages>
  <Words>6386</Words>
  <Characters>6786</Characters>
  <Lines>57</Lines>
  <Paragraphs>16</Paragraphs>
  <TotalTime>5</TotalTime>
  <ScaleCrop>false</ScaleCrop>
  <LinksUpToDate>false</LinksUpToDate>
  <CharactersWithSpaces>7320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2022-06-06T07:14:00Z</dcterms:created>
  <dc:creator>Administrator</dc:creator>
  <cp:lastModifiedBy>戴</cp:lastModifiedBy>
  <cp:lastPrinted>2022-11-10T01:51:13Z</cp:lastPrinted>
  <dcterms:modified xsi:type="dcterms:W3CDTF">2022-11-10T01:51:15Z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