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bookmarkStart w:id="0" w:name="_GoBack"/>
      <w:bookmarkEnd w:id="0"/>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lang w:val="en-US" w:eastAsia="zh-CN"/>
        </w:rPr>
        <w:t xml:space="preserve">  </w:t>
      </w:r>
      <w:r>
        <w:rPr>
          <w:rFonts w:hint="eastAsia" w:eastAsia="仿宋_GB2312"/>
          <w:sz w:val="32"/>
          <w:u w:val="single"/>
        </w:rPr>
        <w:t xml:space="preserve">       </w:t>
      </w:r>
      <w:r>
        <w:rPr>
          <w:rFonts w:hint="eastAsia" w:eastAsia="仿宋_GB2312"/>
          <w:sz w:val="32"/>
          <w:u w:val="single"/>
          <w:lang w:eastAsia="zh-CN"/>
        </w:rPr>
        <w:t>信息化建设与金财工程</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val="en-US" w:eastAsia="zh-CN"/>
        </w:rPr>
        <w:t xml:space="preserve">华容县财政局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华容县财政局</w:t>
      </w:r>
      <w:r>
        <w:rPr>
          <w:rFonts w:hint="eastAsia" w:eastAsia="仿宋_GB2312"/>
          <w:sz w:val="32"/>
          <w:u w:val="single"/>
          <w:lang w:val="en-US" w:eastAsia="zh-CN"/>
        </w:rPr>
        <w:t xml:space="preserve"> </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10</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陈志军</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13974060999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rPr>
            </w:pPr>
            <w:r>
              <w:rPr>
                <w:rFonts w:hint="eastAsia" w:eastAsia="仿宋_GB2312"/>
                <w:sz w:val="24"/>
                <w:lang w:eastAsia="zh-CN"/>
              </w:rPr>
              <w:t>湖南省岳阳市华容县港西南路</w:t>
            </w:r>
            <w:r>
              <w:rPr>
                <w:rFonts w:hint="eastAsia" w:eastAsia="仿宋_GB2312"/>
                <w:sz w:val="24"/>
                <w:lang w:val="en-US" w:eastAsia="zh-CN"/>
              </w:rPr>
              <w:t>105号</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    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178.56</w:t>
            </w:r>
          </w:p>
        </w:tc>
        <w:tc>
          <w:tcPr>
            <w:tcW w:w="1800"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178.56</w:t>
            </w:r>
          </w:p>
        </w:tc>
        <w:tc>
          <w:tcPr>
            <w:tcW w:w="164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72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178.56</w:t>
            </w:r>
          </w:p>
        </w:tc>
        <w:tc>
          <w:tcPr>
            <w:tcW w:w="1620"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eastAsia" w:eastAsia="仿宋_GB2312"/>
                <w:spacing w:val="-6"/>
                <w:sz w:val="24"/>
              </w:rPr>
            </w:pPr>
          </w:p>
        </w:tc>
        <w:tc>
          <w:tcPr>
            <w:tcW w:w="1800" w:type="dxa"/>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eastAsia" w:eastAsia="仿宋_GB2312"/>
                <w:spacing w:val="-6"/>
                <w:sz w:val="24"/>
              </w:rPr>
            </w:pPr>
          </w:p>
        </w:tc>
        <w:tc>
          <w:tcPr>
            <w:tcW w:w="164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720" w:type="dxa"/>
            <w:tcBorders>
              <w:bottom w:val="single" w:color="auto" w:sz="4" w:space="0"/>
            </w:tcBorders>
            <w:noWrap w:val="0"/>
            <w:vAlign w:val="center"/>
          </w:tcPr>
          <w:p>
            <w:pPr>
              <w:rPr>
                <w:rFonts w:hint="eastAsia" w:eastAsia="仿宋_GB2312"/>
                <w:spacing w:val="-6"/>
                <w:sz w:val="24"/>
              </w:rPr>
            </w:pPr>
          </w:p>
        </w:tc>
        <w:tc>
          <w:tcPr>
            <w:tcW w:w="1620"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178.56</w:t>
            </w: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178.56</w:t>
            </w: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178.56</w:t>
            </w: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hint="eastAsia" w:eastAsia="仿宋_GB2312"/>
                <w:sz w:val="24"/>
              </w:rPr>
            </w:pPr>
          </w:p>
        </w:tc>
        <w:tc>
          <w:tcPr>
            <w:tcW w:w="164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tcBorders>
              <w:bottom w:val="single" w:color="auto" w:sz="4" w:space="0"/>
            </w:tcBorders>
            <w:noWrap w:val="0"/>
            <w:vAlign w:val="center"/>
          </w:tcPr>
          <w:p>
            <w:pPr>
              <w:rPr>
                <w:rFonts w:hint="eastAsia" w:eastAsia="仿宋_GB2312"/>
                <w:sz w:val="24"/>
              </w:rPr>
            </w:pPr>
          </w:p>
        </w:tc>
        <w:tc>
          <w:tcPr>
            <w:tcW w:w="1620"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822" w:type="dxa"/>
            <w:gridSpan w:val="2"/>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342" w:type="dxa"/>
            <w:gridSpan w:val="5"/>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软件购置、升级</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3.6</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2月8号，12月30号、45号</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信息维护服务费</w:t>
            </w:r>
          </w:p>
        </w:tc>
        <w:tc>
          <w:tcPr>
            <w:tcW w:w="1822"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129.58</w:t>
            </w:r>
          </w:p>
        </w:tc>
        <w:tc>
          <w:tcPr>
            <w:tcW w:w="2342" w:type="dxa"/>
            <w:gridSpan w:val="5"/>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2月99号，4月22号，5月10-12号，7月31-32号、34号,9月72号,12月91-95号</w:t>
            </w:r>
          </w:p>
        </w:tc>
        <w:tc>
          <w:tcPr>
            <w:tcW w:w="3036" w:type="dxa"/>
            <w:gridSpan w:val="3"/>
            <w:tcBorders>
              <w:bottom w:val="single" w:color="auto" w:sz="4" w:space="0"/>
            </w:tcBorders>
            <w:noWrap w:val="0"/>
            <w:vAlign w:val="center"/>
          </w:tcPr>
          <w:p>
            <w:pPr>
              <w:jc w:val="center"/>
              <w:rPr>
                <w:rFonts w:hint="default"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咨询服务费</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val="0"/>
                <w:bCs/>
                <w:sz w:val="24"/>
                <w:lang w:val="en-US" w:eastAsia="zh-CN"/>
              </w:rPr>
              <w:t>45.38</w:t>
            </w:r>
          </w:p>
        </w:tc>
        <w:tc>
          <w:tcPr>
            <w:tcW w:w="2342" w:type="dxa"/>
            <w:gridSpan w:val="5"/>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val="0"/>
                <w:bCs/>
                <w:sz w:val="24"/>
                <w:lang w:val="en-US" w:eastAsia="zh-CN"/>
              </w:rPr>
              <w:t>5月7号，7月53号，10月64号</w:t>
            </w: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822" w:type="dxa"/>
            <w:gridSpan w:val="2"/>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178.56</w:t>
            </w:r>
          </w:p>
        </w:tc>
        <w:tc>
          <w:tcPr>
            <w:tcW w:w="2342" w:type="dxa"/>
            <w:gridSpan w:val="5"/>
            <w:tcBorders>
              <w:bottom w:val="single" w:color="auto" w:sz="4" w:space="0"/>
            </w:tcBorders>
            <w:noWrap w:val="0"/>
            <w:vAlign w:val="center"/>
          </w:tcPr>
          <w:p>
            <w:pPr>
              <w:jc w:val="center"/>
              <w:rPr>
                <w:rFonts w:hint="eastAsia" w:eastAsia="仿宋_GB2312"/>
                <w:b/>
                <w:sz w:val="24"/>
              </w:rPr>
            </w:pPr>
          </w:p>
        </w:tc>
        <w:tc>
          <w:tcPr>
            <w:tcW w:w="303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303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073" w:type="dxa"/>
            <w:gridSpan w:val="10"/>
            <w:tcBorders>
              <w:bottom w:val="single" w:color="auto" w:sz="4" w:space="0"/>
            </w:tcBorders>
            <w:noWrap w:val="0"/>
            <w:vAlign w:val="center"/>
          </w:tcPr>
          <w:p>
            <w:pPr>
              <w:jc w:val="center"/>
              <w:rPr>
                <w:rFonts w:hint="eastAsia" w:eastAsia="仿宋_GB2312"/>
                <w:b/>
                <w:sz w:val="24"/>
                <w:lang w:eastAsia="zh-CN"/>
              </w:rPr>
            </w:pPr>
            <w:r>
              <w:rPr>
                <w:rFonts w:hint="eastAsia" w:eastAsia="仿宋_GB2312"/>
                <w:b/>
                <w:sz w:val="24"/>
                <w:lang w:eastAsia="zh-CN"/>
              </w:rPr>
              <w:t>完成</w:t>
            </w:r>
            <w:r>
              <w:rPr>
                <w:rFonts w:hint="default" w:eastAsia="仿宋_GB2312"/>
                <w:b/>
                <w:sz w:val="24"/>
                <w:lang w:val="en-US" w:eastAsia="zh-CN"/>
              </w:rPr>
              <w:t>全县财政网络安全与信息化</w:t>
            </w:r>
            <w:r>
              <w:rPr>
                <w:rFonts w:hint="eastAsia" w:eastAsia="仿宋_GB2312"/>
                <w:b/>
                <w:sz w:val="24"/>
                <w:lang w:val="en-US" w:eastAsia="zh-CN"/>
              </w:rPr>
              <w:t>建设和</w:t>
            </w:r>
            <w:r>
              <w:rPr>
                <w:rFonts w:hint="default" w:eastAsia="仿宋_GB2312"/>
                <w:b/>
                <w:sz w:val="24"/>
                <w:lang w:val="en-US" w:eastAsia="zh-CN"/>
              </w:rPr>
              <w:t>管理</w:t>
            </w:r>
          </w:p>
        </w:tc>
        <w:tc>
          <w:tcPr>
            <w:tcW w:w="3036" w:type="dxa"/>
            <w:gridSpan w:val="3"/>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b/>
                <w:sz w:val="24"/>
                <w:lang w:eastAsia="zh-CN"/>
              </w:rPr>
              <w:t>完成</w:t>
            </w:r>
            <w:r>
              <w:rPr>
                <w:rFonts w:hint="default" w:eastAsia="仿宋_GB2312"/>
                <w:b/>
                <w:sz w:val="24"/>
                <w:lang w:val="en-US" w:eastAsia="zh-CN"/>
              </w:rPr>
              <w:t>负责全县财政网络安全与信息化</w:t>
            </w:r>
            <w:r>
              <w:rPr>
                <w:rFonts w:hint="eastAsia" w:eastAsia="仿宋_GB2312"/>
                <w:b/>
                <w:sz w:val="24"/>
                <w:lang w:val="en-US" w:eastAsia="zh-CN"/>
              </w:rPr>
              <w:t>建设和</w:t>
            </w:r>
            <w:r>
              <w:rPr>
                <w:rFonts w:hint="default" w:eastAsia="仿宋_GB2312"/>
                <w:b/>
                <w:sz w:val="24"/>
                <w:lang w:val="en-US" w:eastAsia="zh-C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82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ascii="仿宋" w:hAnsi="仿宋" w:eastAsia="仿宋" w:cs="仿宋"/>
                <w:color w:val="000000"/>
                <w:sz w:val="24"/>
                <w:szCs w:val="24"/>
                <w:lang w:eastAsia="zh-CN"/>
              </w:rPr>
              <w:t>信息服务维护</w:t>
            </w:r>
            <w:r>
              <w:rPr>
                <w:rFonts w:hint="eastAsia" w:ascii="仿宋" w:hAnsi="仿宋" w:eastAsia="仿宋" w:cs="仿宋"/>
                <w:color w:val="000000"/>
                <w:sz w:val="24"/>
                <w:szCs w:val="24"/>
              </w:rPr>
              <w:t>数量</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24套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24"/>
                <w:szCs w:val="24"/>
              </w:rPr>
              <w:t>系统验收合格率</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100</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24"/>
                <w:szCs w:val="24"/>
              </w:rPr>
              <w:t>故障排除率</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100</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24"/>
                <w:szCs w:val="24"/>
              </w:rPr>
              <w:t>系统故障修复响应时间</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12</w:t>
            </w:r>
            <w:r>
              <w:rPr>
                <w:rFonts w:hint="eastAsia" w:ascii="仿宋" w:hAnsi="仿宋" w:eastAsia="仿宋" w:cs="仿宋"/>
                <w:color w:val="000000"/>
                <w:sz w:val="24"/>
                <w:szCs w:val="24"/>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24"/>
                <w:szCs w:val="24"/>
              </w:rPr>
              <w:t>数据共享率</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100</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24"/>
                <w:szCs w:val="24"/>
              </w:rPr>
              <w:t>用户友好性</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100</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restart"/>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ascii="仿宋" w:hAnsi="仿宋" w:eastAsia="仿宋" w:cs="仿宋"/>
                <w:color w:val="000000"/>
                <w:sz w:val="24"/>
                <w:szCs w:val="24"/>
              </w:rPr>
              <w:t>通用设备运行（或应用软件）的满意率</w:t>
            </w: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98</w:t>
            </w:r>
            <w:r>
              <w:rPr>
                <w:rFonts w:hint="eastAsia" w:ascii="仿宋" w:hAnsi="仿宋" w:eastAsia="仿宋" w:cs="仿宋"/>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822" w:type="dxa"/>
            <w:gridSpan w:val="2"/>
            <w:vMerge w:val="continue"/>
            <w:noWrap w:val="0"/>
            <w:vAlign w:val="center"/>
          </w:tcPr>
          <w:p>
            <w:pPr>
              <w:spacing w:line="360" w:lineRule="exact"/>
              <w:jc w:val="center"/>
              <w:rPr>
                <w:rFonts w:hint="eastAsia" w:eastAsia="仿宋_GB2312"/>
                <w:sz w:val="24"/>
              </w:rPr>
            </w:pPr>
          </w:p>
        </w:tc>
        <w:tc>
          <w:tcPr>
            <w:tcW w:w="1260" w:type="dxa"/>
            <w:gridSpan w:val="3"/>
            <w:tcBorders>
              <w:bottom w:val="single" w:color="auto" w:sz="4" w:space="0"/>
            </w:tcBorders>
            <w:noWrap w:val="0"/>
            <w:vAlign w:val="center"/>
          </w:tcPr>
          <w:p>
            <w:pPr>
              <w:spacing w:line="360" w:lineRule="exact"/>
              <w:jc w:val="center"/>
              <w:rPr>
                <w:rFonts w:hint="eastAsia" w:eastAsia="仿宋_GB2312"/>
                <w:sz w:val="24"/>
              </w:rPr>
            </w:pPr>
          </w:p>
        </w:tc>
        <w:tc>
          <w:tcPr>
            <w:tcW w:w="1082" w:type="dxa"/>
            <w:gridSpan w:val="2"/>
            <w:tcBorders>
              <w:bottom w:val="single" w:color="auto" w:sz="4" w:space="0"/>
            </w:tcBorders>
            <w:noWrap w:val="0"/>
            <w:vAlign w:val="center"/>
          </w:tcPr>
          <w:p>
            <w:pPr>
              <w:jc w:val="center"/>
              <w:rPr>
                <w:rFonts w:hint="eastAsia" w:eastAsia="仿宋_GB2312"/>
                <w:sz w:val="24"/>
              </w:rPr>
            </w:pPr>
          </w:p>
        </w:tc>
        <w:tc>
          <w:tcPr>
            <w:tcW w:w="303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1950" w:type="dxa"/>
            <w:gridSpan w:val="4"/>
            <w:noWrap w:val="0"/>
            <w:vAlign w:val="center"/>
          </w:tcPr>
          <w:p>
            <w:pPr>
              <w:jc w:val="center"/>
              <w:rPr>
                <w:rFonts w:hint="eastAsia" w:eastAsia="仿宋_GB2312"/>
                <w:sz w:val="24"/>
              </w:rPr>
            </w:pPr>
            <w:r>
              <w:rPr>
                <w:rFonts w:hint="eastAsia" w:eastAsia="仿宋_GB2312"/>
                <w:sz w:val="24"/>
              </w:rPr>
              <w:t>单  位</w:t>
            </w:r>
          </w:p>
        </w:tc>
        <w:tc>
          <w:tcPr>
            <w:tcW w:w="303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lang w:eastAsia="zh-CN"/>
              </w:rPr>
              <w:t>杜云</w:t>
            </w:r>
          </w:p>
        </w:tc>
        <w:tc>
          <w:tcPr>
            <w:tcW w:w="2332" w:type="dxa"/>
            <w:gridSpan w:val="4"/>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ascii="仿宋_GB2312" w:hAnsi="仿宋_GB2312" w:eastAsia="仿宋_GB2312" w:cs="仿宋_GB2312"/>
                <w:color w:val="000000"/>
                <w:sz w:val="24"/>
                <w:lang w:eastAsia="zh-CN"/>
              </w:rPr>
              <w:t>党委委员、总会计师</w:t>
            </w:r>
          </w:p>
        </w:tc>
        <w:tc>
          <w:tcPr>
            <w:tcW w:w="1950" w:type="dxa"/>
            <w:gridSpan w:val="4"/>
            <w:noWrap w:val="0"/>
            <w:vAlign w:val="center"/>
          </w:tcPr>
          <w:p>
            <w:pPr>
              <w:jc w:val="center"/>
              <w:rPr>
                <w:rFonts w:hint="eastAsia" w:eastAsia="仿宋_GB2312"/>
                <w:sz w:val="24"/>
                <w:lang w:eastAsia="zh-CN"/>
              </w:rPr>
            </w:pPr>
            <w:r>
              <w:rPr>
                <w:rFonts w:hint="eastAsia" w:eastAsia="仿宋_GB2312"/>
                <w:sz w:val="24"/>
                <w:lang w:eastAsia="zh-CN"/>
              </w:rPr>
              <w:t>华容县财政局</w:t>
            </w:r>
          </w:p>
        </w:tc>
        <w:tc>
          <w:tcPr>
            <w:tcW w:w="3036"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ascii="仿宋_GB2312" w:hAnsi="仿宋_GB2312" w:eastAsia="仿宋_GB2312" w:cs="仿宋_GB2312"/>
                <w:color w:val="000000"/>
                <w:sz w:val="24"/>
                <w:lang w:eastAsia="zh-CN"/>
              </w:rPr>
              <w:t>汤世华</w:t>
            </w:r>
          </w:p>
        </w:tc>
        <w:tc>
          <w:tcPr>
            <w:tcW w:w="2332" w:type="dxa"/>
            <w:gridSpan w:val="4"/>
            <w:noWrap w:val="0"/>
            <w:vAlign w:val="center"/>
          </w:tcPr>
          <w:p>
            <w:pPr>
              <w:jc w:val="center"/>
              <w:rPr>
                <w:rFonts w:hint="eastAsia" w:eastAsia="仿宋_GB2312"/>
                <w:sz w:val="24"/>
              </w:rPr>
            </w:pPr>
            <w:r>
              <w:rPr>
                <w:rFonts w:ascii="仿宋_GB2312" w:hAnsi="仿宋_GB2312" w:eastAsia="仿宋_GB2312" w:cs="仿宋_GB2312"/>
                <w:color w:val="000000"/>
                <w:kern w:val="0"/>
                <w:sz w:val="24"/>
                <w:szCs w:val="20"/>
                <w:lang w:val="en-US" w:eastAsia="zh-CN" w:bidi="hi-IN"/>
              </w:rPr>
              <w:t>办公室主任</w:t>
            </w:r>
          </w:p>
        </w:tc>
        <w:tc>
          <w:tcPr>
            <w:tcW w:w="1950" w:type="dxa"/>
            <w:gridSpan w:val="4"/>
            <w:noWrap w:val="0"/>
            <w:vAlign w:val="center"/>
          </w:tcPr>
          <w:p>
            <w:pPr>
              <w:jc w:val="center"/>
              <w:rPr>
                <w:rFonts w:hint="eastAsia" w:eastAsia="仿宋_GB2312"/>
                <w:sz w:val="24"/>
              </w:rPr>
            </w:pPr>
            <w:r>
              <w:rPr>
                <w:rFonts w:hint="eastAsia" w:eastAsia="仿宋_GB2312"/>
                <w:sz w:val="24"/>
                <w:lang w:eastAsia="zh-CN"/>
              </w:rPr>
              <w:t>华容县财政局</w:t>
            </w:r>
          </w:p>
        </w:tc>
        <w:tc>
          <w:tcPr>
            <w:tcW w:w="3036"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岳容</w:t>
            </w:r>
          </w:p>
        </w:tc>
        <w:tc>
          <w:tcPr>
            <w:tcW w:w="2332" w:type="dxa"/>
            <w:gridSpan w:val="4"/>
            <w:noWrap w:val="0"/>
            <w:vAlign w:val="center"/>
          </w:tcPr>
          <w:p>
            <w:pPr>
              <w:jc w:val="center"/>
              <w:rPr>
                <w:rFonts w:hint="eastAsia" w:eastAsia="仿宋_GB2312"/>
                <w:sz w:val="24"/>
              </w:rPr>
            </w:pPr>
          </w:p>
        </w:tc>
        <w:tc>
          <w:tcPr>
            <w:tcW w:w="1950" w:type="dxa"/>
            <w:gridSpan w:val="4"/>
            <w:noWrap w:val="0"/>
            <w:vAlign w:val="center"/>
          </w:tcPr>
          <w:p>
            <w:pPr>
              <w:jc w:val="center"/>
              <w:rPr>
                <w:rFonts w:hint="eastAsia" w:eastAsia="仿宋_GB2312"/>
                <w:sz w:val="24"/>
              </w:rPr>
            </w:pPr>
            <w:r>
              <w:rPr>
                <w:rFonts w:hint="eastAsia" w:eastAsia="仿宋_GB2312"/>
                <w:sz w:val="24"/>
                <w:lang w:eastAsia="zh-CN"/>
              </w:rPr>
              <w:t>华容县财政局</w:t>
            </w:r>
          </w:p>
        </w:tc>
        <w:tc>
          <w:tcPr>
            <w:tcW w:w="3036"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周傲</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0730-4211636</w:t>
      </w:r>
    </w:p>
    <w:tbl>
      <w:tblPr>
        <w:tblStyle w:val="7"/>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numPr>
                <w:ilvl w:val="0"/>
                <w:numId w:val="1"/>
              </w:numPr>
              <w:spacing w:line="560" w:lineRule="exact"/>
              <w:ind w:firstLine="562" w:firstLineChars="20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项目基本概况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asciiTheme="majorEastAsia" w:hAnsiTheme="majorEastAsia" w:eastAsiaTheme="majorEastAsia" w:cstheme="majorEastAsia"/>
                <w:sz w:val="28"/>
                <w:szCs w:val="28"/>
                <w:lang w:val="en-US" w:eastAsia="zh-CN"/>
              </w:rPr>
            </w:pPr>
            <w:r>
              <w:rPr>
                <w:rFonts w:hint="default" w:asciiTheme="majorEastAsia" w:hAnsiTheme="majorEastAsia" w:eastAsiaTheme="majorEastAsia" w:cstheme="majorEastAsia"/>
                <w:sz w:val="28"/>
                <w:szCs w:val="28"/>
                <w:lang w:val="en-US" w:eastAsia="zh-CN"/>
              </w:rPr>
              <w:t>负责全县财政网络安全与信息化管理；负责本级信息系统的建设和管理、上级信息系统的维护；负责财政数据中心、局域网、广域网等信息化基础设施的建设和管理；负责承担全县财政网络计算机终端的专线接入、IP地址分配、防病毒管理、准入控制管理、软件安装维护、网络安全管理等运行管理与维护服务工作。</w:t>
            </w:r>
          </w:p>
          <w:p>
            <w:pPr>
              <w:numPr>
                <w:ilvl w:val="0"/>
                <w:numId w:val="1"/>
              </w:numPr>
              <w:spacing w:line="560" w:lineRule="exact"/>
              <w:ind w:left="0" w:leftChars="0" w:firstLine="562" w:firstLineChars="20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项目资金使用及管理情况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1．项目资金执行情况。财政下达项目资金后，我局及时按照项目建设相关规定，及时协调、进行建设，并按照合同中约定的款项支付给供应方。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eastAsia="仿宋_GB2312"/>
                <w:sz w:val="30"/>
                <w:szCs w:val="30"/>
              </w:rPr>
            </w:pPr>
            <w:r>
              <w:rPr>
                <w:rFonts w:hint="eastAsia" w:asciiTheme="majorEastAsia" w:hAnsiTheme="majorEastAsia" w:eastAsiaTheme="majorEastAsia" w:cstheme="majorEastAsia"/>
                <w:sz w:val="28"/>
                <w:szCs w:val="28"/>
                <w:lang w:val="en-US" w:eastAsia="zh-CN"/>
              </w:rPr>
              <w:t>2．项目资金管理情况。项目资金严格按照项目实施内容，专款专用进行项目资金的管理使用。</w:t>
            </w:r>
          </w:p>
          <w:p>
            <w:pPr>
              <w:spacing w:line="560" w:lineRule="exact"/>
              <w:ind w:firstLine="562" w:firstLineChars="200"/>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（三）项目组织实施情况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default" w:asciiTheme="majorEastAsia" w:hAnsiTheme="majorEastAsia" w:eastAsiaTheme="majorEastAsia" w:cstheme="majorEastAsia"/>
                <w:sz w:val="28"/>
                <w:szCs w:val="28"/>
                <w:lang w:val="en-US" w:eastAsia="zh-CN"/>
              </w:rPr>
              <w:t>1.</w:t>
            </w:r>
            <w:r>
              <w:rPr>
                <w:rFonts w:hint="eastAsia" w:asciiTheme="majorEastAsia" w:hAnsiTheme="majorEastAsia" w:eastAsiaTheme="majorEastAsia" w:cstheme="majorEastAsia"/>
                <w:sz w:val="28"/>
                <w:szCs w:val="28"/>
                <w:lang w:val="en-US" w:eastAsia="zh-CN"/>
              </w:rPr>
              <w:t>项目建设</w:t>
            </w:r>
            <w:r>
              <w:rPr>
                <w:rFonts w:hint="default"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sz w:val="28"/>
                <w:szCs w:val="28"/>
                <w:lang w:val="en-US" w:eastAsia="zh-CN"/>
              </w:rPr>
              <w:t>根据上级文件要求，联系指定的软件项目建设公司实施业务系统的建设，一部分为上级服务器部署系统程序，本级只配置流程、要素，用户、权限等，一部分为本级机房服务器部署；根据网络安全的要求与数据机房设施的运行维护情况，适时开展硬件项目建设。机房设施主要包括：服务器、防火墙、防毒墙、入侵监测、核心交换机、堡垒机、数据库审计、身份认证、银行路由、省厅路由、精密空调、应急制冷、UPS不间断电源系统、动力环境监控等。 各类预算超过5万元的项目建设按照“一事一议”的原则提交党委会讨论：机房基础性软硬件项目建设由信息中心提出，业务系统建设项目由业务股室会商信息中心后提出，经批准并记录备案后，信息中心在电子卖场进行采购，超过限额的按照政府采购程序进行采购，然后信息中心签订合同和报账，业务系统建设项目基本上都为单一来源采购项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eastAsia="仿宋_GB2312"/>
                <w:sz w:val="30"/>
                <w:szCs w:val="30"/>
              </w:rPr>
            </w:pPr>
            <w:r>
              <w:rPr>
                <w:rFonts w:hint="eastAsia" w:asciiTheme="majorEastAsia" w:hAnsiTheme="majorEastAsia" w:eastAsiaTheme="majorEastAsia" w:cstheme="majorEastAsia"/>
                <w:sz w:val="28"/>
                <w:szCs w:val="28"/>
                <w:lang w:val="en-US" w:eastAsia="zh-CN"/>
              </w:rPr>
              <w:t>2.运行维护：设备与网络维护方面，主要有办公楼核心机房设施，原章华财政所大楼容灾机房设施，办公大楼每楼层外网、内网楼层交换网络，乡镇财政所财政专线，各预算单位财政专线，人大、政务中心数据交换专线等。机房设备与网络维护主要由长沙两家公司分别对信息化设施与机房动力环境设施提供维护服务，楼层设备与线路维护主要协商办公室请当地电脑公司进行维护，外部的财政专线由移动公司进行维护和巡检；本地业务软件系统主要有非税征管、非税执收、单位账务、国库支付、部门预算、指标管理、国库总账、公务卡、财税库银、动态监控、电子凭证库、电子印章、政府采购、财政补贴、村场账务、资产管理、办公OA等系统，其中有几个近两年已迁移到省厅，本地备查，还有部分与上级财政和本级其他部门的接口系统，如直达资金、人大监督、行政审批等数据传输交换系统。其他一些业务系统都部署在上级。按照省厅要求，2021年7月份岳阳市全面实施预算一体化系统建设，系统建设逐步向上集中，到目前已经将预算、支付、账务等数据交割到省厅，本地部署的系统将逐渐停用，保留备查。无论部署到上级或者本级的业务系统，除个别外，基本上都由本级财政部门负责联系维护商进行维护，支付维护费。各业务系统和硬件设施年度运维服务费支出明细每年在党委会一次性汇报一次，按程序在电子卖场下单。</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b/>
                <w:bCs/>
                <w:sz w:val="28"/>
                <w:szCs w:val="28"/>
                <w:lang w:val="en-US" w:eastAsia="zh-CN"/>
              </w:rPr>
              <w:t>四）主要经验、问题和建议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1、工作的经验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一是规范项目管理。严格按照财政局有关规定与我局财务规定执行，专项经费实行项目管理、专项核算、专款专用。二是健全项目管理责任制。不断增强项目执行的严肃性和约束力，加大对项目的跟踪管理力度，努力保障项目顺利实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2、问题和建议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eastAsia="楷体_GB2312"/>
                <w:bCs/>
                <w:sz w:val="28"/>
                <w:szCs w:val="28"/>
              </w:rPr>
            </w:pPr>
            <w:r>
              <w:rPr>
                <w:rFonts w:hint="eastAsia" w:asciiTheme="majorEastAsia" w:hAnsiTheme="majorEastAsia" w:eastAsiaTheme="majorEastAsia" w:cstheme="majorEastAsia"/>
                <w:sz w:val="28"/>
                <w:szCs w:val="28"/>
                <w:lang w:val="en-US" w:eastAsia="zh-CN"/>
              </w:rPr>
              <w:t>我单位财政支出绩效管理工作还存在绩效目标编制不够全面，绩效指标量化不够，绩效评价手段和方法有待优化，在今后的工作中需要进一步加以改进和完善。建议财政局继续加强对各部门的指导，使项目编制更加符合绩效评价相关要求，提高各部门、实施单位对专项资金使用绩效评价工作，重要意义的认识，牢固树立绩效管理理念，同时进一步提高绩效评价工作方式、方法，将已完成的所有工作绩效成果充分体现出来。</w:t>
            </w:r>
          </w:p>
        </w:tc>
      </w:tr>
    </w:tbl>
    <w:p>
      <w:pPr>
        <w:rPr>
          <w:rFonts w:ascii="黑体" w:hAnsi="黑体" w:eastAsia="黑体"/>
          <w:sz w:val="32"/>
          <w:szCs w:val="32"/>
        </w:rPr>
      </w:pPr>
    </w:p>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widowControl/>
              <w:spacing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sectPr>
      <w:footerReference r:id="rId3" w:type="default"/>
      <w:footerReference r:id="rId4"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53133"/>
    <w:multiLevelType w:val="singleLevel"/>
    <w:tmpl w:val="9415313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29211C4"/>
    <w:rsid w:val="037C6A95"/>
    <w:rsid w:val="03A34A22"/>
    <w:rsid w:val="04A15406"/>
    <w:rsid w:val="07372051"/>
    <w:rsid w:val="07AF7E3A"/>
    <w:rsid w:val="083749E7"/>
    <w:rsid w:val="09DA6CC4"/>
    <w:rsid w:val="0A5C40BB"/>
    <w:rsid w:val="0CB679B8"/>
    <w:rsid w:val="0DE528CD"/>
    <w:rsid w:val="0DFE5677"/>
    <w:rsid w:val="10A02A15"/>
    <w:rsid w:val="11160F29"/>
    <w:rsid w:val="11A16A45"/>
    <w:rsid w:val="121C256F"/>
    <w:rsid w:val="12E70326"/>
    <w:rsid w:val="1336279F"/>
    <w:rsid w:val="17854713"/>
    <w:rsid w:val="183A72AB"/>
    <w:rsid w:val="18725427"/>
    <w:rsid w:val="19DE770C"/>
    <w:rsid w:val="1C3B5CE8"/>
    <w:rsid w:val="1D00505A"/>
    <w:rsid w:val="1E122734"/>
    <w:rsid w:val="1F3A410F"/>
    <w:rsid w:val="21D95D87"/>
    <w:rsid w:val="21E5472C"/>
    <w:rsid w:val="24153CC9"/>
    <w:rsid w:val="254E2FC7"/>
    <w:rsid w:val="25B607B7"/>
    <w:rsid w:val="263C173A"/>
    <w:rsid w:val="2838132E"/>
    <w:rsid w:val="289D055E"/>
    <w:rsid w:val="29A13905"/>
    <w:rsid w:val="2A331DAD"/>
    <w:rsid w:val="2B620B9B"/>
    <w:rsid w:val="2C455389"/>
    <w:rsid w:val="2C9F197B"/>
    <w:rsid w:val="2CA33441"/>
    <w:rsid w:val="2CE55C20"/>
    <w:rsid w:val="2F287302"/>
    <w:rsid w:val="2F3C7955"/>
    <w:rsid w:val="30426D13"/>
    <w:rsid w:val="31F50969"/>
    <w:rsid w:val="32546D64"/>
    <w:rsid w:val="326C67A3"/>
    <w:rsid w:val="34024E48"/>
    <w:rsid w:val="34677222"/>
    <w:rsid w:val="353B79A1"/>
    <w:rsid w:val="3A43255A"/>
    <w:rsid w:val="3B4343E0"/>
    <w:rsid w:val="3CCA1173"/>
    <w:rsid w:val="3D6201A1"/>
    <w:rsid w:val="3EC46785"/>
    <w:rsid w:val="3F8A6044"/>
    <w:rsid w:val="43A702D9"/>
    <w:rsid w:val="43FB1735"/>
    <w:rsid w:val="43FD424B"/>
    <w:rsid w:val="44234045"/>
    <w:rsid w:val="44592EA4"/>
    <w:rsid w:val="450B59A8"/>
    <w:rsid w:val="45F75F2C"/>
    <w:rsid w:val="4676600F"/>
    <w:rsid w:val="477245B4"/>
    <w:rsid w:val="48B72C9F"/>
    <w:rsid w:val="49617FA5"/>
    <w:rsid w:val="498700F0"/>
    <w:rsid w:val="4A0A26D2"/>
    <w:rsid w:val="4A8F0E29"/>
    <w:rsid w:val="4AE47A91"/>
    <w:rsid w:val="4D171D42"/>
    <w:rsid w:val="4D664345"/>
    <w:rsid w:val="4E2C3418"/>
    <w:rsid w:val="4E4F0BB0"/>
    <w:rsid w:val="51B97834"/>
    <w:rsid w:val="54161C73"/>
    <w:rsid w:val="56BD5B62"/>
    <w:rsid w:val="59667952"/>
    <w:rsid w:val="59AA506D"/>
    <w:rsid w:val="5AAF2CC6"/>
    <w:rsid w:val="5BE95901"/>
    <w:rsid w:val="5D417D61"/>
    <w:rsid w:val="5DA30A1C"/>
    <w:rsid w:val="5F3E6C4E"/>
    <w:rsid w:val="65FE5FFE"/>
    <w:rsid w:val="6A0A15CD"/>
    <w:rsid w:val="6B365756"/>
    <w:rsid w:val="6B931209"/>
    <w:rsid w:val="6C7A3290"/>
    <w:rsid w:val="6D452F22"/>
    <w:rsid w:val="6DF352BD"/>
    <w:rsid w:val="6E9F576B"/>
    <w:rsid w:val="6EB90F60"/>
    <w:rsid w:val="70425E72"/>
    <w:rsid w:val="705E3E6D"/>
    <w:rsid w:val="70A00DEB"/>
    <w:rsid w:val="71C1048A"/>
    <w:rsid w:val="71E17ACC"/>
    <w:rsid w:val="72676837"/>
    <w:rsid w:val="7396188C"/>
    <w:rsid w:val="73F35F5B"/>
    <w:rsid w:val="74087741"/>
    <w:rsid w:val="78540E39"/>
    <w:rsid w:val="79C04582"/>
    <w:rsid w:val="7B555BED"/>
    <w:rsid w:val="7D1F0DA2"/>
    <w:rsid w:val="7DFA2B17"/>
    <w:rsid w:val="7E132BFC"/>
    <w:rsid w:val="7E1846B6"/>
    <w:rsid w:val="7F6776A3"/>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semiHidden/>
    <w:qFormat/>
    <w:uiPriority w:val="0"/>
    <w:pPr>
      <w:ind w:left="659" w:leftChars="314"/>
    </w:pPr>
    <w:rPr>
      <w:rFonts w:ascii="仿宋_GB2312" w:eastAsia="仿宋_GB2312"/>
      <w:sz w:val="24"/>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semiHidden/>
    <w:qFormat/>
    <w:uiPriority w:val="0"/>
    <w:pPr>
      <w:spacing w:after="120"/>
      <w:ind w:left="283" w:leftChars="0" w:firstLine="210"/>
    </w:pPr>
    <w:rPr>
      <w:rFonts w:ascii="Times New Roman" w:eastAsia="宋体"/>
      <w:sz w:val="21"/>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6683</Words>
  <Characters>7007</Characters>
  <Lines>0</Lines>
  <Paragraphs>0</Paragraphs>
  <TotalTime>38</TotalTime>
  <ScaleCrop>false</ScaleCrop>
  <LinksUpToDate>false</LinksUpToDate>
  <CharactersWithSpaces>8100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2022-10-11T07:57:00Z</cp:lastPrinted>
  <dcterms:modified xsi:type="dcterms:W3CDTF">2022-10-14T02:43:51Z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377A56B318954603893BD5B869B7BB42</vt:lpwstr>
  </property>
</Properties>
</file>