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华容县园林绿化中心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305004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 xml:space="preserve">10 </w:t>
      </w:r>
      <w:r>
        <w:rPr>
          <w:rFonts w:hint="eastAsia" w:eastAsia="仿宋_GB2312"/>
          <w:sz w:val="32"/>
        </w:rPr>
        <w:t xml:space="preserve">月 </w:t>
      </w:r>
      <w:r>
        <w:rPr>
          <w:rFonts w:hint="eastAsia" w:eastAsia="仿宋_GB2312"/>
          <w:sz w:val="32"/>
          <w:lang w:val="en-US" w:eastAsia="zh-CN"/>
        </w:rPr>
        <w:t>14</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3"/>
        <w:gridCol w:w="213"/>
        <w:gridCol w:w="1126"/>
        <w:gridCol w:w="211"/>
        <w:gridCol w:w="1146"/>
        <w:gridCol w:w="274"/>
        <w:gridCol w:w="809"/>
        <w:gridCol w:w="1480"/>
        <w:gridCol w:w="227"/>
        <w:gridCol w:w="197"/>
        <w:gridCol w:w="258"/>
        <w:gridCol w:w="1083"/>
        <w:gridCol w:w="265"/>
        <w:gridCol w:w="140"/>
        <w:gridCol w:w="315"/>
        <w:gridCol w:w="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982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孙井</w:t>
            </w:r>
          </w:p>
        </w:tc>
        <w:tc>
          <w:tcPr>
            <w:tcW w:w="14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18"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18873090070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6"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18"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18"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64"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管理园林绿地、美化城市环境。城市园林绿化地系列规划；城市园林绿地建设；城市园林绿地管理与维护。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12"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64" w:type="dxa"/>
            <w:gridSpan w:val="14"/>
            <w:noWrap w:val="0"/>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1：改善城市生态和人居环境，提升城市档次。</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2：对城市建设项目严把绿地用地审批关，加强城区公共绿地的执法管理工作。</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3：精细化养护，有效维护现有绿地景观效果。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23"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64" w:type="dxa"/>
            <w:gridSpan w:val="1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强化党建、扶贫工作，全面落实党员教育，加强监督管理，加强精准扶贫力度，对建设项目在建设过程中严格按照绿化规划和绿化方案实行跟踪监督和动态管理，坚决依法查处损毁、侵占、破坏城市绿地的行为。保护城市绿化成果，全年处理损绿、毁绿事件</w:t>
            </w:r>
            <w:r>
              <w:rPr>
                <w:rFonts w:hint="eastAsia" w:ascii="仿宋_GB2312" w:hAnsi="仿宋_GB2312" w:eastAsia="仿宋_GB2312" w:cs="仿宋_GB2312"/>
                <w:color w:val="000000"/>
                <w:sz w:val="24"/>
                <w:lang w:val="en-US" w:eastAsia="zh-CN"/>
              </w:rPr>
              <w:t>10余起，对城区绿地进行了整形修剪、除杂、施肥、打药治虫工作，有效地维护了现有绿地景观效果，改善了城市生态环境。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982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982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656"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26"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38"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8" w:hRule="atLeast"/>
          <w:jc w:val="center"/>
        </w:trPr>
        <w:tc>
          <w:tcPr>
            <w:tcW w:w="1656"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2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8"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4"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126"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8"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656"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8"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1656" w:type="dxa"/>
            <w:gridSpan w:val="2"/>
            <w:noWrap w:val="0"/>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园林绿化中心</w:t>
            </w:r>
          </w:p>
        </w:tc>
        <w:tc>
          <w:tcPr>
            <w:tcW w:w="1126"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583.46</w:t>
            </w: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3"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355.46</w:t>
            </w:r>
          </w:p>
        </w:tc>
        <w:tc>
          <w:tcPr>
            <w:tcW w:w="170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w:t>
            </w:r>
          </w:p>
        </w:tc>
        <w:tc>
          <w:tcPr>
            <w:tcW w:w="18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8"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656"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26"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8"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982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8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53"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12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5"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3"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33"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12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3"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33"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1"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3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3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园林绿化中心</w:t>
            </w:r>
          </w:p>
        </w:tc>
        <w:tc>
          <w:tcPr>
            <w:tcW w:w="1126"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583.46</w:t>
            </w:r>
          </w:p>
        </w:tc>
        <w:tc>
          <w:tcPr>
            <w:tcW w:w="1357"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583.46</w:t>
            </w:r>
          </w:p>
        </w:tc>
        <w:tc>
          <w:tcPr>
            <w:tcW w:w="1083"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355.46</w:t>
            </w:r>
          </w:p>
        </w:tc>
        <w:tc>
          <w:tcPr>
            <w:tcW w:w="216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w:t>
            </w:r>
          </w:p>
        </w:tc>
        <w:tc>
          <w:tcPr>
            <w:tcW w:w="108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3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3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38"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1656"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12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3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3"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园林绿化中心</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3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7"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90"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8"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12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4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50"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8"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1"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4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5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4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5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园林绿化中心</w:t>
            </w:r>
          </w:p>
        </w:tc>
        <w:tc>
          <w:tcPr>
            <w:tcW w:w="1126"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w:t>
            </w:r>
          </w:p>
        </w:tc>
        <w:tc>
          <w:tcPr>
            <w:tcW w:w="2440"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w:t>
            </w:r>
          </w:p>
        </w:tc>
        <w:tc>
          <w:tcPr>
            <w:tcW w:w="365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6"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26"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4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5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982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443"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9"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98"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97"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3779" w:type="dxa"/>
            <w:gridSpan w:val="6"/>
            <w:noWrap w:val="0"/>
            <w:vAlign w:val="center"/>
          </w:tcPr>
          <w:p>
            <w:pPr>
              <w:numPr>
                <w:ilvl w:val="0"/>
                <w:numId w:val="0"/>
              </w:numPr>
              <w:autoSpaceDN w:val="0"/>
              <w:spacing w:line="320" w:lineRule="exact"/>
              <w:ind w:leftChars="0"/>
              <w:jc w:val="left"/>
              <w:textAlignment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1：改善城市生态和人居环境，提升城市档次，为创建国家园林县城奠定基础。</w:t>
            </w:r>
          </w:p>
          <w:p>
            <w:pPr>
              <w:numPr>
                <w:ilvl w:val="0"/>
                <w:numId w:val="0"/>
              </w:numPr>
              <w:autoSpaceDN w:val="0"/>
              <w:spacing w:line="320" w:lineRule="exact"/>
              <w:ind w:leftChars="0"/>
              <w:jc w:val="left"/>
              <w:textAlignment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2：三公经费变动率≤0</w:t>
            </w:r>
          </w:p>
          <w:p>
            <w:pPr>
              <w:numPr>
                <w:ilvl w:val="0"/>
                <w:numId w:val="0"/>
              </w:numPr>
              <w:autoSpaceDN w:val="0"/>
              <w:spacing w:line="320" w:lineRule="exact"/>
              <w:ind w:leftChars="0"/>
              <w:jc w:val="left"/>
              <w:textAlignment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3：财政供养人员控制率=100%</w:t>
            </w:r>
          </w:p>
          <w:p>
            <w:pPr>
              <w:numPr>
                <w:ilvl w:val="0"/>
                <w:numId w:val="0"/>
              </w:numPr>
              <w:autoSpaceDN w:val="0"/>
              <w:spacing w:line="320" w:lineRule="exact"/>
              <w:ind w:leftChars="0"/>
              <w:jc w:val="left"/>
              <w:textAlignment w:val="center"/>
              <w:rPr>
                <w:rFonts w:hint="default"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val="0"/>
                <w:bCs w:val="0"/>
                <w:color w:val="000000"/>
                <w:kern w:val="0"/>
                <w:sz w:val="24"/>
                <w:szCs w:val="24"/>
                <w:lang w:val="en-US" w:eastAsia="zh-CN"/>
              </w:rPr>
              <w:t>4：政府采购执行率=100%</w:t>
            </w:r>
          </w:p>
        </w:tc>
        <w:tc>
          <w:tcPr>
            <w:tcW w:w="4598"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以巩固省级园林县城标准，争创国家园林县城工作为契机，对新建道路绿化和新建绿化项目出谋划策，全力推进城市建设。</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三公经费、财政供养人员、政府采购均在控制范围内。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443"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7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1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20"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公共绿地治虫</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5次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公共绿地锄草</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公共绿地修剪</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13"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三公经费变动率≤</w:t>
            </w:r>
            <w:r>
              <w:rPr>
                <w:rFonts w:hint="eastAsia" w:ascii="仿宋_GB2312" w:hAnsi="仿宋_GB2312" w:eastAsia="仿宋_GB2312" w:cs="仿宋_GB2312"/>
                <w:color w:val="000000"/>
                <w:sz w:val="24"/>
                <w:lang w:val="en-US" w:eastAsia="zh-CN"/>
              </w:rPr>
              <w:t>0</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13"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财政供养人员控制率</w:t>
            </w:r>
            <w:r>
              <w:rPr>
                <w:rFonts w:hint="eastAsia" w:ascii="仿宋_GB2312" w:hAnsi="仿宋_GB2312" w:eastAsia="仿宋_GB2312" w:cs="仿宋_GB2312"/>
                <w:color w:val="000000"/>
                <w:sz w:val="24"/>
                <w:lang w:val="en-US" w:eastAsia="zh-CN"/>
              </w:rPr>
              <w:t>=100%</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5"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13"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政府采购执行率</w:t>
            </w:r>
            <w:r>
              <w:rPr>
                <w:rFonts w:hint="eastAsia" w:ascii="仿宋_GB2312" w:hAnsi="仿宋_GB2312" w:eastAsia="仿宋_GB2312" w:cs="仿宋_GB2312"/>
                <w:color w:val="000000"/>
                <w:sz w:val="24"/>
                <w:lang w:val="en-US" w:eastAsia="zh-CN"/>
              </w:rPr>
              <w:t>=100%</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任务完成时间</w:t>
            </w:r>
          </w:p>
        </w:tc>
        <w:tc>
          <w:tcPr>
            <w:tcW w:w="269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2021年12月31日前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预算控制数</w:t>
            </w:r>
          </w:p>
        </w:tc>
        <w:tc>
          <w:tcPr>
            <w:tcW w:w="269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w:t>
            </w:r>
            <w:r>
              <w:rPr>
                <w:rFonts w:hint="eastAsia" w:ascii="仿宋_GB2312" w:hAnsi="仿宋_GB2312" w:eastAsia="仿宋_GB2312" w:cs="仿宋_GB2312"/>
                <w:b/>
                <w:color w:val="000000"/>
                <w:sz w:val="24"/>
                <w:lang w:val="en-US" w:eastAsia="zh-CN"/>
              </w:rPr>
              <w:t>300万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人均公园面积</w:t>
            </w:r>
          </w:p>
        </w:tc>
        <w:tc>
          <w:tcPr>
            <w:tcW w:w="269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w:t>
            </w:r>
            <w:r>
              <w:rPr>
                <w:rFonts w:hint="eastAsia" w:ascii="仿宋_GB2312" w:hAnsi="仿宋_GB2312" w:eastAsia="仿宋_GB2312" w:cs="仿宋_GB2312"/>
                <w:b/>
                <w:color w:val="000000"/>
                <w:sz w:val="24"/>
                <w:lang w:val="en-US" w:eastAsia="zh-CN"/>
              </w:rPr>
              <w:t>11.37平方米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71"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改善城区居民生活品质，带动周边产业发展，增加商业氛围，有效带动经济发展。</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58"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改善城市生态和人居环境提升城市档次</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绿地率</w:t>
            </w:r>
            <w:r>
              <w:rPr>
                <w:rFonts w:hint="eastAsia" w:ascii="仿宋_GB2312" w:hAnsi="仿宋_GB2312" w:eastAsia="仿宋_GB2312" w:cs="仿宋_GB2312"/>
                <w:b/>
                <w:color w:val="000000"/>
                <w:sz w:val="24"/>
                <w:lang w:val="en-US" w:eastAsia="zh-CN"/>
              </w:rPr>
              <w:t>41.46%、</w:t>
            </w:r>
            <w:r>
              <w:rPr>
                <w:rFonts w:hint="eastAsia" w:ascii="仿宋_GB2312" w:hAnsi="仿宋_GB2312" w:eastAsia="仿宋_GB2312" w:cs="仿宋_GB2312"/>
                <w:b/>
                <w:color w:val="000000"/>
                <w:sz w:val="24"/>
                <w:lang w:eastAsia="zh-CN"/>
              </w:rPr>
              <w:t>绿地覆盖率</w:t>
            </w:r>
            <w:r>
              <w:rPr>
                <w:rFonts w:hint="eastAsia" w:ascii="仿宋_GB2312" w:hAnsi="仿宋_GB2312" w:eastAsia="仿宋_GB2312" w:cs="仿宋_GB2312"/>
                <w:b/>
                <w:color w:val="000000"/>
                <w:sz w:val="24"/>
                <w:lang w:val="en-US" w:eastAsia="zh-CN"/>
              </w:rPr>
              <w:t>44.77%</w:t>
            </w:r>
            <w:r>
              <w:rPr>
                <w:rFonts w:hint="eastAsia" w:ascii="仿宋_GB2312" w:hAnsi="仿宋_GB2312" w:eastAsia="仿宋_GB2312" w:cs="仿宋_GB2312"/>
                <w:b/>
                <w:color w:val="000000"/>
                <w:sz w:val="24"/>
                <w:lang w:eastAsia="zh-CN"/>
              </w:rPr>
              <w:t>人均公园绿地</w:t>
            </w: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面积</w:t>
            </w:r>
            <w:r>
              <w:rPr>
                <w:rFonts w:hint="eastAsia" w:ascii="仿宋_GB2312" w:hAnsi="仿宋_GB2312" w:eastAsia="仿宋_GB2312" w:cs="仿宋_GB2312"/>
                <w:b/>
                <w:color w:val="000000"/>
                <w:sz w:val="24"/>
                <w:lang w:val="en-US" w:eastAsia="zh-CN"/>
              </w:rPr>
              <w:t>11.37</w:t>
            </w:r>
            <w:r>
              <w:rPr>
                <w:rFonts w:hint="eastAsia" w:ascii="宋体" w:hAnsi="宋体" w:eastAsia="宋体" w:cs="宋体"/>
                <w:b/>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58" w:hRule="atLeast"/>
          <w:jc w:val="center"/>
        </w:trPr>
        <w:tc>
          <w:tcPr>
            <w:tcW w:w="1443" w:type="dxa"/>
            <w:vMerge w:val="continue"/>
            <w:noWrap w:val="0"/>
            <w:vAlign w:val="center"/>
          </w:tcPr>
          <w:p>
            <w:pPr>
              <w:spacing w:line="320" w:lineRule="exact"/>
              <w:rPr>
                <w:rFonts w:hint="eastAsia" w:ascii="仿宋_GB2312" w:hAnsi="仿宋_GB2312" w:eastAsia="仿宋_GB2312" w:cs="仿宋_GB2312"/>
                <w:sz w:val="24"/>
              </w:rPr>
            </w:pPr>
          </w:p>
        </w:tc>
        <w:tc>
          <w:tcPr>
            <w:tcW w:w="1550"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1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kern w:val="0"/>
                <w:sz w:val="24"/>
              </w:rPr>
              <w:t>居民满意</w:t>
            </w:r>
            <w:r>
              <w:rPr>
                <w:rFonts w:hint="eastAsia" w:eastAsia="仿宋_GB2312"/>
                <w:kern w:val="0"/>
                <w:sz w:val="24"/>
                <w:lang w:eastAsia="zh-CN"/>
              </w:rPr>
              <w:t>度</w:t>
            </w:r>
          </w:p>
        </w:tc>
        <w:tc>
          <w:tcPr>
            <w:tcW w:w="269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299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27"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299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27"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8" w:hRule="atLeast"/>
          <w:jc w:val="center"/>
        </w:trPr>
        <w:tc>
          <w:tcPr>
            <w:tcW w:w="982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1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8"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刘爱东</w:t>
            </w:r>
          </w:p>
        </w:tc>
        <w:tc>
          <w:tcPr>
            <w:tcW w:w="35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4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园林绿化中心</w:t>
            </w:r>
          </w:p>
        </w:tc>
        <w:tc>
          <w:tcPr>
            <w:tcW w:w="311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8"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许志</w:t>
            </w:r>
          </w:p>
        </w:tc>
        <w:tc>
          <w:tcPr>
            <w:tcW w:w="35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书记</w:t>
            </w:r>
          </w:p>
        </w:tc>
        <w:tc>
          <w:tcPr>
            <w:tcW w:w="14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园林绿化中心</w:t>
            </w:r>
          </w:p>
        </w:tc>
        <w:tc>
          <w:tcPr>
            <w:tcW w:w="311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8"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刘前度</w:t>
            </w:r>
          </w:p>
        </w:tc>
        <w:tc>
          <w:tcPr>
            <w:tcW w:w="35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园林绿化中心</w:t>
            </w:r>
          </w:p>
        </w:tc>
        <w:tc>
          <w:tcPr>
            <w:tcW w:w="311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8" w:hRule="atLeast"/>
          <w:jc w:val="center"/>
        </w:trPr>
        <w:tc>
          <w:tcPr>
            <w:tcW w:w="16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许哲</w:t>
            </w:r>
          </w:p>
        </w:tc>
        <w:tc>
          <w:tcPr>
            <w:tcW w:w="35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支部委员</w:t>
            </w:r>
          </w:p>
        </w:tc>
        <w:tc>
          <w:tcPr>
            <w:tcW w:w="1480"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园林绿化中心</w:t>
            </w:r>
          </w:p>
        </w:tc>
        <w:tc>
          <w:tcPr>
            <w:tcW w:w="311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51" w:hRule="atLeast"/>
          <w:jc w:val="center"/>
        </w:trPr>
        <w:tc>
          <w:tcPr>
            <w:tcW w:w="982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51" w:hRule="atLeast"/>
          <w:jc w:val="center"/>
        </w:trPr>
        <w:tc>
          <w:tcPr>
            <w:tcW w:w="982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46" w:hRule="atLeast"/>
          <w:jc w:val="center"/>
        </w:trPr>
        <w:tc>
          <w:tcPr>
            <w:tcW w:w="9820"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孙井</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18873090070</w:t>
      </w: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bookmarkStart w:id="0" w:name="_GoBack"/>
            <w:bookmarkEnd w:id="0"/>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相关管理制度未有效执行</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MTYzODBhMjcyNzI0YzM0MjU5OTk0YjZjNzg0MmMifQ=="/>
  </w:docVars>
  <w:rsids>
    <w:rsidRoot w:val="2CE55C20"/>
    <w:rsid w:val="007B2063"/>
    <w:rsid w:val="083749E7"/>
    <w:rsid w:val="08407888"/>
    <w:rsid w:val="0858227F"/>
    <w:rsid w:val="0CB679B8"/>
    <w:rsid w:val="0DE528CD"/>
    <w:rsid w:val="10054735"/>
    <w:rsid w:val="1336279F"/>
    <w:rsid w:val="136F14AB"/>
    <w:rsid w:val="18316649"/>
    <w:rsid w:val="18725427"/>
    <w:rsid w:val="209B78B7"/>
    <w:rsid w:val="254E2FC7"/>
    <w:rsid w:val="25B607B7"/>
    <w:rsid w:val="263C173A"/>
    <w:rsid w:val="289D055E"/>
    <w:rsid w:val="2A770606"/>
    <w:rsid w:val="2C9F197B"/>
    <w:rsid w:val="2CA33441"/>
    <w:rsid w:val="2CE55C20"/>
    <w:rsid w:val="2F287302"/>
    <w:rsid w:val="30426D13"/>
    <w:rsid w:val="33CA67CC"/>
    <w:rsid w:val="384C4359"/>
    <w:rsid w:val="3A43255A"/>
    <w:rsid w:val="3D6201A1"/>
    <w:rsid w:val="3EC46785"/>
    <w:rsid w:val="3F8A6044"/>
    <w:rsid w:val="43A702D9"/>
    <w:rsid w:val="44592EA4"/>
    <w:rsid w:val="477245B4"/>
    <w:rsid w:val="49617FA5"/>
    <w:rsid w:val="4BAD6FBB"/>
    <w:rsid w:val="4D171D42"/>
    <w:rsid w:val="4E056E00"/>
    <w:rsid w:val="4E4F0BB0"/>
    <w:rsid w:val="540A00AB"/>
    <w:rsid w:val="5B1E0B49"/>
    <w:rsid w:val="5BE95901"/>
    <w:rsid w:val="63B219B9"/>
    <w:rsid w:val="65B70105"/>
    <w:rsid w:val="6A0A15CD"/>
    <w:rsid w:val="6D452F22"/>
    <w:rsid w:val="6DC85BA0"/>
    <w:rsid w:val="6DF352BD"/>
    <w:rsid w:val="705E3E6D"/>
    <w:rsid w:val="71C1048A"/>
    <w:rsid w:val="7396188C"/>
    <w:rsid w:val="73A6715E"/>
    <w:rsid w:val="73F35F5B"/>
    <w:rsid w:val="74155BFE"/>
    <w:rsid w:val="79C04582"/>
    <w:rsid w:val="7BA421B4"/>
    <w:rsid w:val="7D1F0DA2"/>
    <w:rsid w:val="7E5F22E5"/>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2937</Words>
  <Characters>3160</Characters>
  <Lines>0</Lines>
  <Paragraphs>0</Paragraphs>
  <TotalTime>18</TotalTime>
  <ScaleCrop>false</ScaleCrop>
  <LinksUpToDate>false</LinksUpToDate>
  <CharactersWithSpaces>3692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彭唯</cp:lastModifiedBy>
  <cp:lastPrinted>2022-10-17T07:35:47Z</cp:lastPrinted>
  <dcterms:modified xsi:type="dcterms:W3CDTF">2022-10-17T07:37:04Z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