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华容县财政事务中心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108003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张腾</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13974083830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0"/>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负责非税收入的征收和管理，拟定统筹方案，实行统筹调节，负责资金的清算与划解，核定征收计划，编报年度预算决算。负责非税收入票据管理等工作。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年度主要</w:t>
            </w:r>
          </w:p>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工作内容</w:t>
            </w:r>
          </w:p>
        </w:tc>
        <w:tc>
          <w:tcPr>
            <w:tcW w:w="8146" w:type="dxa"/>
            <w:gridSpan w:val="15"/>
            <w:noWrap w:val="0"/>
            <w:vAlign w:val="center"/>
          </w:tcPr>
          <w:p>
            <w:pPr>
              <w:autoSpaceDN w:val="0"/>
              <w:spacing w:line="320" w:lineRule="exact"/>
              <w:jc w:val="left"/>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一是推进党史学习教育走深走实。</w:t>
            </w:r>
          </w:p>
          <w:p>
            <w:pPr>
              <w:autoSpaceDN w:val="0"/>
              <w:spacing w:line="320" w:lineRule="exact"/>
              <w:jc w:val="left"/>
              <w:textAlignment w:val="center"/>
              <w:rPr>
                <w:rFonts w:hint="eastAsia" w:ascii="仿宋" w:hAnsi="仿宋" w:eastAsia="仿宋" w:cs="仿宋"/>
                <w:b w:val="0"/>
                <w:bCs/>
                <w:sz w:val="24"/>
                <w:szCs w:val="24"/>
              </w:rPr>
            </w:pPr>
            <w:r>
              <w:rPr>
                <w:rFonts w:hint="eastAsia" w:ascii="仿宋" w:hAnsi="仿宋" w:eastAsia="仿宋" w:cs="仿宋"/>
                <w:b w:val="0"/>
                <w:bCs/>
                <w:sz w:val="24"/>
                <w:szCs w:val="24"/>
              </w:rPr>
              <w:t>二是征管工作提质增效。</w:t>
            </w:r>
          </w:p>
          <w:p>
            <w:pPr>
              <w:rPr>
                <w:rFonts w:hint="eastAsia" w:ascii="仿宋" w:hAnsi="仿宋" w:eastAsia="仿宋" w:cs="仿宋"/>
                <w:b w:val="0"/>
                <w:bCs/>
                <w:sz w:val="24"/>
                <w:szCs w:val="24"/>
              </w:rPr>
            </w:pPr>
            <w:r>
              <w:rPr>
                <w:rFonts w:hint="eastAsia" w:ascii="仿宋" w:hAnsi="仿宋" w:eastAsia="仿宋" w:cs="仿宋"/>
                <w:b w:val="0"/>
                <w:bCs/>
                <w:sz w:val="24"/>
                <w:szCs w:val="24"/>
              </w:rPr>
              <w:t>三是落实减税降费政策。</w:t>
            </w:r>
          </w:p>
          <w:p>
            <w:pPr>
              <w:rPr>
                <w:rFonts w:hint="eastAsia" w:ascii="仿宋" w:hAnsi="仿宋" w:eastAsia="仿宋" w:cs="仿宋"/>
                <w:b w:val="0"/>
                <w:bCs/>
                <w:sz w:val="24"/>
                <w:szCs w:val="24"/>
              </w:rPr>
            </w:pPr>
            <w:r>
              <w:rPr>
                <w:rFonts w:hint="eastAsia" w:ascii="仿宋" w:hAnsi="仿宋" w:eastAsia="仿宋" w:cs="仿宋"/>
                <w:b w:val="0"/>
                <w:bCs/>
                <w:sz w:val="24"/>
                <w:szCs w:val="24"/>
              </w:rPr>
              <w:t>四是强化收入退付管理。</w:t>
            </w:r>
          </w:p>
          <w:p>
            <w:pPr>
              <w:rPr>
                <w:rFonts w:hint="eastAsia" w:ascii="仿宋" w:hAnsi="仿宋" w:eastAsia="仿宋" w:cs="仿宋"/>
                <w:b w:val="0"/>
                <w:bCs/>
                <w:sz w:val="24"/>
                <w:szCs w:val="24"/>
              </w:rPr>
            </w:pPr>
            <w:r>
              <w:rPr>
                <w:rFonts w:hint="eastAsia" w:ascii="仿宋" w:hAnsi="仿宋" w:eastAsia="仿宋" w:cs="仿宋"/>
                <w:b w:val="0"/>
                <w:bCs/>
                <w:sz w:val="24"/>
                <w:szCs w:val="24"/>
              </w:rPr>
              <w:t>五是严格财政票据管理。</w:t>
            </w:r>
          </w:p>
          <w:p>
            <w:pPr>
              <w:rPr>
                <w:rFonts w:hint="eastAsia" w:ascii="仿宋" w:hAnsi="仿宋" w:eastAsia="仿宋" w:cs="仿宋"/>
                <w:sz w:val="24"/>
                <w:szCs w:val="24"/>
              </w:rPr>
            </w:pPr>
            <w:r>
              <w:rPr>
                <w:rFonts w:hint="eastAsia" w:ascii="仿宋" w:hAnsi="仿宋" w:eastAsia="仿宋" w:cs="仿宋"/>
                <w:b w:val="0"/>
                <w:bCs/>
                <w:sz w:val="24"/>
                <w:szCs w:val="24"/>
              </w:rPr>
              <w:t>六是平稳推进收入划转工作</w:t>
            </w:r>
            <w:r>
              <w:rPr>
                <w:rFonts w:hint="eastAsia" w:ascii="仿宋" w:hAnsi="仿宋" w:eastAsia="仿宋" w:cs="仿宋"/>
                <w:b/>
                <w:sz w:val="24"/>
                <w:szCs w:val="24"/>
              </w:rPr>
              <w:t>。</w:t>
            </w:r>
          </w:p>
          <w:p>
            <w:pPr>
              <w:autoSpaceDN w:val="0"/>
              <w:spacing w:line="320" w:lineRule="exact"/>
              <w:jc w:val="left"/>
              <w:textAlignment w:val="center"/>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1"/>
              </w:numPr>
              <w:rPr>
                <w:rFonts w:hint="eastAsia" w:ascii="仿宋" w:hAnsi="仿宋" w:eastAsia="仿宋" w:cs="仿宋"/>
                <w:sz w:val="24"/>
                <w:szCs w:val="24"/>
                <w:lang w:eastAsia="zh-CN"/>
              </w:rPr>
            </w:pPr>
            <w:r>
              <w:rPr>
                <w:rFonts w:hint="eastAsia" w:ascii="仿宋" w:hAnsi="仿宋" w:eastAsia="仿宋" w:cs="仿宋"/>
                <w:sz w:val="24"/>
                <w:szCs w:val="24"/>
              </w:rPr>
              <w:t>我们把学习教育践行到实际工作中去</w:t>
            </w:r>
            <w:r>
              <w:rPr>
                <w:rFonts w:hint="eastAsia" w:ascii="仿宋" w:hAnsi="仿宋" w:eastAsia="仿宋" w:cs="仿宋"/>
                <w:sz w:val="24"/>
                <w:szCs w:val="24"/>
                <w:lang w:eastAsia="zh-CN"/>
              </w:rPr>
              <w:t>，</w:t>
            </w:r>
            <w:r>
              <w:rPr>
                <w:rFonts w:hint="eastAsia" w:ascii="仿宋" w:hAnsi="仿宋" w:eastAsia="仿宋" w:cs="仿宋"/>
                <w:sz w:val="24"/>
                <w:szCs w:val="24"/>
              </w:rPr>
              <w:t>实现非税系统对票据自动核销</w:t>
            </w:r>
            <w:r>
              <w:rPr>
                <w:rFonts w:hint="eastAsia" w:ascii="仿宋" w:hAnsi="仿宋" w:eastAsia="仿宋" w:cs="仿宋"/>
                <w:sz w:val="24"/>
                <w:szCs w:val="24"/>
                <w:lang w:eastAsia="zh-CN"/>
              </w:rPr>
              <w:t>，</w:t>
            </w:r>
            <w:r>
              <w:rPr>
                <w:rFonts w:hint="eastAsia" w:ascii="仿宋" w:hAnsi="仿宋" w:eastAsia="仿宋" w:cs="仿宋"/>
                <w:sz w:val="24"/>
                <w:szCs w:val="24"/>
              </w:rPr>
              <w:t>无需往返多次跑票证股</w:t>
            </w:r>
            <w:r>
              <w:rPr>
                <w:rFonts w:hint="eastAsia" w:ascii="仿宋" w:hAnsi="仿宋" w:eastAsia="仿宋" w:cs="仿宋"/>
                <w:sz w:val="24"/>
                <w:szCs w:val="24"/>
                <w:lang w:eastAsia="zh-CN"/>
              </w:rPr>
              <w:t>，</w:t>
            </w:r>
            <w:r>
              <w:rPr>
                <w:rFonts w:hint="eastAsia" w:ascii="仿宋" w:hAnsi="仿宋" w:eastAsia="仿宋" w:cs="仿宋"/>
                <w:sz w:val="24"/>
                <w:szCs w:val="24"/>
              </w:rPr>
              <w:t>实现了票据精细化管理</w:t>
            </w:r>
            <w:r>
              <w:rPr>
                <w:rFonts w:hint="eastAsia" w:ascii="仿宋" w:hAnsi="仿宋" w:eastAsia="仿宋" w:cs="仿宋"/>
                <w:sz w:val="24"/>
                <w:szCs w:val="24"/>
                <w:lang w:eastAsia="zh-CN"/>
              </w:rPr>
              <w:t>，</w:t>
            </w:r>
            <w:r>
              <w:rPr>
                <w:rFonts w:hint="eastAsia" w:ascii="仿宋" w:hAnsi="仿宋" w:eastAsia="仿宋" w:cs="仿宋"/>
                <w:sz w:val="24"/>
                <w:szCs w:val="24"/>
              </w:rPr>
              <w:t>解决手工票随意开具的问题</w:t>
            </w:r>
            <w:r>
              <w:rPr>
                <w:rFonts w:hint="eastAsia" w:ascii="仿宋" w:hAnsi="仿宋" w:eastAsia="仿宋" w:cs="仿宋"/>
                <w:sz w:val="24"/>
                <w:szCs w:val="24"/>
                <w:lang w:eastAsia="zh-CN"/>
              </w:rPr>
              <w:t>。</w:t>
            </w:r>
          </w:p>
          <w:p>
            <w:pPr>
              <w:numPr>
                <w:ilvl w:val="0"/>
                <w:numId w:val="1"/>
              </w:numPr>
              <w:rPr>
                <w:rFonts w:hint="eastAsia" w:ascii="仿宋" w:hAnsi="仿宋" w:eastAsia="仿宋" w:cs="仿宋"/>
                <w:sz w:val="24"/>
                <w:szCs w:val="24"/>
                <w:lang w:eastAsia="zh-CN"/>
              </w:rPr>
            </w:pPr>
            <w:r>
              <w:rPr>
                <w:rFonts w:hint="eastAsia" w:ascii="仿宋" w:hAnsi="仿宋" w:eastAsia="仿宋" w:cs="仿宋"/>
                <w:sz w:val="24"/>
                <w:szCs w:val="24"/>
              </w:rPr>
              <w:t>严格征管政策，强化非税征收任务刚性，努力破解征管难点。截止12月底，全县非税收入累计征收 238675  万元，其中：专项收入103万元，行政事业性收费10836万元，罚没收入5757万元，国有资源(资产)有偿使用收入17335万元，其它非税收入5156万元；政府性基金收入199488万元。确保年底按上级要求完成任务。</w:t>
            </w:r>
          </w:p>
          <w:p>
            <w:pPr>
              <w:numPr>
                <w:ilvl w:val="0"/>
                <w:numId w:val="1"/>
              </w:numPr>
              <w:rPr>
                <w:rFonts w:hint="eastAsia" w:ascii="仿宋" w:hAnsi="仿宋" w:eastAsia="仿宋" w:cs="仿宋"/>
                <w:sz w:val="24"/>
                <w:szCs w:val="24"/>
                <w:lang w:eastAsia="zh-CN"/>
              </w:rPr>
            </w:pPr>
            <w:r>
              <w:rPr>
                <w:rFonts w:hint="eastAsia" w:ascii="仿宋" w:hAnsi="仿宋" w:eastAsia="仿宋" w:cs="仿宋"/>
                <w:sz w:val="24"/>
                <w:szCs w:val="24"/>
              </w:rPr>
              <w:t>对于取消、停征、免征及降低征收标准的收费项目，督促相关执收部门运用各种方式宣传，行政服务大厅收费窗口及时公示减免政策。</w:t>
            </w:r>
          </w:p>
          <w:p>
            <w:pPr>
              <w:numPr>
                <w:ilvl w:val="0"/>
                <w:numId w:val="1"/>
              </w:numPr>
              <w:rPr>
                <w:rFonts w:hint="eastAsia" w:ascii="仿宋" w:hAnsi="仿宋" w:eastAsia="仿宋" w:cs="仿宋"/>
                <w:sz w:val="24"/>
                <w:szCs w:val="24"/>
                <w:lang w:eastAsia="zh-CN"/>
              </w:rPr>
            </w:pPr>
            <w:r>
              <w:rPr>
                <w:rFonts w:hint="eastAsia" w:ascii="仿宋" w:hAnsi="仿宋" w:eastAsia="仿宋" w:cs="仿宋"/>
                <w:sz w:val="24"/>
                <w:szCs w:val="24"/>
              </w:rPr>
              <w:t>严格执行单位申报，书面陈述理由，执收单位领导签字负责，财政审核原则。全年完成退付8笔，均为工作差错性退付，我们做到及时办理，热情服务。</w:t>
            </w:r>
          </w:p>
          <w:p>
            <w:pPr>
              <w:numPr>
                <w:ilvl w:val="0"/>
                <w:numId w:val="1"/>
              </w:numPr>
              <w:rPr>
                <w:rFonts w:hint="eastAsia" w:ascii="仿宋" w:hAnsi="仿宋" w:eastAsia="仿宋" w:cs="仿宋"/>
                <w:sz w:val="24"/>
                <w:szCs w:val="24"/>
                <w:lang w:eastAsia="zh-CN"/>
              </w:rPr>
            </w:pPr>
            <w:r>
              <w:rPr>
                <w:rFonts w:hint="eastAsia" w:ascii="仿宋" w:hAnsi="仿宋" w:eastAsia="仿宋" w:cs="仿宋"/>
                <w:sz w:val="24"/>
                <w:szCs w:val="24"/>
              </w:rPr>
              <w:t>全面推进财政票据电子化管理，进一步完善了“以票管收、源头控收、随机稽查、年检清零”的管理模式，杜绝了非税收入擅自征收、乱征滥罚、随意减免和坐收坐支等问题；既保障财政票据的正常供应，又确保收入按政策征收。</w:t>
            </w:r>
          </w:p>
          <w:p>
            <w:pPr>
              <w:numPr>
                <w:ilvl w:val="0"/>
                <w:numId w:val="1"/>
              </w:numPr>
              <w:rPr>
                <w:rFonts w:hint="eastAsia" w:ascii="仿宋" w:hAnsi="仿宋" w:eastAsia="仿宋" w:cs="仿宋"/>
                <w:sz w:val="24"/>
                <w:szCs w:val="24"/>
                <w:lang w:eastAsia="zh-CN"/>
              </w:rPr>
            </w:pPr>
            <w:r>
              <w:rPr>
                <w:rFonts w:hint="eastAsia" w:ascii="仿宋" w:hAnsi="仿宋" w:eastAsia="仿宋" w:cs="仿宋"/>
                <w:sz w:val="24"/>
                <w:szCs w:val="24"/>
              </w:rPr>
              <w:t>根据国家征管体制改革精神，这两年我县已将水土保护费、防空地下室易地建设费、城镇垃圾处理费、国有土地出让使用权收入移交税务征收管理。</w:t>
            </w: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rPr>
            </w:pPr>
          </w:p>
          <w:p>
            <w:pPr>
              <w:numPr>
                <w:ilvl w:val="0"/>
                <w:numId w:val="0"/>
              </w:numPr>
              <w:rPr>
                <w:rFonts w:hint="default" w:eastAsia="宋体"/>
                <w:lang w:val="en-US" w:eastAsia="zh-CN"/>
              </w:rPr>
            </w:pP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华容县财政事务中心</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华容县财政事务中心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106.38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69.62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华容县财政事务中心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华容县财政事务中心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 w:cs="仿宋_GB2312"/>
                <w:color w:val="000000"/>
                <w:sz w:val="24"/>
                <w:lang w:eastAsia="zh-CN"/>
              </w:rPr>
            </w:pPr>
            <w:r>
              <w:rPr>
                <w:rFonts w:hint="eastAsia" w:ascii="仿宋_GB2312" w:hAnsi="仿宋_GB2312" w:eastAsia="仿宋_GB2312" w:cs="仿宋_GB2312"/>
                <w:color w:val="000000"/>
                <w:sz w:val="24"/>
              </w:rPr>
              <w:t>目标1：</w:t>
            </w:r>
            <w:r>
              <w:rPr>
                <w:rFonts w:hint="eastAsia" w:ascii="仿宋" w:hAnsi="仿宋" w:eastAsia="仿宋" w:cs="仿宋"/>
                <w:sz w:val="24"/>
                <w:szCs w:val="24"/>
              </w:rPr>
              <w:t>实现非税系统对票据自动核销</w:t>
            </w:r>
            <w:r>
              <w:rPr>
                <w:rFonts w:hint="eastAsia" w:ascii="仿宋" w:hAnsi="仿宋" w:eastAsia="仿宋" w:cs="仿宋"/>
                <w:sz w:val="24"/>
                <w:szCs w:val="24"/>
                <w:lang w:eastAsia="zh-CN"/>
              </w:rPr>
              <w:t>，</w:t>
            </w:r>
            <w:r>
              <w:rPr>
                <w:rFonts w:hint="eastAsia" w:ascii="仿宋" w:hAnsi="仿宋" w:eastAsia="仿宋" w:cs="仿宋"/>
                <w:sz w:val="24"/>
                <w:szCs w:val="24"/>
              </w:rPr>
              <w:t>无需往返多次跑票证股</w:t>
            </w:r>
            <w:r>
              <w:rPr>
                <w:rFonts w:hint="eastAsia" w:ascii="仿宋" w:hAnsi="仿宋" w:eastAsia="仿宋" w:cs="仿宋"/>
                <w:sz w:val="24"/>
                <w:szCs w:val="24"/>
                <w:lang w:eastAsia="zh-CN"/>
              </w:rPr>
              <w:t>，</w:t>
            </w:r>
            <w:r>
              <w:rPr>
                <w:rFonts w:hint="eastAsia" w:ascii="仿宋" w:hAnsi="仿宋" w:eastAsia="仿宋" w:cs="仿宋"/>
                <w:sz w:val="24"/>
                <w:szCs w:val="24"/>
              </w:rPr>
              <w:t>实现了票据精细化管理</w:t>
            </w:r>
            <w:r>
              <w:rPr>
                <w:rFonts w:hint="eastAsia" w:ascii="仿宋" w:hAnsi="仿宋" w:eastAsia="仿宋" w:cs="仿宋"/>
                <w:sz w:val="24"/>
                <w:szCs w:val="24"/>
                <w:lang w:eastAsia="zh-CN"/>
              </w:rPr>
              <w:t>，</w:t>
            </w:r>
            <w:r>
              <w:rPr>
                <w:rFonts w:hint="eastAsia" w:ascii="仿宋" w:hAnsi="仿宋" w:eastAsia="仿宋" w:cs="仿宋"/>
                <w:sz w:val="24"/>
                <w:szCs w:val="24"/>
              </w:rPr>
              <w:t>解决手工票随意开具的问题</w:t>
            </w:r>
            <w:r>
              <w:rPr>
                <w:rFonts w:hint="eastAsia" w:ascii="仿宋" w:hAnsi="仿宋" w:eastAsia="仿宋" w:cs="仿宋"/>
                <w:sz w:val="24"/>
                <w:szCs w:val="24"/>
                <w:lang w:eastAsia="zh-CN"/>
              </w:rPr>
              <w:t>。</w:t>
            </w:r>
          </w:p>
          <w:p>
            <w:pPr>
              <w:rPr>
                <w:rFonts w:hint="eastAsia"/>
              </w:rPr>
            </w:pPr>
            <w:r>
              <w:rPr>
                <w:rFonts w:hint="eastAsia" w:ascii="仿宋_GB2312" w:hAnsi="仿宋_GB2312" w:eastAsia="仿宋_GB2312" w:cs="仿宋_GB2312"/>
                <w:color w:val="000000"/>
                <w:sz w:val="24"/>
              </w:rPr>
              <w:t>目标2：</w:t>
            </w:r>
            <w:r>
              <w:rPr>
                <w:rFonts w:hint="eastAsia" w:ascii="仿宋" w:hAnsi="仿宋" w:eastAsia="仿宋" w:cs="仿宋"/>
                <w:sz w:val="24"/>
                <w:szCs w:val="24"/>
              </w:rPr>
              <w:t>严格征管政策，强化非税征收任务刚性，努力破解征管难点。</w:t>
            </w:r>
          </w:p>
          <w:p>
            <w:pPr>
              <w:autoSpaceDN w:val="0"/>
              <w:spacing w:line="320" w:lineRule="exact"/>
              <w:jc w:val="left"/>
              <w:textAlignment w:val="center"/>
              <w:rPr>
                <w:rFonts w:hint="eastAsia" w:ascii="仿宋_GB2312" w:hAnsi="仿宋_GB2312" w:eastAsia="仿宋_GB2312" w:cs="仿宋_GB2312"/>
                <w:color w:val="000000"/>
                <w:sz w:val="24"/>
              </w:rPr>
            </w:pPr>
          </w:p>
          <w:p>
            <w:pPr>
              <w:rPr>
                <w:rFonts w:hint="eastAsia" w:ascii="仿宋" w:hAnsi="仿宋" w:eastAsia="仿宋" w:cs="仿宋"/>
                <w:sz w:val="24"/>
                <w:szCs w:val="24"/>
                <w:lang w:eastAsia="zh-CN"/>
              </w:rPr>
            </w:pPr>
            <w:r>
              <w:rPr>
                <w:rFonts w:hint="eastAsia" w:ascii="仿宋_GB2312" w:hAnsi="仿宋_GB2312" w:eastAsia="仿宋_GB2312" w:cs="仿宋_GB2312"/>
                <w:color w:val="000000"/>
                <w:sz w:val="24"/>
              </w:rPr>
              <w:t>目标3：</w:t>
            </w:r>
            <w:r>
              <w:rPr>
                <w:rFonts w:hint="eastAsia" w:ascii="仿宋" w:hAnsi="仿宋" w:eastAsia="仿宋" w:cs="仿宋"/>
                <w:sz w:val="24"/>
                <w:szCs w:val="24"/>
              </w:rPr>
              <w:t>全面推进财政票据电子化管理</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目标</w:t>
            </w:r>
            <w:r>
              <w:rPr>
                <w:rFonts w:hint="eastAsia" w:ascii="仿宋" w:hAnsi="仿宋" w:eastAsia="仿宋" w:cs="仿宋"/>
                <w:sz w:val="24"/>
                <w:szCs w:val="24"/>
                <w:lang w:val="en-US" w:eastAsia="zh-CN"/>
              </w:rPr>
              <w:t>4：</w:t>
            </w:r>
            <w:r>
              <w:rPr>
                <w:rFonts w:hint="eastAsia" w:ascii="仿宋" w:hAnsi="仿宋" w:eastAsia="仿宋" w:cs="仿宋"/>
                <w:sz w:val="24"/>
                <w:szCs w:val="24"/>
              </w:rPr>
              <w:t>根据国家征管体制改革精神，这两年我县已将水土保护费、防空地下室易地建设费、城镇垃圾处理费、国有土地出让使用权收入移交税务征收管理。</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 w:hAnsi="仿宋" w:eastAsia="仿宋" w:cs="仿宋"/>
                <w:sz w:val="24"/>
                <w:szCs w:val="24"/>
              </w:rPr>
              <w:t>严格征管政策，强化非税征收任务刚性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sz w:val="24"/>
                <w:szCs w:val="24"/>
              </w:rPr>
              <w:t>坚持以党的政治建设为统领，紧紧围绕县委、县政府关于财政工作的总体部署，紧紧围绕局党委决策部署，攻坚克难，开拓创新，推动财政事务中心工作。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 w:hAnsi="仿宋" w:eastAsia="仿宋" w:cs="仿宋"/>
                <w:b w:val="0"/>
                <w:bCs/>
                <w:sz w:val="24"/>
                <w:szCs w:val="24"/>
              </w:rPr>
              <w:t>征管工作提质增效</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sz w:val="24"/>
                <w:szCs w:val="24"/>
              </w:rPr>
              <w:t>全县非税收入累计征收 238675万元，其中：专项收入103万元，行政事业性收费10836万元，罚没收入5757万元，国有资源(资产)有偿使用收入17335万元，其它非税收入5156万元；政府性基金收入199488万元。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sz w:val="24"/>
                <w:szCs w:val="24"/>
              </w:rPr>
              <w:t>平稳推进收入划转工作</w:t>
            </w:r>
          </w:p>
        </w:tc>
        <w:tc>
          <w:tcPr>
            <w:tcW w:w="2684" w:type="dxa"/>
            <w:gridSpan w:val="6"/>
            <w:noWrap w:val="0"/>
            <w:vAlign w:val="center"/>
          </w:tcPr>
          <w:p>
            <w:pPr>
              <w:rPr>
                <w:rFonts w:hint="eastAsia" w:eastAsia="宋体"/>
                <w:lang w:eastAsia="zh-CN"/>
              </w:rPr>
            </w:pPr>
            <w:r>
              <w:rPr>
                <w:rFonts w:hint="eastAsia" w:ascii="仿宋" w:hAnsi="仿宋" w:eastAsia="仿宋" w:cs="仿宋"/>
                <w:sz w:val="24"/>
                <w:szCs w:val="24"/>
              </w:rPr>
              <w:t>根据国家征管体制改革精神，这两年我县已将水土保护费、防空地下室易地建设费、城镇垃圾处理费、国有土地出让使用权收入移交税务征收管理。</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sz w:val="24"/>
                <w:szCs w:val="24"/>
              </w:rPr>
              <w:t>对执收成本实行精细化管理。</w:t>
            </w:r>
          </w:p>
        </w:tc>
        <w:tc>
          <w:tcPr>
            <w:tcW w:w="2684" w:type="dxa"/>
            <w:gridSpan w:val="6"/>
            <w:noWrap w:val="0"/>
            <w:vAlign w:val="center"/>
          </w:tcPr>
          <w:p>
            <w:pPr>
              <w:spacing w:after="0"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局党委要求，我们与经建股对污水及垃圾处理费征收成本和手续费提取情况进行了调查，针对这两项收入的手续费管理较为粗放，标准高的问题，向县政府提出了无论征收额大小，均执行5%的建议，并督促自来水公司限期按发改要求执行污水处理费征收标准，此建议方案通过县政府常务会后已于元月份正式实施。</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b w:val="0"/>
                <w:bCs w:val="0"/>
                <w:sz w:val="24"/>
                <w:szCs w:val="24"/>
              </w:rPr>
              <w:t>推进党史学习教育走深走实。</w:t>
            </w:r>
            <w:r>
              <w:rPr>
                <w:rFonts w:hint="eastAsia" w:ascii="仿宋" w:hAnsi="仿宋" w:eastAsia="仿宋" w:cs="仿宋"/>
                <w:sz w:val="24"/>
                <w:szCs w:val="24"/>
              </w:rPr>
              <w:t>我们把学习教育践行到实际工作中去，大力改进工作作风，提升服务质量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sz w:val="24"/>
                <w:szCs w:val="24"/>
              </w:rPr>
              <w:t>宣传发动“我为群众办实事”活动，重点解决缴费过程中“点难找、队难排、费难缴”等群众最关切问题。经多方争取筹资，投入信息化建设，优化政务中心窗口和执收单位缴费程序方式，在保障信息安全的基础上让缴款人实现便捷支付，打破了缴款渠道限制，打通了非税收入收缴政务服务的“最后一公里”，也极大提高</w:t>
            </w:r>
            <w:r>
              <w:rPr>
                <w:rFonts w:hint="eastAsia" w:ascii="仿宋_GB2312" w:eastAsia="仿宋_GB2312"/>
                <w:sz w:val="24"/>
                <w:szCs w:val="24"/>
              </w:rPr>
              <w:t>了非税缴款业务的办理效率。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 w:hAnsi="仿宋" w:eastAsia="仿宋" w:cs="仿宋"/>
                <w:sz w:val="24"/>
                <w:szCs w:val="24"/>
              </w:rPr>
              <w:t>严格征管政策，强化非税征收任务刚性，努力破解征管难点。</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sz w:val="24"/>
                <w:szCs w:val="24"/>
              </w:rPr>
              <w:t>全县非税收入累计征收 238675万元，其中：专项收入103万元，行政事业性收费10836万元，罚没收入5757万元，国有资源(资产)有偿使用收入17335万元，其它非税收入5156万元；政府性基金收入199488万元。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罗娟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13517306812</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color w:val="000000"/>
                <w:sz w:val="24"/>
                <w:lang w:val="en-US" w:eastAsia="zh-CN"/>
              </w:rPr>
              <w:t>负责非税收入的征收和管理，拟定统筹方案，实行统筹调节，负责资金的清算与划解，核定征收计划，编报年度预算决算。负责非税收入票据管理等工作。</w:t>
            </w:r>
          </w:p>
          <w:p>
            <w:pPr>
              <w:numPr>
                <w:ilvl w:val="0"/>
                <w:numId w:val="0"/>
              </w:numPr>
              <w:autoSpaceDN w:val="0"/>
              <w:spacing w:line="320" w:lineRule="exact"/>
              <w:ind w:left="210" w:leftChars="0"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完成县财政局交办的其他任务。</w:t>
            </w:r>
          </w:p>
          <w:p>
            <w:pPr>
              <w:numPr>
                <w:ilvl w:val="0"/>
                <w:numId w:val="0"/>
              </w:numPr>
              <w:autoSpaceDN w:val="0"/>
              <w:spacing w:line="320" w:lineRule="exact"/>
              <w:ind w:left="210" w:leftChars="0"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单位为财政局二级机构，人员编制12人，实有在职11人。</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2021年财政拨款收入176万元，使用主要为完成单位日常工作职责，完成其他交办的工作任务。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人员费支出</w:t>
            </w:r>
            <w:r>
              <w:rPr>
                <w:rFonts w:hint="eastAsia" w:ascii="仿宋_GB2312" w:hAnsi="仿宋_GB2312" w:eastAsia="仿宋_GB2312" w:cs="仿宋_GB2312"/>
                <w:bCs/>
                <w:sz w:val="28"/>
                <w:szCs w:val="28"/>
                <w:lang w:val="en-US" w:eastAsia="zh-CN"/>
              </w:rPr>
              <w:t>106.38万元，非税收入征收、非税票据的购领及稽核工作经费及其他日常工作经费69.62万元。</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after="0" w:line="600" w:lineRule="exact"/>
              <w:ind w:firstLine="560" w:firstLineChars="200"/>
              <w:contextualSpacing/>
              <w:rPr>
                <w:rFonts w:hint="eastAsia" w:ascii="宋体" w:hAnsi="宋体" w:eastAsia="宋体" w:cs="宋体"/>
                <w:sz w:val="28"/>
                <w:szCs w:val="28"/>
              </w:rPr>
            </w:pPr>
            <w:r>
              <w:rPr>
                <w:rFonts w:hint="eastAsia"/>
                <w:sz w:val="28"/>
                <w:szCs w:val="28"/>
              </w:rPr>
              <w:t>2021年，</w:t>
            </w:r>
            <w:r>
              <w:rPr>
                <w:rFonts w:hint="eastAsia"/>
                <w:sz w:val="28"/>
                <w:szCs w:val="28"/>
                <w:lang w:eastAsia="zh-CN"/>
              </w:rPr>
              <w:t>财政事务</w:t>
            </w:r>
            <w:r>
              <w:rPr>
                <w:rFonts w:hint="eastAsia"/>
                <w:sz w:val="28"/>
                <w:szCs w:val="28"/>
              </w:rPr>
              <w:t>中心按照局党委的统一部署，</w:t>
            </w:r>
            <w:r>
              <w:rPr>
                <w:rFonts w:hint="eastAsia" w:ascii="宋体" w:hAnsi="宋体" w:eastAsia="宋体" w:cs="宋体"/>
                <w:sz w:val="28"/>
                <w:szCs w:val="28"/>
              </w:rPr>
              <w:t>我们把学习教育践行到实际工作中去，大力改进工作作风，提升服务质量，在党史学习教育中，宣传发动“我为群众办实事”活动，重点解决缴费过程中“点难找、队难排、费难缴”等群众最关切问题。经多方争取筹资，投入信息化建设，优化政务中心窗口和执收单位缴费程序方式，在保障信息安全的基础上让缴款人实现便捷支付，打破了缴款渠道限制，打通了非税收入收缴政务服务的“最后一公里”，也极大提高了非税缴款业务的办理效率。今年底正在建设非税票据互联网在线开票系统，对我县往来、捐赠、社团票据手工开具方式改为电脑开票，实现非税系统对票据自动核销，不但方便领票单位和个人，无需往返多次跑票证股，并且实现了票据精细化管理，开具项目系统后台控制，解决手工票随意开具的问题。</w:t>
            </w:r>
          </w:p>
          <w:p>
            <w:pPr>
              <w:spacing w:after="0"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确保非税收入工作接得住、征得稳、管得好，我们对内压责任、强素质，对外深调研、多联动，完善工作机制，建立了联席会议制度，对非税征管工作进行一月一报表、一月一分析、一月一讲评，压实征收责任，严格征管政策，强化非税征收任务刚性，努力破解征管难点。截止12月底，全县非税收入累计征收 238675  万元，其中：专项收入103万元，行政事业性收费10836万元，罚没收入5757万元，国有资源(资产)有偿使用收入17335万元，其它非税收入5156万元；政府性基金收入199488万元。确保年底按上级要求完成任务。</w:t>
            </w:r>
          </w:p>
          <w:p>
            <w:pPr>
              <w:spacing w:after="0"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同时运用全省一体化的非税征管系统项目库，从开票环节严格执行减免政策，不按政策标准执收，无法开具票据，确保优惠政策的落实。</w:t>
            </w:r>
          </w:p>
          <w:p>
            <w:pPr>
              <w:spacing w:after="0"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严格执行单位申报，书面陈述理由，执收单位领导签字负责，财政审核原则。全年完成退付8笔，均为工作差错性退付，我们做到及时办理，热情服务。同时积极推进电子退付改革，实现退付申报等业务网上办理，加快流程，方便群众。</w:t>
            </w:r>
          </w:p>
          <w:p>
            <w:pPr>
              <w:spacing w:after="0"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面推进财政票据电子化管理，进一步完善了“以票管收、源头控收、随机稽查、年检清零”的管理模式，杜绝了非税收入擅自征收、乱征滥罚、随意减免和坐收坐支等问题；既保障财政票据的正常供应，又确保收入按政策征收。今年启动了医疗票据电子化改革工作，完成后可实现公立医院票款同步，医疗票据自动缴销，并且为医疗收入入汇缴账户提供技术支持，为下步公立医院收入管理改革做好前期准备。按局党委要求，我们与经建股对污水及垃圾处理费征收成本和手续费提取情况进行了调查，针对这两项收入的手续费管理较为粗放，标准高的问题，向县政府提出了无论征收额大小，均执行5%的建议，并督促自来水公司限期按发改要求执行污水处理费征收标准，此建议方案通过县政府常务会后已于元月份正式实施。</w:t>
            </w:r>
          </w:p>
          <w:p>
            <w:pPr>
              <w:spacing w:after="0" w:line="600" w:lineRule="exact"/>
              <w:ind w:firstLine="560" w:firstLineChars="200"/>
              <w:rPr>
                <w:rFonts w:hint="eastAsia" w:ascii="宋体" w:hAnsi="宋体" w:eastAsia="宋体" w:cs="宋体"/>
                <w:sz w:val="28"/>
                <w:szCs w:val="28"/>
              </w:rPr>
            </w:pPr>
            <w:bookmarkStart w:id="0" w:name="_GoBack"/>
            <w:bookmarkEnd w:id="0"/>
            <w:r>
              <w:rPr>
                <w:rFonts w:hint="eastAsia" w:ascii="宋体" w:hAnsi="宋体" w:eastAsia="宋体" w:cs="宋体"/>
                <w:sz w:val="28"/>
                <w:szCs w:val="28"/>
              </w:rPr>
              <w:t>根据国家征管体制改革精神，这两年我县已将水土保护费、防空地下室易地建设费、城镇垃圾处理费、国有土地出让使用权收入移交税务征收管理。为确保这些收入项目平稳移交，我们按照省厅要求对移交项目的征缴规模、模式、流程、计提以及移交后可能面临的问题到相关执收单位开展了调研，并就我县实际情况提出了合理化建议。经与税务部门多方对接，确保了划转工作的顺利推进。</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hint="eastAsia" w:eastAsia="仿宋_GB2312"/>
                <w:sz w:val="30"/>
                <w:szCs w:val="30"/>
              </w:rPr>
            </w:pPr>
            <w:r>
              <w:rPr>
                <w:rFonts w:hint="eastAsia" w:eastAsia="仿宋_GB2312"/>
                <w:sz w:val="30"/>
                <w:szCs w:val="30"/>
              </w:rPr>
              <w:t>(三)绩效评价工作过程。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696CA"/>
    <w:multiLevelType w:val="singleLevel"/>
    <w:tmpl w:val="409696CA"/>
    <w:lvl w:ilvl="0" w:tentative="0">
      <w:start w:val="1"/>
      <w:numFmt w:val="decimal"/>
      <w:suff w:val="nothing"/>
      <w:lvlText w:val="%1、"/>
      <w:lvlJc w:val="left"/>
    </w:lvl>
  </w:abstractNum>
  <w:abstractNum w:abstractNumId="1">
    <w:nsid w:val="51DF6A02"/>
    <w:multiLevelType w:val="singleLevel"/>
    <w:tmpl w:val="51DF6A0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ODYwOTc5OTVmOGM2ODYyNzVjMDRhMTgwYjExOWQifQ=="/>
  </w:docVars>
  <w:rsids>
    <w:rsidRoot w:val="2CE55C20"/>
    <w:rsid w:val="00150EAD"/>
    <w:rsid w:val="007B2063"/>
    <w:rsid w:val="083749E7"/>
    <w:rsid w:val="0C6A44A1"/>
    <w:rsid w:val="0CB679B8"/>
    <w:rsid w:val="0DE528CD"/>
    <w:rsid w:val="10054735"/>
    <w:rsid w:val="12C1753E"/>
    <w:rsid w:val="1336279F"/>
    <w:rsid w:val="1700203D"/>
    <w:rsid w:val="18725427"/>
    <w:rsid w:val="1C220989"/>
    <w:rsid w:val="20364688"/>
    <w:rsid w:val="23CD3CE3"/>
    <w:rsid w:val="254E2FC7"/>
    <w:rsid w:val="25B607B7"/>
    <w:rsid w:val="263C173A"/>
    <w:rsid w:val="289D055E"/>
    <w:rsid w:val="2A456383"/>
    <w:rsid w:val="2A770606"/>
    <w:rsid w:val="2C13507E"/>
    <w:rsid w:val="2C9F197B"/>
    <w:rsid w:val="2CA33441"/>
    <w:rsid w:val="2CE55C20"/>
    <w:rsid w:val="2F287302"/>
    <w:rsid w:val="30426D13"/>
    <w:rsid w:val="381E16F4"/>
    <w:rsid w:val="38C8225A"/>
    <w:rsid w:val="39251227"/>
    <w:rsid w:val="39550300"/>
    <w:rsid w:val="3A43255A"/>
    <w:rsid w:val="3D6201A1"/>
    <w:rsid w:val="3EC46785"/>
    <w:rsid w:val="3F8A6044"/>
    <w:rsid w:val="43A702D9"/>
    <w:rsid w:val="44592EA4"/>
    <w:rsid w:val="450E2332"/>
    <w:rsid w:val="45941E41"/>
    <w:rsid w:val="477245B4"/>
    <w:rsid w:val="48366908"/>
    <w:rsid w:val="49617FA5"/>
    <w:rsid w:val="4BAD6FBB"/>
    <w:rsid w:val="4D171D42"/>
    <w:rsid w:val="4E4F0BB0"/>
    <w:rsid w:val="50973C43"/>
    <w:rsid w:val="540957A8"/>
    <w:rsid w:val="5BE95901"/>
    <w:rsid w:val="60AE0802"/>
    <w:rsid w:val="69D1252A"/>
    <w:rsid w:val="6A0A15CD"/>
    <w:rsid w:val="6BC32A23"/>
    <w:rsid w:val="6D2437E4"/>
    <w:rsid w:val="6D3850A6"/>
    <w:rsid w:val="6D452F22"/>
    <w:rsid w:val="6DC85BA0"/>
    <w:rsid w:val="6DF352BD"/>
    <w:rsid w:val="705E3E6D"/>
    <w:rsid w:val="71C1048A"/>
    <w:rsid w:val="7396188C"/>
    <w:rsid w:val="73A6715E"/>
    <w:rsid w:val="73F35F5B"/>
    <w:rsid w:val="75FD58D3"/>
    <w:rsid w:val="79C04582"/>
    <w:rsid w:val="7D1F0DA2"/>
    <w:rsid w:val="7F6C6A68"/>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7442</Words>
  <Characters>7840</Characters>
  <Lines>0</Lines>
  <Paragraphs>0</Paragraphs>
  <TotalTime>2</TotalTime>
  <ScaleCrop>false</ScaleCrop>
  <LinksUpToDate>false</LinksUpToDate>
  <CharactersWithSpaces>9030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2022-10-12T05:26:56Z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E9BCD5542BC34BB1B12D7229664A45D9</vt:lpwstr>
  </property>
</Properties>
</file>