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sz w:val="32"/>
          <w:szCs w:val="32"/>
        </w:rPr>
      </w:pPr>
      <w:r>
        <w:rPr>
          <w:rFonts w:hint="eastAsia" w:ascii="黑体" w:hAnsi="黑体" w:eastAsia="黑体"/>
          <w:sz w:val="32"/>
          <w:szCs w:val="32"/>
        </w:rPr>
        <w:t>附件3-1</w:t>
      </w:r>
    </w:p>
    <w:p>
      <w:pPr>
        <w:jc w:val="center"/>
        <w:rPr>
          <w:rFonts w:hint="eastAsia" w:ascii="方正小标宋简体" w:eastAsia="方正小标宋简体"/>
          <w:sz w:val="38"/>
          <w:szCs w:val="38"/>
        </w:rPr>
      </w:pPr>
      <w:r>
        <w:rPr>
          <w:rFonts w:hint="eastAsia" w:ascii="方正小标宋简体" w:eastAsia="方正小标宋简体"/>
          <w:sz w:val="38"/>
          <w:szCs w:val="38"/>
        </w:rPr>
        <w:t>部门整体支出绩效评价评分表</w:t>
      </w:r>
    </w:p>
    <w:tbl>
      <w:tblPr>
        <w:tblStyle w:val="2"/>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投  入</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预算配置</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kern w:val="0"/>
                <w:sz w:val="18"/>
                <w:szCs w:val="18"/>
                <w:lang w:eastAsia="zh-CN"/>
              </w:rPr>
              <w:t>在职人员均县委统一安排</w:t>
            </w:r>
            <w:r>
              <w:rPr>
                <w:rFonts w:hint="eastAsia" w:ascii="仿宋_GB2312" w:hAnsi="宋体" w:eastAsia="仿宋_GB2312" w:cs="宋体"/>
                <w:kern w:val="0"/>
                <w:sz w:val="18"/>
                <w:szCs w:val="18"/>
              </w:rPr>
              <w:t>。</w:t>
            </w: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重点支出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bookmarkStart w:id="0" w:name="_GoBack"/>
            <w:bookmarkEnd w:id="0"/>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预算执行</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1</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eastAsia="zh-CN"/>
              </w:rPr>
              <w:t>预算调整率</w:t>
            </w:r>
            <w:r>
              <w:rPr>
                <w:rFonts w:hint="eastAsia" w:ascii="仿宋_GB2312" w:hAnsi="宋体" w:eastAsia="仿宋_GB2312" w:cs="宋体"/>
                <w:color w:val="000000"/>
                <w:kern w:val="0"/>
                <w:sz w:val="18"/>
                <w:szCs w:val="18"/>
                <w:lang w:val="en-US" w:eastAsia="zh-CN"/>
              </w:rPr>
              <w:t>16.2%</w:t>
            </w:r>
          </w:p>
        </w:tc>
      </w:tr>
      <w:tr>
        <w:tblPrEx>
          <w:tblCellMar>
            <w:top w:w="0" w:type="dxa"/>
            <w:left w:w="108" w:type="dxa"/>
            <w:bottom w:w="0" w:type="dxa"/>
            <w:right w:w="108" w:type="dxa"/>
          </w:tblCellMar>
        </w:tblPrEx>
        <w:trPr>
          <w:trHeight w:val="724"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20"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6</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控制率</w:t>
            </w:r>
            <w:r>
              <w:rPr>
                <w:rFonts w:hint="eastAsia" w:ascii="仿宋_GB2312" w:hAnsi="宋体" w:eastAsia="仿宋_GB2312" w:cs="宋体"/>
                <w:kern w:val="0"/>
                <w:sz w:val="18"/>
                <w:szCs w:val="18"/>
                <w:lang w:eastAsia="zh-CN"/>
              </w:rPr>
              <w:t>为</w:t>
            </w:r>
            <w:r>
              <w:rPr>
                <w:rFonts w:hint="eastAsia" w:ascii="仿宋_GB2312" w:hAnsi="宋体" w:eastAsia="仿宋_GB2312" w:cs="宋体"/>
                <w:kern w:val="0"/>
                <w:sz w:val="18"/>
                <w:szCs w:val="18"/>
                <w:lang w:val="en-US" w:eastAsia="zh-CN"/>
              </w:rPr>
              <w:t>93.6%</w:t>
            </w:r>
          </w:p>
        </w:tc>
      </w:tr>
      <w:tr>
        <w:tblPrEx>
          <w:tblCellMar>
            <w:top w:w="0" w:type="dxa"/>
            <w:left w:w="108" w:type="dxa"/>
            <w:bottom w:w="0" w:type="dxa"/>
            <w:right w:w="108" w:type="dxa"/>
          </w:tblCellMar>
        </w:tblPrEx>
        <w:trPr>
          <w:trHeight w:val="1170"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预算管理</w:t>
            </w:r>
          </w:p>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（15分）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①已制定或具有预算资金管理办法，内部财务管理制度、会计核算制度等管理制度，1分；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②相关管理制度合法、合规、完整，1分；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资金使用</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①支出符合国家财经法规和财务管理制度规定以及有关专项资金管理办法的规定；</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②资金拨付有完整的审批程序和手续；</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③项目支出按规定经过评估论证；</w:t>
            </w:r>
          </w:p>
          <w:p>
            <w:pPr>
              <w:widowControl/>
              <w:spacing w:line="240" w:lineRule="exact"/>
              <w:jc w:val="left"/>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rPr>
              <w:t>④支出符合部门预算批复的用途；</w:t>
            </w:r>
          </w:p>
          <w:p>
            <w:pPr>
              <w:widowControl/>
              <w:spacing w:line="240" w:lineRule="exact"/>
              <w:jc w:val="left"/>
              <w:rPr>
                <w:rFonts w:hint="eastAsia" w:ascii="仿宋_GB2312" w:hAnsi="宋体" w:eastAsia="仿宋_GB2312" w:cs="宋体"/>
                <w:spacing w:val="-6"/>
                <w:kern w:val="0"/>
                <w:sz w:val="18"/>
                <w:szCs w:val="18"/>
                <w:lang w:eastAsia="zh-CN"/>
              </w:rPr>
            </w:pPr>
            <w:r>
              <w:rPr>
                <w:rFonts w:hint="eastAsia" w:ascii="仿宋_GB2312" w:hAnsi="宋体" w:eastAsia="仿宋_GB2312" w:cs="宋体"/>
                <w:spacing w:val="-6"/>
                <w:kern w:val="0"/>
                <w:sz w:val="18"/>
                <w:szCs w:val="18"/>
              </w:rPr>
              <w:t>⑤资金使用无截留、挤占、挪用、虚列支出等情况。</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245"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①按规定内容公开预决算信息，1分；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②按规定时限公开预决算信息，0.5分；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③基础数据信息和会计信息资料真实，0.5分；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④基础数据信息和会计信息资料完整，0.5分；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政府采购执行率等于100%的，得3分；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公务卡刷卡率达</w:t>
            </w:r>
            <w:r>
              <w:rPr>
                <w:rFonts w:hint="eastAsia" w:ascii="仿宋_GB2312" w:hAnsi="宋体" w:eastAsia="仿宋_GB2312" w:cs="宋体"/>
                <w:kern w:val="0"/>
                <w:sz w:val="18"/>
                <w:szCs w:val="18"/>
                <w:lang w:val="en-US" w:eastAsia="zh-CN"/>
              </w:rPr>
              <w:t>7</w:t>
            </w:r>
            <w:r>
              <w:rPr>
                <w:rFonts w:hint="eastAsia" w:ascii="仿宋_GB2312" w:hAnsi="宋体" w:eastAsia="仿宋_GB2312" w:cs="宋体"/>
                <w:kern w:val="0"/>
                <w:sz w:val="18"/>
                <w:szCs w:val="18"/>
              </w:rPr>
              <w:t>0％以上的，得3分。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1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①已制定或具有资产管理制度，且相关资产管理制度合法、合规、完整，2分；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bl>
    <w:p/>
    <w:tbl>
      <w:tblPr>
        <w:tblStyle w:val="2"/>
        <w:tblW w:w="9937" w:type="dxa"/>
        <w:jc w:val="center"/>
        <w:tblLayout w:type="fixed"/>
        <w:tblCellMar>
          <w:top w:w="0" w:type="dxa"/>
          <w:left w:w="108" w:type="dxa"/>
          <w:bottom w:w="0" w:type="dxa"/>
          <w:right w:w="108" w:type="dxa"/>
        </w:tblCellMar>
      </w:tblPr>
      <w:tblGrid>
        <w:gridCol w:w="980"/>
        <w:gridCol w:w="943"/>
        <w:gridCol w:w="1395"/>
        <w:gridCol w:w="4190"/>
        <w:gridCol w:w="621"/>
        <w:gridCol w:w="723"/>
        <w:gridCol w:w="1085"/>
      </w:tblGrid>
      <w:tr>
        <w:tblPrEx>
          <w:tblCellMar>
            <w:top w:w="0" w:type="dxa"/>
            <w:left w:w="108" w:type="dxa"/>
            <w:bottom w:w="0" w:type="dxa"/>
            <w:right w:w="108" w:type="dxa"/>
          </w:tblCellMar>
        </w:tblPrEx>
        <w:trPr>
          <w:trHeight w:val="678" w:hRule="atLeast"/>
          <w:jc w:val="center"/>
        </w:trPr>
        <w:tc>
          <w:tcPr>
            <w:tcW w:w="9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4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9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9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2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3"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5"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216" w:hRule="atLeast"/>
          <w:jc w:val="center"/>
        </w:trPr>
        <w:tc>
          <w:tcPr>
            <w:tcW w:w="980"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43"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资产管理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9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安全性</w:t>
            </w:r>
          </w:p>
        </w:tc>
        <w:tc>
          <w:tcPr>
            <w:tcW w:w="419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①资产保存完整；</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②资产配置合理；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 xml:space="preserve">③资产处置规范； </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④资产账务管理合规，帐实相符；</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⑤资产有偿使用及处置收入及时足额上缴；</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以上情况每出现一例不符合有关要求的扣1分，扣完为止。</w:t>
            </w:r>
          </w:p>
        </w:tc>
        <w:tc>
          <w:tcPr>
            <w:tcW w:w="62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5"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5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固定资产</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利用率</w:t>
            </w:r>
          </w:p>
        </w:tc>
        <w:tc>
          <w:tcPr>
            <w:tcW w:w="4190"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restart"/>
            <w:tcBorders>
              <w:top w:val="single" w:color="auto" w:sz="4" w:space="0"/>
              <w:left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  出（25分</w:t>
            </w:r>
            <w:r>
              <w:rPr>
                <w:rFonts w:hint="eastAsia" w:ascii="仿宋_GB2312" w:hAnsi="宋体" w:eastAsia="仿宋_GB2312" w:cs="宋体"/>
                <w:kern w:val="0"/>
                <w:sz w:val="18"/>
                <w:szCs w:val="18"/>
                <w:lang w:eastAsia="zh-CN"/>
              </w:rPr>
              <w:t>）</w:t>
            </w:r>
          </w:p>
        </w:tc>
        <w:tc>
          <w:tcPr>
            <w:tcW w:w="943" w:type="dxa"/>
            <w:vMerge w:val="restart"/>
            <w:tcBorders>
              <w:top w:val="single" w:color="auto" w:sz="4" w:space="0"/>
              <w:left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职责履行</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（25分）</w:t>
            </w:r>
          </w:p>
        </w:tc>
        <w:tc>
          <w:tcPr>
            <w:tcW w:w="139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lang w:eastAsia="zh-CN"/>
              </w:rPr>
              <w:t>实施“三高四新”战略</w:t>
            </w:r>
            <w:r>
              <w:rPr>
                <w:rFonts w:hint="eastAsia" w:ascii="仿宋_GB2312" w:hAnsi="宋体" w:eastAsia="仿宋_GB2312" w:cs="宋体"/>
                <w:kern w:val="0"/>
                <w:sz w:val="18"/>
                <w:szCs w:val="18"/>
              </w:rPr>
              <w:t>目标任务完成情况</w:t>
            </w:r>
          </w:p>
        </w:tc>
        <w:tc>
          <w:tcPr>
            <w:tcW w:w="41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根据实际情况开展调研走访活动若干人次</w:t>
            </w: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8</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8</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13"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9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eastAsia="zh-CN"/>
              </w:rPr>
              <w:t>完成县乡两级人大代表换届</w:t>
            </w:r>
          </w:p>
        </w:tc>
        <w:tc>
          <w:tcPr>
            <w:tcW w:w="62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56"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90"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lang w:eastAsia="zh-CN"/>
              </w:rPr>
              <w:t>组织召开至少</w:t>
            </w:r>
            <w:r>
              <w:rPr>
                <w:rFonts w:hint="eastAsia" w:ascii="仿宋_GB2312" w:hAnsi="宋体" w:eastAsia="仿宋_GB2312" w:cs="宋体"/>
                <w:kern w:val="0"/>
                <w:sz w:val="18"/>
                <w:szCs w:val="18"/>
              </w:rPr>
              <w:t>6次常委会会议，12次主任会议</w:t>
            </w: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4</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90"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根据实际情况开展视察和若干</w:t>
            </w:r>
            <w:r>
              <w:rPr>
                <w:rFonts w:hint="eastAsia" w:ascii="仿宋_GB2312" w:hAnsi="宋体" w:eastAsia="仿宋_GB2312" w:cs="宋体"/>
                <w:kern w:val="0"/>
                <w:sz w:val="18"/>
                <w:szCs w:val="18"/>
                <w:lang w:eastAsia="zh-CN"/>
              </w:rPr>
              <w:t>人</w:t>
            </w:r>
            <w:r>
              <w:rPr>
                <w:rFonts w:hint="eastAsia" w:ascii="仿宋_GB2312" w:hAnsi="宋体" w:eastAsia="仿宋_GB2312" w:cs="宋体"/>
                <w:kern w:val="0"/>
                <w:sz w:val="18"/>
                <w:szCs w:val="18"/>
              </w:rPr>
              <w:t>次调研</w:t>
            </w: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4</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8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90"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完成本年度对法官、检察官的评议工作</w:t>
            </w: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效  果</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943"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履职效益</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90"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审查、调整、决定全县国民经济和社会发展计划以及财政预决算，监督政府重点项目实施情况和金融稳定情况，促进全县经济社会长期稳定发展。</w:t>
            </w:r>
          </w:p>
        </w:tc>
        <w:tc>
          <w:tcPr>
            <w:tcW w:w="621"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5</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90"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密切联系代表和群众，为人民群众发声，维护群众利益。</w:t>
            </w:r>
          </w:p>
        </w:tc>
        <w:tc>
          <w:tcPr>
            <w:tcW w:w="621"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90"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督促搞好生态环境保护，减少资源消耗，促进人与自然长期和谐发展。</w:t>
            </w:r>
          </w:p>
        </w:tc>
        <w:tc>
          <w:tcPr>
            <w:tcW w:w="621"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51" w:hRule="atLeast"/>
          <w:jc w:val="center"/>
        </w:trPr>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9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21"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56" w:hRule="atLeast"/>
          <w:jc w:val="center"/>
        </w:trPr>
        <w:tc>
          <w:tcPr>
            <w:tcW w:w="980"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43"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139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419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621"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b/>
                <w:bCs/>
                <w:kern w:val="0"/>
                <w:sz w:val="18"/>
                <w:szCs w:val="18"/>
                <w:lang w:val="en-US" w:eastAsia="zh-CN"/>
              </w:rPr>
            </w:pPr>
            <w:r>
              <w:rPr>
                <w:rFonts w:hint="eastAsia" w:ascii="仿宋_GB2312" w:hAnsi="宋体" w:eastAsia="仿宋_GB2312" w:cs="宋体"/>
                <w:b/>
                <w:bCs/>
                <w:kern w:val="0"/>
                <w:sz w:val="18"/>
                <w:szCs w:val="18"/>
                <w:lang w:val="en-US" w:eastAsia="zh-CN"/>
              </w:rPr>
              <w:t>98</w:t>
            </w:r>
          </w:p>
        </w:tc>
        <w:tc>
          <w:tcPr>
            <w:tcW w:w="108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r>
    </w:tbl>
    <w:p>
      <w:pPr>
        <w:adjustRightInd w:val="0"/>
        <w:snapToGrid w:val="0"/>
        <w:spacing w:before="156" w:beforeLines="50"/>
        <w:contextualSpacing/>
        <w:rPr>
          <w:rFonts w:hint="eastAsia" w:ascii="仿宋_GB2312" w:hAnsi="宋体" w:eastAsia="仿宋_GB2312" w:cs="宋体"/>
          <w:kern w:val="0"/>
          <w:szCs w:val="21"/>
          <w:lang w:eastAsia="zh-CN"/>
        </w:rPr>
      </w:pPr>
      <w:r>
        <w:rPr>
          <w:rFonts w:hint="eastAsia" w:ascii="仿宋_GB2312" w:hAnsi="宋体" w:eastAsia="仿宋_GB2312" w:cs="宋体"/>
          <w:kern w:val="0"/>
          <w:szCs w:val="21"/>
        </w:rPr>
        <w:t>备注：部门（单位）</w:t>
      </w:r>
      <w:r>
        <w:rPr>
          <w:rFonts w:hint="eastAsia" w:ascii="仿宋_GB2312" w:hAnsi="宋体" w:eastAsia="仿宋_GB2312" w:cs="宋体"/>
          <w:kern w:val="0"/>
          <w:szCs w:val="21"/>
          <w:lang w:eastAsia="zh-CN"/>
        </w:rPr>
        <w:t>可</w:t>
      </w:r>
      <w:r>
        <w:rPr>
          <w:rFonts w:hint="eastAsia" w:ascii="仿宋_GB2312" w:hAnsi="宋体" w:eastAsia="仿宋_GB2312" w:cs="宋体"/>
          <w:kern w:val="0"/>
          <w:szCs w:val="21"/>
        </w:rPr>
        <w:t>根据本部门实际情况</w:t>
      </w:r>
      <w:r>
        <w:rPr>
          <w:rFonts w:hint="eastAsia" w:ascii="仿宋_GB2312" w:hAnsi="宋体" w:eastAsia="仿宋_GB2312" w:cs="宋体"/>
          <w:kern w:val="0"/>
          <w:szCs w:val="21"/>
          <w:lang w:eastAsia="zh-CN"/>
        </w:rPr>
        <w:t>，对评价指标体系</w:t>
      </w:r>
      <w:r>
        <w:rPr>
          <w:rFonts w:hint="eastAsia" w:ascii="仿宋_GB2312" w:eastAsia="仿宋_GB2312"/>
        </w:rPr>
        <w:t>进一步完善、量化、细化个性指标，形成本</w:t>
      </w:r>
      <w:r>
        <w:rPr>
          <w:rFonts w:hint="eastAsia" w:ascii="仿宋_GB2312" w:eastAsia="仿宋_GB2312"/>
          <w:lang w:eastAsia="zh-CN"/>
        </w:rPr>
        <w:t>部门</w:t>
      </w:r>
      <w:r>
        <w:rPr>
          <w:rFonts w:hint="eastAsia" w:ascii="仿宋_GB2312" w:eastAsia="仿宋_GB2312"/>
        </w:rPr>
        <w:t>的指标体系</w:t>
      </w:r>
      <w:r>
        <w:rPr>
          <w:rFonts w:hint="eastAsia" w:ascii="仿宋_GB2312" w:eastAsia="仿宋_GB2312"/>
          <w:lang w:eastAsia="zh-CN"/>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F9646D"/>
    <w:rsid w:val="18B855A1"/>
    <w:rsid w:val="33835F0D"/>
    <w:rsid w:val="35837782"/>
    <w:rsid w:val="50F9646D"/>
    <w:rsid w:val="672306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2022-06-08T02:31:00Z</dcterms:created>
  <dc:creator>淼淼</dc:creator>
  <cp:lastModifiedBy>淼淼</cp:lastModifiedBy>
  <cp:lastPrinted>2022-06-17T00:58:22Z</cp:lastPrinted>
  <dcterms:modified xsi:type="dcterms:W3CDTF">2022-06-17T00:58:26Z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