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华容县自然资源局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70200</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22</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蔡 圆</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0730-4268528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283</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依法履行全民所有土地、矿产、森林、草原、湿地、水等自然资源资产所有者职责和国有空间用途管制职责；2、负责自然资源调查监测评价；3、负责自然资源统一确权登记工作；4、负责自然资源资产有偿使用工作；5、负责自然资源的合理开发利用；6、负责建立国土空间规划体系并监督实施；7、负责统筹国土空间生态修复；8、负责组织实施最严格的耕地保护制度；9、负责管理地质勘查行业和全县地质工作；10、负责地质灾害预防和治理；11、负责矿产资源管理工作；12、推动自然资源领域科技发展；13、负责测绘地理信息管理工作；14、负责自然资源领域安全生产和应急管理工作；15、根据授权，对各乡镇人民政府、县工业集中区管理会、县田家湖生态新区管委会及相关部门落实县委、县政府关于自然资源、国土空间规划重大政策、决策部署及法规规章执行情况进行督察；16、统一领导和管理县林业局；17、完成县委、县政府交办的其他事项；18、职能转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任务1：耕地保护开发并重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任务2：要素保障能力不断增强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任务3：项目建设成效显著</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：依法执法监察成效明显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：重点工作有序推进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：矿山资源管理扎实有效</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：基础工作落实有力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实施完成旱改水项目12个，完成投资2.77亿元，新增水田指标2.28万亩。实施土整项目114个35895亩，新增耕地面积6437.4亩。</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实现土地收益13.054亿元，其中，土地出让收入9.63亿元，旱改水指标交易收入3.424亿元</w:t>
            </w:r>
            <w:r>
              <w:rPr>
                <w:rFonts w:hint="eastAsia" w:ascii="仿宋_GB2312" w:hAnsi="仿宋_GB2312" w:eastAsia="仿宋_GB2312" w:cs="仿宋_GB2312"/>
                <w:color w:val="000000"/>
                <w:sz w:val="24"/>
                <w:lang w:eastAsia="zh-CN"/>
              </w:rPr>
              <w:t>。</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县城规划区内共查处违法建设项目398个，强制拆除新增违建项目 58个，拆除面积7105㎡；拆除存量违建732㎡,实现存量违建清零目标。</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“多规合一”村庄规划编制试点工作</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东山镇仙鹅寺村、禹山镇南竹村村庄规划入选市局优秀案例，仙鹅寺村庄规划同时入选全省优秀案例</w:t>
            </w:r>
            <w:r>
              <w:rPr>
                <w:rFonts w:hint="eastAsia" w:ascii="仿宋_GB2312" w:hAnsi="仿宋_GB2312" w:eastAsia="仿宋_GB2312" w:cs="仿宋_GB2312"/>
                <w:color w:val="000000"/>
                <w:sz w:val="24"/>
                <w:lang w:eastAsia="zh-CN"/>
              </w:rPr>
              <w:t>。</w:t>
            </w:r>
          </w:p>
          <w:p>
            <w:pPr>
              <w:autoSpaceDN w:val="0"/>
              <w:spacing w:line="320" w:lineRule="exact"/>
              <w:ind w:firstLine="480" w:firstLineChars="200"/>
              <w:jc w:val="left"/>
              <w:textAlignment w:val="center"/>
              <w:rPr>
                <w:rFonts w:hint="eastAsia"/>
                <w:szCs w:val="32"/>
                <w:lang w:val="en-US" w:eastAsia="zh-CN"/>
              </w:rPr>
            </w:pPr>
            <w:r>
              <w:rPr>
                <w:rFonts w:hint="eastAsia" w:ascii="仿宋_GB2312" w:hAnsi="仿宋_GB2312" w:eastAsia="仿宋_GB2312" w:cs="仿宋_GB2312"/>
                <w:color w:val="000000"/>
                <w:sz w:val="24"/>
              </w:rPr>
              <w:t>我局自编自演的《衣锦还乡》相声节目巧妙融入了耕地保护政策“八不准”政策内容，被中国新闻网、自然资源报、湖南日报等主流媒体和省市主管部门门户网站专题报道，并获得“学习强国”总台推广。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8426.58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8426.58</w:t>
            </w:r>
          </w:p>
        </w:tc>
        <w:tc>
          <w:tcPr>
            <w:tcW w:w="1705" w:type="dxa"/>
            <w:gridSpan w:val="2"/>
            <w:noWrap w:val="0"/>
            <w:vAlign w:val="center"/>
          </w:tcPr>
          <w:p>
            <w:pPr>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jc w:val="left"/>
              <w:rPr>
                <w:rFonts w:hint="eastAsia" w:ascii="仿宋_GB2312" w:hAnsi="仿宋_GB2312" w:eastAsia="仿宋_GB2312" w:cs="仿宋_GB2312"/>
                <w:color w:val="000000"/>
                <w:sz w:val="24"/>
              </w:rPr>
            </w:pP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7125.34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7125.34</w:t>
            </w:r>
          </w:p>
        </w:tc>
        <w:tc>
          <w:tcPr>
            <w:tcW w:w="1705" w:type="dxa"/>
            <w:gridSpan w:val="2"/>
            <w:noWrap w:val="0"/>
            <w:vAlign w:val="center"/>
          </w:tcPr>
          <w:p>
            <w:pPr>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2、华容县土地收购储备开发中心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107.4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107.4</w:t>
            </w:r>
          </w:p>
        </w:tc>
        <w:tc>
          <w:tcPr>
            <w:tcW w:w="1705" w:type="dxa"/>
            <w:gridSpan w:val="2"/>
            <w:noWrap w:val="0"/>
            <w:vAlign w:val="center"/>
          </w:tcPr>
          <w:p>
            <w:pPr>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3、华容县不动产登记中心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409.96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409.96</w:t>
            </w:r>
          </w:p>
        </w:tc>
        <w:tc>
          <w:tcPr>
            <w:tcW w:w="1705" w:type="dxa"/>
            <w:gridSpan w:val="2"/>
            <w:noWrap w:val="0"/>
            <w:vAlign w:val="center"/>
          </w:tcPr>
          <w:p>
            <w:pPr>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4、华容县国土资源执法监察大队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208.09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208.09</w:t>
            </w:r>
          </w:p>
        </w:tc>
        <w:tc>
          <w:tcPr>
            <w:tcW w:w="1705" w:type="dxa"/>
            <w:gridSpan w:val="2"/>
            <w:noWrap w:val="0"/>
            <w:vAlign w:val="center"/>
          </w:tcPr>
          <w:p>
            <w:pPr>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5、华容县土地开发整理中心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127.1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127.1</w:t>
            </w:r>
          </w:p>
        </w:tc>
        <w:tc>
          <w:tcPr>
            <w:tcW w:w="1705" w:type="dxa"/>
            <w:gridSpan w:val="2"/>
            <w:noWrap w:val="0"/>
            <w:vAlign w:val="center"/>
          </w:tcPr>
          <w:p>
            <w:pPr>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6、华容县城乡规划执法大队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448.69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448.69</w:t>
            </w:r>
          </w:p>
        </w:tc>
        <w:tc>
          <w:tcPr>
            <w:tcW w:w="1705" w:type="dxa"/>
            <w:gridSpan w:val="2"/>
            <w:noWrap w:val="0"/>
            <w:vAlign w:val="center"/>
          </w:tcPr>
          <w:p>
            <w:pPr>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8426.58</w:t>
            </w:r>
            <w:r>
              <w:rPr>
                <w:rFonts w:hint="eastAsia" w:ascii="仿宋_GB2312" w:hAnsi="仿宋_GB2312" w:eastAsia="仿宋_GB2312" w:cs="仿宋_GB2312"/>
                <w:color w:val="000000"/>
                <w:sz w:val="24"/>
              </w:rPr>
              <w:t xml:space="preserve"> </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3913.19</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3322.71</w:t>
            </w:r>
            <w:r>
              <w:rPr>
                <w:rFonts w:hint="eastAsia" w:ascii="仿宋_GB2312" w:hAnsi="仿宋_GB2312" w:eastAsia="仿宋_GB2312" w:cs="仿宋_GB2312"/>
                <w:color w:val="000000"/>
                <w:sz w:val="24"/>
              </w:rPr>
              <w:t xml:space="preserve">      </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590.48</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4513.39</w:t>
            </w:r>
            <w:r>
              <w:rPr>
                <w:rFonts w:hint="eastAsia" w:ascii="仿宋_GB2312" w:hAnsi="仿宋_GB2312" w:eastAsia="仿宋_GB2312" w:cs="仿宋_GB2312"/>
                <w:color w:val="000000"/>
                <w:sz w:val="24"/>
              </w:rPr>
              <w:t xml:space="preserve"> </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7125.34</w:t>
            </w:r>
            <w:r>
              <w:rPr>
                <w:rFonts w:hint="eastAsia" w:ascii="仿宋_GB2312" w:hAnsi="仿宋_GB2312" w:eastAsia="仿宋_GB2312" w:cs="仿宋_GB2312"/>
                <w:color w:val="000000"/>
                <w:sz w:val="24"/>
              </w:rPr>
              <w:t xml:space="preserve"> </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2611.94</w:t>
            </w:r>
            <w:r>
              <w:rPr>
                <w:rFonts w:hint="eastAsia" w:ascii="仿宋_GB2312" w:hAnsi="仿宋_GB2312" w:eastAsia="仿宋_GB2312" w:cs="仿宋_GB2312"/>
                <w:color w:val="000000"/>
                <w:sz w:val="24"/>
              </w:rPr>
              <w:t xml:space="preserve"> </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2382.1</w:t>
            </w:r>
            <w:r>
              <w:rPr>
                <w:rFonts w:hint="eastAsia" w:ascii="仿宋_GB2312" w:hAnsi="仿宋_GB2312" w:eastAsia="仿宋_GB2312" w:cs="仿宋_GB2312"/>
                <w:color w:val="000000"/>
                <w:sz w:val="24"/>
              </w:rPr>
              <w:t xml:space="preserve">      </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229.84</w:t>
            </w:r>
            <w:r>
              <w:rPr>
                <w:rFonts w:hint="eastAsia" w:ascii="仿宋_GB2312" w:hAnsi="仿宋_GB2312" w:eastAsia="仿宋_GB2312" w:cs="仿宋_GB2312"/>
                <w:color w:val="000000"/>
                <w:sz w:val="24"/>
              </w:rPr>
              <w:t xml:space="preserve">  </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4513.39</w:t>
            </w:r>
            <w:r>
              <w:rPr>
                <w:rFonts w:hint="eastAsia" w:ascii="仿宋_GB2312" w:hAnsi="仿宋_GB2312" w:eastAsia="仿宋_GB2312" w:cs="仿宋_GB2312"/>
                <w:color w:val="000000"/>
                <w:sz w:val="24"/>
              </w:rPr>
              <w:t xml:space="preserve"> </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2、华容县土地收购储备开发中心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107.4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107.4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95.12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3、华容县不动产登记中心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409.96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409.96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338.67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71.29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4、华容县国土资源执法监察大队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208.09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208.09</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114.63</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93.46</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5、华容县土地开发整理中心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127.1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127.1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117.62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6、华容县城乡规划执法大队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448.69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448.69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274.57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174.12</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spacing w:line="320" w:lineRule="exact"/>
              <w:jc w:val="center"/>
              <w:textAlignment w:val="center"/>
              <w:rPr>
                <w:rFonts w:hint="default" w:ascii="仿宋_GB2312" w:hAnsi="仿宋_GB2312"/>
                <w:lang w:val="en-US" w:eastAsia="zh-CN"/>
              </w:rPr>
            </w:pPr>
            <w:r>
              <w:rPr>
                <w:rFonts w:hint="eastAsia" w:ascii="仿宋_GB2312" w:hAnsi="仿宋_GB2312"/>
                <w:lang w:val="en-US" w:eastAsia="zh-CN"/>
              </w:rPr>
              <w:t>12.02</w:t>
            </w:r>
          </w:p>
        </w:tc>
        <w:tc>
          <w:tcPr>
            <w:tcW w:w="1355" w:type="dxa"/>
            <w:gridSpan w:val="2"/>
            <w:tcBorders>
              <w:left w:val="single" w:color="auto" w:sz="4" w:space="0"/>
            </w:tcBorders>
            <w:noWrap w:val="0"/>
            <w:vAlign w:val="center"/>
          </w:tcPr>
          <w:p>
            <w:pPr>
              <w:spacing w:line="320" w:lineRule="exact"/>
              <w:jc w:val="center"/>
              <w:textAlignment w:val="center"/>
              <w:rPr>
                <w:rFonts w:hint="default" w:ascii="仿宋_GB2312" w:hAnsi="仿宋_GB2312"/>
                <w:lang w:val="en-US" w:eastAsia="zh-CN"/>
              </w:rPr>
            </w:pPr>
            <w:r>
              <w:rPr>
                <w:rFonts w:hint="eastAsia" w:ascii="仿宋_GB2312" w:hAnsi="仿宋_GB2312"/>
                <w:lang w:val="en-US" w:eastAsia="zh-CN"/>
              </w:rPr>
              <w:t>12.02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spacing w:line="320" w:lineRule="exact"/>
              <w:jc w:val="center"/>
              <w:textAlignment w:val="center"/>
              <w:rPr>
                <w:rFonts w:hint="eastAsia" w:ascii="仿宋_GB2312" w:hAnsi="仿宋_GB2312"/>
                <w:lang w:val="en-US" w:eastAsia="zh-CN"/>
              </w:rPr>
            </w:pPr>
            <w:r>
              <w:rPr>
                <w:rFonts w:hint="eastAsia" w:ascii="仿宋_GB2312" w:hAnsi="仿宋_GB2312"/>
                <w:lang w:val="en-US" w:eastAsia="zh-CN"/>
              </w:rPr>
              <w:t>12.02</w:t>
            </w:r>
          </w:p>
        </w:tc>
        <w:tc>
          <w:tcPr>
            <w:tcW w:w="1355" w:type="dxa"/>
            <w:gridSpan w:val="2"/>
            <w:tcBorders>
              <w:left w:val="single" w:color="auto" w:sz="4" w:space="0"/>
            </w:tcBorders>
            <w:noWrap w:val="0"/>
            <w:vAlign w:val="center"/>
          </w:tcPr>
          <w:p>
            <w:pPr>
              <w:spacing w:line="320" w:lineRule="exact"/>
              <w:jc w:val="center"/>
              <w:textAlignment w:val="center"/>
              <w:rPr>
                <w:rFonts w:hint="eastAsia" w:ascii="仿宋_GB2312" w:hAnsi="仿宋_GB2312"/>
                <w:lang w:val="en-US" w:eastAsia="zh-CN"/>
              </w:rPr>
            </w:pPr>
            <w:r>
              <w:rPr>
                <w:rFonts w:hint="eastAsia" w:ascii="仿宋_GB2312" w:hAnsi="仿宋_GB2312"/>
                <w:lang w:val="en-US" w:eastAsia="zh-CN"/>
              </w:rPr>
              <w:t>12.02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3394.34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3394.34</w:t>
            </w:r>
          </w:p>
        </w:tc>
        <w:tc>
          <w:tcPr>
            <w:tcW w:w="3644" w:type="dxa"/>
            <w:gridSpan w:val="7"/>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2593.36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2593.36</w:t>
            </w:r>
          </w:p>
        </w:tc>
        <w:tc>
          <w:tcPr>
            <w:tcW w:w="3644" w:type="dxa"/>
            <w:gridSpan w:val="7"/>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2、华容县土地收购储备开发中心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7.71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7.71</w:t>
            </w:r>
          </w:p>
        </w:tc>
        <w:tc>
          <w:tcPr>
            <w:tcW w:w="3644" w:type="dxa"/>
            <w:gridSpan w:val="7"/>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3、华容县不动产登记中心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76.1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76.1</w:t>
            </w:r>
          </w:p>
        </w:tc>
        <w:tc>
          <w:tcPr>
            <w:tcW w:w="3644" w:type="dxa"/>
            <w:gridSpan w:val="7"/>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4、华容县国土资源执法监察大队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5.35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5.35</w:t>
            </w:r>
          </w:p>
        </w:tc>
        <w:tc>
          <w:tcPr>
            <w:tcW w:w="3644" w:type="dxa"/>
            <w:gridSpan w:val="7"/>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5、华容县土地开发整理中心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1.87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1.87</w:t>
            </w:r>
          </w:p>
        </w:tc>
        <w:tc>
          <w:tcPr>
            <w:tcW w:w="3644" w:type="dxa"/>
            <w:gridSpan w:val="7"/>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6、华容县城乡规划执法大队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50.16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50.16</w:t>
            </w:r>
          </w:p>
        </w:tc>
        <w:tc>
          <w:tcPr>
            <w:tcW w:w="3644" w:type="dxa"/>
            <w:gridSpan w:val="7"/>
            <w:noWrap w:val="0"/>
            <w:vAlign w:val="center"/>
          </w:tcPr>
          <w:p>
            <w:pPr>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目标1：切实加强土地管理和基本农田保护；</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目标2：规范矿产资源开发利用，加强自然资源生态修复工作；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目标3：推进国土空间规划编制工作，完成农村宅基地和集体建设用地房地一体确权登记发证工作；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保障县域经济发展用地需求，严厉打击违法用地、用矿行为，严格禁违拆违治违。</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指标1：确保耕地数量不减少、质量不降低</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指标2：编制《华容县砂石土矿开采专项规</w:t>
            </w:r>
            <w:r>
              <w:rPr>
                <w:rFonts w:hint="eastAsia" w:ascii="仿宋_GB2312" w:hAnsi="仿宋_GB2312" w:eastAsia="仿宋_GB2312" w:cs="仿宋_GB2312"/>
                <w:color w:val="000000"/>
                <w:sz w:val="24"/>
                <w:lang w:eastAsia="zh-CN"/>
              </w:rPr>
              <w:t>划</w:t>
            </w:r>
            <w:r>
              <w:rPr>
                <w:rFonts w:hint="eastAsia" w:ascii="仿宋_GB2312" w:hAnsi="仿宋_GB2312" w:eastAsia="仿宋_GB2312" w:cs="仿宋_GB2312"/>
                <w:color w:val="000000"/>
                <w:sz w:val="24"/>
              </w:rPr>
              <w:t>（2019-2025）》</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指标1：实施土整项目114个35895亩，新增耕地面积6437.4亩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：县城规划区内共查处违法建设项目398个，强制拆除新增违建项目 58个，拆除面积7105㎡</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指标1：按时完成年度卫片执法监督检查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按时完成</w:t>
            </w:r>
            <w:r>
              <w:rPr>
                <w:rFonts w:hint="eastAsia" w:ascii="仿宋_GB2312" w:hAnsi="仿宋_GB2312" w:eastAsia="仿宋_GB2312" w:cs="仿宋_GB2312"/>
                <w:color w:val="000000"/>
                <w:sz w:val="24"/>
              </w:rPr>
              <w:t>农村宅基地房地一体确权登记颁证工作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指标1：征收土地1617.2亩，拆迁房屋2.77万平方米，支付各类补偿款2.02亿元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指标1：深入开展脱贫攻坚</w:t>
            </w:r>
            <w:r>
              <w:rPr>
                <w:rFonts w:hint="eastAsia" w:ascii="仿宋_GB2312" w:hAnsi="仿宋_GB2312" w:eastAsia="仿宋_GB2312" w:cs="仿宋_GB2312"/>
                <w:color w:val="000000"/>
                <w:sz w:val="24"/>
                <w:lang w:eastAsia="zh-CN"/>
              </w:rPr>
              <w:t>、结对帮扶</w:t>
            </w:r>
            <w:r>
              <w:rPr>
                <w:rFonts w:hint="eastAsia" w:ascii="仿宋_GB2312" w:hAnsi="仿宋_GB2312" w:eastAsia="仿宋_GB2312" w:cs="仿宋_GB2312"/>
                <w:color w:val="000000"/>
                <w:sz w:val="24"/>
              </w:rPr>
              <w:t>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指标1：实现土地收益13.054亿元，其中，土地出让收入9.63亿元，旱改水指标交易收入3.424亿元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指标1：长江经济带废弃露天矿山生态修复项目建设</w:t>
            </w:r>
            <w:r>
              <w:rPr>
                <w:rFonts w:hint="eastAsia" w:ascii="仿宋_GB2312" w:hAnsi="仿宋_GB2312" w:eastAsia="仿宋_GB2312" w:cs="仿宋_GB2312"/>
                <w:color w:val="000000"/>
                <w:sz w:val="24"/>
                <w:lang w:eastAsia="zh-CN"/>
              </w:rPr>
              <w:t>完成</w:t>
            </w:r>
            <w:r>
              <w:rPr>
                <w:rFonts w:hint="eastAsia" w:ascii="仿宋_GB2312" w:hAnsi="仿宋_GB2312" w:eastAsia="仿宋_GB2312" w:cs="仿宋_GB2312"/>
                <w:color w:val="000000"/>
                <w:sz w:val="24"/>
              </w:rPr>
              <w:t>全部施工任务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指标1：加强干部绩效考核，回访群众满意度98.6%</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肖</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雄</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分管局长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杨</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钰</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严</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聪</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纪检监察室主任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李</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路</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党建办主任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孙立华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07"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97"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03"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napToGrid w:val="0"/>
              <w:spacing w:line="64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华容县自然资源局系财政全额预算拨款单位。20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年编制部门核实人员编制283人，实有人数为2</w:t>
            </w:r>
            <w:r>
              <w:rPr>
                <w:rFonts w:hint="eastAsia" w:ascii="仿宋_GB2312" w:hAnsi="仿宋_GB2312" w:eastAsia="仿宋_GB2312" w:cs="仿宋_GB2312"/>
                <w:bCs/>
                <w:sz w:val="28"/>
                <w:szCs w:val="28"/>
                <w:lang w:val="en-US" w:eastAsia="zh-CN"/>
              </w:rPr>
              <w:t>81</w:t>
            </w:r>
            <w:r>
              <w:rPr>
                <w:rFonts w:hint="eastAsia" w:ascii="仿宋_GB2312" w:hAnsi="仿宋_GB2312" w:eastAsia="仿宋_GB2312" w:cs="仿宋_GB2312"/>
                <w:bCs/>
                <w:sz w:val="28"/>
                <w:szCs w:val="28"/>
              </w:rPr>
              <w:t>人。内设办公室、政策法规股、财务股、人事股、行政审批办、综合业务管理股、自然资源开发利用股、自然资源调查监测股、自然资源确权登记股、国土空间规划股、国土空间用途管制股、城乡规划管理股、耕地保护股、测绘地理信息股、矿产资源管理股、地质灾害防治股、国土空间生态修复股、卫片办、党风廉政室、党建办、老干办、信访室、工会、国土资源执法监察大队、土地开发整理中心、土地收购储备中心、不动产登记中心、城乡规划执法大队、自然资源规划设计院、征地拆迁事务中心、自然资源和规划勘测中心、自然资源信息中心等23个股室和9个二级机构，乡镇设18个自然资源所。</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2020年部门整体支出规模为8426.58万元，其中基本支出3913.19万元，项目支出4513.39万元。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eastAsia="zh-CN"/>
              </w:rPr>
              <w:t>2020年部门整体基本支出3913.19万元，其中工资福利支出3025.28万元、商品和服务支出543.59万元、对个人和家庭的补助支出297.43万元、资本性支出46.89万元。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default"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eastAsia="zh-CN"/>
              </w:rPr>
              <w:t>2020年部门整体专项资金收入4513.39万元，全部安排落实到位。</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2020年部门整体专项资金支出4513.39万元，其中一般公共服务支出82.88万元、卫生健康支出36万元、节能环保支出796.98万元、城乡社区支出2089.62万元、农林水支出2万元、自然资源海洋气象等支出1492.81万元、灾害防治及应急管理支出13万元，全年收支平衡。</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numId w:val="0"/>
              </w:numPr>
              <w:spacing w:line="560" w:lineRule="exact"/>
              <w:ind w:leftChars="200"/>
              <w:jc w:val="both"/>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专项资金实行专款专用，项目资金严格按照审批程序拨付，无弄虚作假、截留、拆借挤占等现象。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专项由相应业务股室或部门负责组织实行。</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numId w:val="0"/>
              </w:numPr>
              <w:spacing w:line="560" w:lineRule="exact"/>
              <w:ind w:left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专项管理实行专人专项管理。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考评组认为华容县自然资源局2020年整体支出，严格按照国家的相关财务管理制度规定，财务制度健全、会计核算规范，依照计划管理使用，自然资源局的整体支出对保障部门工作的正常运行、建设和维护、贯彻执行国家和省办方针、政策、法律法规，发挥了重要作用。按照部门整体支出绩效评价指标体系对照打分得出结果为95分，等级为优秀。</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预算编制有待更严格执行。预算编制与实际支出项目有的存在差异。</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一是按照预算规定的项目和用途严格财务审核，经费支出严格按预算规定项目的财务支出内容进行财务核算，在预算金额内严格控制费用的支出。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二是严格控制“三公经费”支出，进一步细化“三公经费”管理，按财政三公经费要求严控 “三公经费”支出。</w:t>
            </w:r>
          </w:p>
          <w:p>
            <w:pPr>
              <w:numPr>
                <w:ilvl w:val="0"/>
                <w:numId w:val="0"/>
              </w:numPr>
              <w:spacing w:line="560" w:lineRule="exact"/>
              <w:ind w:firstLine="560" w:firstLineChars="200"/>
              <w:rPr>
                <w:rFonts w:eastAsia="楷体_GB2312"/>
                <w:bCs/>
                <w:sz w:val="28"/>
                <w:szCs w:val="28"/>
              </w:rPr>
            </w:pPr>
            <w:r>
              <w:rPr>
                <w:rFonts w:hint="eastAsia" w:ascii="仿宋_GB2312" w:hAnsi="仿宋_GB2312" w:eastAsia="仿宋_GB2312" w:cs="仿宋_GB2312"/>
                <w:bCs/>
                <w:sz w:val="28"/>
                <w:szCs w:val="28"/>
                <w:lang w:val="en-US" w:eastAsia="zh-CN"/>
              </w:rPr>
              <w:t>三是预算财务分析常态化，定期做好预算支出财务分析，做好部门整体支出预算评价工作。</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jc w:val="center"/>
        <w:rPr>
          <w:rFonts w:hint="eastAsia" w:eastAsia="仿宋_GB2312"/>
          <w:sz w:val="32"/>
          <w:u w:val="single"/>
        </w:rPr>
      </w:pPr>
      <w:r>
        <w:rPr>
          <w:rFonts w:hint="eastAsia" w:eastAsia="仿宋_GB2312"/>
          <w:sz w:val="32"/>
        </w:rPr>
        <w:t>项目名称：</w:t>
      </w:r>
      <w:r>
        <w:rPr>
          <w:rFonts w:hint="eastAsia" w:eastAsia="仿宋_GB2312"/>
          <w:sz w:val="32"/>
          <w:u w:val="single"/>
        </w:rPr>
        <w:t>华容县农村宅基地和集体建设用地房地一体</w:t>
      </w:r>
    </w:p>
    <w:p>
      <w:pPr>
        <w:ind w:firstLine="2240" w:firstLineChars="700"/>
        <w:jc w:val="both"/>
        <w:rPr>
          <w:rFonts w:hint="eastAsia" w:eastAsia="仿宋_GB2312"/>
          <w:sz w:val="32"/>
          <w:u w:val="single"/>
        </w:rPr>
      </w:pPr>
      <w:r>
        <w:rPr>
          <w:rFonts w:hint="eastAsia" w:eastAsia="仿宋_GB2312"/>
          <w:sz w:val="32"/>
          <w:u w:val="single"/>
        </w:rPr>
        <w:t>确权登记工作技术服务项目</w:t>
      </w:r>
    </w:p>
    <w:p>
      <w:pPr>
        <w:spacing w:before="156" w:beforeLines="50" w:line="760" w:lineRule="exact"/>
        <w:ind w:firstLine="480" w:firstLineChars="150"/>
        <w:rPr>
          <w:rFonts w:hint="eastAsia" w:eastAsia="仿宋_GB2312"/>
          <w:sz w:val="32"/>
          <w:u w:val="single"/>
        </w:rPr>
      </w:pPr>
      <w:r>
        <w:rPr>
          <w:rFonts w:hint="eastAsia" w:eastAsia="仿宋_GB2312"/>
          <w:sz w:val="32"/>
        </w:rPr>
        <w:t>项目单位：</w:t>
      </w:r>
      <w:r>
        <w:rPr>
          <w:rFonts w:hint="eastAsia" w:eastAsia="仿宋_GB2312"/>
          <w:sz w:val="32"/>
          <w:u w:val="none"/>
        </w:rPr>
        <w:t xml:space="preserve"> </w:t>
      </w:r>
      <w:r>
        <w:rPr>
          <w:rFonts w:hint="eastAsia" w:eastAsia="仿宋_GB2312"/>
          <w:sz w:val="32"/>
          <w:u w:val="single"/>
        </w:rPr>
        <w:t xml:space="preserve">      </w:t>
      </w:r>
      <w:r>
        <w:rPr>
          <w:rFonts w:hint="eastAsia" w:eastAsia="仿宋_GB2312"/>
          <w:sz w:val="32"/>
          <w:u w:val="single"/>
          <w:lang w:eastAsia="zh-CN"/>
        </w:rPr>
        <w:t>华容县自然资源局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none"/>
        </w:rPr>
      </w:pPr>
      <w:r>
        <w:rPr>
          <w:rFonts w:hint="eastAsia" w:eastAsia="仿宋_GB2312"/>
          <w:sz w:val="32"/>
        </w:rPr>
        <w:t>主管部门：</w:t>
      </w:r>
      <w:r>
        <w:rPr>
          <w:rFonts w:hint="eastAsia" w:eastAsia="仿宋_GB2312"/>
          <w:sz w:val="32"/>
          <w:u w:val="none"/>
        </w:rPr>
        <w:t xml:space="preserve"> </w:t>
      </w:r>
      <w:r>
        <w:rPr>
          <w:rFonts w:hint="eastAsia" w:eastAsia="仿宋_GB2312"/>
          <w:sz w:val="32"/>
          <w:u w:val="single"/>
        </w:rPr>
        <w:t xml:space="preserve">      </w:t>
      </w:r>
      <w:r>
        <w:rPr>
          <w:rFonts w:hint="eastAsia" w:eastAsia="仿宋_GB2312"/>
          <w:sz w:val="32"/>
          <w:u w:val="single"/>
          <w:lang w:eastAsia="zh-CN"/>
        </w:rPr>
        <w:t>华容县自然资源局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22</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720"/>
        <w:gridCol w:w="1800"/>
        <w:gridCol w:w="22"/>
        <w:gridCol w:w="698"/>
        <w:gridCol w:w="1347"/>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0"/>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noWrap w:val="0"/>
            <w:vAlign w:val="center"/>
          </w:tcPr>
          <w:p>
            <w:pPr>
              <w:rPr>
                <w:rFonts w:hint="eastAsia" w:eastAsia="仿宋_GB2312"/>
                <w:sz w:val="24"/>
              </w:rPr>
            </w:pPr>
            <w:r>
              <w:rPr>
                <w:rFonts w:hint="eastAsia" w:eastAsia="仿宋_GB2312"/>
                <w:sz w:val="24"/>
              </w:rPr>
              <w:t>项目负责人</w:t>
            </w:r>
          </w:p>
        </w:tc>
        <w:tc>
          <w:tcPr>
            <w:tcW w:w="3240" w:type="dxa"/>
            <w:gridSpan w:val="4"/>
            <w:noWrap w:val="0"/>
            <w:vAlign w:val="center"/>
          </w:tcPr>
          <w:p>
            <w:pPr>
              <w:rPr>
                <w:rFonts w:hint="eastAsia" w:eastAsia="仿宋_GB2312"/>
                <w:sz w:val="24"/>
                <w:lang w:eastAsia="zh-CN"/>
              </w:rPr>
            </w:pPr>
            <w:r>
              <w:rPr>
                <w:rFonts w:hint="eastAsia" w:eastAsia="仿宋_GB2312"/>
                <w:sz w:val="24"/>
                <w:lang w:eastAsia="zh-CN"/>
              </w:rPr>
              <w:t>陶全武</w:t>
            </w:r>
          </w:p>
        </w:tc>
        <w:tc>
          <w:tcPr>
            <w:tcW w:w="1347" w:type="dxa"/>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13974084321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noWrap w:val="0"/>
            <w:vAlign w:val="center"/>
          </w:tcPr>
          <w:p>
            <w:pPr>
              <w:rPr>
                <w:rFonts w:hint="eastAsia" w:eastAsia="仿宋_GB2312"/>
                <w:sz w:val="24"/>
              </w:rPr>
            </w:pPr>
            <w:r>
              <w:rPr>
                <w:rFonts w:hint="eastAsia" w:eastAsia="仿宋_GB2312"/>
                <w:sz w:val="24"/>
              </w:rPr>
              <w:t>项目地址</w:t>
            </w:r>
          </w:p>
        </w:tc>
        <w:tc>
          <w:tcPr>
            <w:tcW w:w="3240" w:type="dxa"/>
            <w:gridSpan w:val="4"/>
            <w:noWrap w:val="0"/>
            <w:vAlign w:val="center"/>
          </w:tcPr>
          <w:p>
            <w:pPr>
              <w:rPr>
                <w:rFonts w:hint="eastAsia" w:eastAsia="仿宋_GB2312"/>
                <w:sz w:val="24"/>
                <w:lang w:eastAsia="zh-CN"/>
              </w:rPr>
            </w:pPr>
            <w:r>
              <w:rPr>
                <w:rFonts w:hint="eastAsia" w:eastAsia="仿宋_GB2312"/>
                <w:sz w:val="24"/>
                <w:lang w:eastAsia="zh-CN"/>
              </w:rPr>
              <w:t>华容县</w:t>
            </w:r>
          </w:p>
        </w:tc>
        <w:tc>
          <w:tcPr>
            <w:tcW w:w="1347" w:type="dxa"/>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noWrap w:val="0"/>
            <w:vAlign w:val="center"/>
          </w:tcPr>
          <w:p>
            <w:pPr>
              <w:rPr>
                <w:rFonts w:hint="eastAsia" w:eastAsia="仿宋_GB2312"/>
                <w:sz w:val="24"/>
              </w:rPr>
            </w:pPr>
            <w:r>
              <w:rPr>
                <w:rFonts w:hint="eastAsia" w:eastAsia="仿宋_GB2312"/>
                <w:sz w:val="24"/>
              </w:rPr>
              <w:t>项目起止时间</w:t>
            </w:r>
          </w:p>
        </w:tc>
        <w:tc>
          <w:tcPr>
            <w:tcW w:w="7920" w:type="dxa"/>
            <w:gridSpan w:val="9"/>
            <w:noWrap w:val="0"/>
            <w:vAlign w:val="center"/>
          </w:tcPr>
          <w:p>
            <w:pPr>
              <w:ind w:firstLine="720" w:firstLineChars="300"/>
              <w:rPr>
                <w:rFonts w:hint="eastAsia"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5</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9</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4198.25</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1304.9</w:t>
            </w:r>
          </w:p>
        </w:tc>
        <w:tc>
          <w:tcPr>
            <w:tcW w:w="1644"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1304.9</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644" w:type="dxa"/>
            <w:gridSpan w:val="2"/>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r>
              <w:rPr>
                <w:rFonts w:hint="eastAsia" w:eastAsia="仿宋_GB2312"/>
                <w:sz w:val="24"/>
                <w:lang w:val="en-US" w:eastAsia="zh-CN"/>
              </w:rPr>
              <w:t>4198.25</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r>
              <w:rPr>
                <w:rFonts w:hint="eastAsia" w:eastAsia="仿宋_GB2312"/>
                <w:sz w:val="24"/>
                <w:lang w:val="en-US" w:eastAsia="zh-CN"/>
              </w:rPr>
              <w:t>1304.9</w:t>
            </w:r>
          </w:p>
        </w:tc>
        <w:tc>
          <w:tcPr>
            <w:tcW w:w="1644"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r>
              <w:rPr>
                <w:rFonts w:hint="eastAsia" w:eastAsia="仿宋_GB2312"/>
                <w:sz w:val="24"/>
                <w:lang w:val="en-US" w:eastAsia="zh-CN"/>
              </w:rPr>
              <w:t>1304.9</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0"/>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2"/>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2"/>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技术服务费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689.8万元</w:t>
            </w:r>
          </w:p>
        </w:tc>
        <w:tc>
          <w:tcPr>
            <w:tcW w:w="234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2020.8.1#</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2"/>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技术服务费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403.5万元</w:t>
            </w:r>
          </w:p>
        </w:tc>
        <w:tc>
          <w:tcPr>
            <w:tcW w:w="234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2020.8.2#</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c>
          <w:tcPr>
            <w:tcW w:w="1822" w:type="dxa"/>
            <w:gridSpan w:val="2"/>
            <w:tcBorders>
              <w:bottom w:val="single" w:color="auto" w:sz="4" w:space="0"/>
            </w:tcBorders>
            <w:noWrap w:val="0"/>
            <w:vAlign w:val="center"/>
          </w:tcPr>
          <w:p>
            <w:pPr>
              <w:jc w:val="both"/>
              <w:rPr>
                <w:rFonts w:hint="default" w:eastAsia="仿宋_GB2312"/>
                <w:sz w:val="24"/>
                <w:lang w:val="en-US" w:eastAsia="zh-CN"/>
              </w:rPr>
            </w:pPr>
            <w:r>
              <w:rPr>
                <w:rFonts w:hint="eastAsia" w:eastAsia="仿宋_GB2312"/>
                <w:sz w:val="24"/>
                <w:lang w:val="en-US" w:eastAsia="zh-CN"/>
              </w:rPr>
              <w:t xml:space="preserve">  111.6万元</w:t>
            </w:r>
          </w:p>
        </w:tc>
        <w:tc>
          <w:tcPr>
            <w:tcW w:w="234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2020.8.3#</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40万元</w:t>
            </w:r>
          </w:p>
        </w:tc>
        <w:tc>
          <w:tcPr>
            <w:tcW w:w="234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2020.10.18#</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60万元</w:t>
            </w:r>
          </w:p>
        </w:tc>
        <w:tc>
          <w:tcPr>
            <w:tcW w:w="234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2020.12.29#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2"/>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r>
              <w:rPr>
                <w:rFonts w:hint="eastAsia" w:eastAsia="仿宋_GB2312"/>
                <w:b/>
                <w:sz w:val="24"/>
                <w:lang w:val="en-US" w:eastAsia="zh-CN"/>
              </w:rPr>
              <w:t>1304.9万元</w:t>
            </w:r>
          </w:p>
        </w:tc>
        <w:tc>
          <w:tcPr>
            <w:tcW w:w="2342" w:type="dxa"/>
            <w:gridSpan w:val="3"/>
            <w:tcBorders>
              <w:bottom w:val="single" w:color="auto" w:sz="4" w:space="0"/>
            </w:tcBorders>
            <w:noWrap w:val="0"/>
            <w:vAlign w:val="center"/>
          </w:tcPr>
          <w:p>
            <w:pPr>
              <w:jc w:val="center"/>
              <w:rPr>
                <w:rFonts w:hint="default" w:eastAsia="仿宋_GB2312"/>
                <w:b/>
                <w:sz w:val="24"/>
                <w:lang w:val="en-US" w:eastAsia="zh-CN"/>
              </w:rPr>
            </w:pPr>
          </w:p>
        </w:tc>
        <w:tc>
          <w:tcPr>
            <w:tcW w:w="3036" w:type="dxa"/>
            <w:gridSpan w:val="3"/>
            <w:tcBorders>
              <w:bottom w:val="single" w:color="auto" w:sz="4" w:space="0"/>
            </w:tcBorders>
            <w:noWrap w:val="0"/>
            <w:vAlign w:val="center"/>
          </w:tcPr>
          <w:p>
            <w:pPr>
              <w:jc w:val="center"/>
              <w:rPr>
                <w:rFonts w:hint="eastAsia" w:eastAsia="仿宋_GB2312"/>
                <w:b/>
                <w:sz w:val="24"/>
              </w:rPr>
            </w:pPr>
          </w:p>
        </w:tc>
      </w:tr>
    </w:tbl>
    <w:p>
      <w:pPr>
        <w:rPr>
          <w:rFonts w:ascii="黑体" w:hAnsi="黑体" w:eastAsia="黑体"/>
          <w:sz w:val="32"/>
          <w:szCs w:val="32"/>
        </w:rPr>
      </w:pPr>
    </w:p>
    <w:p>
      <w:pPr>
        <w:rPr>
          <w:rFonts w:ascii="黑体" w:hAnsi="黑体" w:eastAsia="黑体"/>
          <w:sz w:val="32"/>
          <w:szCs w:val="32"/>
        </w:rPr>
      </w:pPr>
    </w:p>
    <w:tbl>
      <w:tblPr>
        <w:tblStyle w:val="4"/>
        <w:tblW w:w="9582" w:type="dxa"/>
        <w:jc w:val="center"/>
        <w:tblLayout w:type="fixed"/>
        <w:tblCellMar>
          <w:top w:w="0" w:type="dxa"/>
          <w:left w:w="108" w:type="dxa"/>
          <w:bottom w:w="0" w:type="dxa"/>
          <w:right w:w="108" w:type="dxa"/>
        </w:tblCellMar>
      </w:tblPr>
      <w:tblGrid>
        <w:gridCol w:w="1473"/>
        <w:gridCol w:w="791"/>
        <w:gridCol w:w="118"/>
        <w:gridCol w:w="1658"/>
        <w:gridCol w:w="714"/>
        <w:gridCol w:w="562"/>
        <w:gridCol w:w="2138"/>
        <w:gridCol w:w="2128"/>
      </w:tblGrid>
      <w:tr>
        <w:tblPrEx>
          <w:tblCellMar>
            <w:top w:w="0" w:type="dxa"/>
            <w:left w:w="108" w:type="dxa"/>
            <w:bottom w:w="0" w:type="dxa"/>
            <w:right w:w="108" w:type="dxa"/>
          </w:tblCellMar>
        </w:tblPrEx>
        <w:trPr>
          <w:trHeight w:val="544" w:hRule="atLeast"/>
          <w:jc w:val="center"/>
        </w:trPr>
        <w:tc>
          <w:tcPr>
            <w:tcW w:w="958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sz w:val="24"/>
                <w:szCs w:val="24"/>
              </w:rPr>
            </w:pPr>
            <w:r>
              <w:rPr>
                <w:b/>
                <w:bCs/>
                <w:sz w:val="24"/>
                <w:szCs w:val="24"/>
              </w:rPr>
              <w:t>三、项目绩效自评情况</w:t>
            </w:r>
          </w:p>
        </w:tc>
      </w:tr>
      <w:tr>
        <w:tblPrEx>
          <w:tblCellMar>
            <w:top w:w="0" w:type="dxa"/>
            <w:left w:w="108" w:type="dxa"/>
            <w:bottom w:w="0" w:type="dxa"/>
            <w:right w:w="108" w:type="dxa"/>
          </w:tblCellMar>
        </w:tblPrEx>
        <w:trPr>
          <w:trHeight w:val="424" w:hRule="atLeast"/>
          <w:jc w:val="center"/>
        </w:trPr>
        <w:tc>
          <w:tcPr>
            <w:tcW w:w="1473"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项目绩效定性目标及实施计划完成情况</w:t>
            </w:r>
          </w:p>
        </w:tc>
        <w:tc>
          <w:tcPr>
            <w:tcW w:w="3843" w:type="dxa"/>
            <w:gridSpan w:val="5"/>
            <w:tcBorders>
              <w:top w:val="single" w:color="auto" w:sz="4" w:space="0"/>
              <w:left w:val="nil"/>
              <w:bottom w:val="single" w:color="auto" w:sz="4" w:space="0"/>
              <w:right w:val="single" w:color="auto" w:sz="4" w:space="0"/>
            </w:tcBorders>
            <w:noWrap w:val="0"/>
            <w:vAlign w:val="center"/>
          </w:tcPr>
          <w:p>
            <w:pPr>
              <w:spacing w:line="400" w:lineRule="exact"/>
              <w:jc w:val="center"/>
              <w:rPr>
                <w:b/>
                <w:bCs/>
                <w:sz w:val="24"/>
                <w:szCs w:val="24"/>
              </w:rPr>
            </w:pPr>
            <w:r>
              <w:rPr>
                <w:b/>
                <w:bCs/>
                <w:sz w:val="24"/>
                <w:szCs w:val="24"/>
              </w:rPr>
              <w:t>预  期 目 标</w:t>
            </w:r>
          </w:p>
        </w:tc>
        <w:tc>
          <w:tcPr>
            <w:tcW w:w="4266"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b/>
                <w:bCs/>
                <w:sz w:val="24"/>
                <w:szCs w:val="24"/>
              </w:rPr>
            </w:pPr>
            <w:r>
              <w:rPr>
                <w:b/>
                <w:bCs/>
                <w:sz w:val="24"/>
                <w:szCs w:val="24"/>
              </w:rPr>
              <w:t>实际完成</w:t>
            </w:r>
          </w:p>
        </w:tc>
      </w:tr>
      <w:tr>
        <w:tblPrEx>
          <w:tblCellMar>
            <w:top w:w="0" w:type="dxa"/>
            <w:left w:w="108" w:type="dxa"/>
            <w:bottom w:w="0" w:type="dxa"/>
            <w:right w:w="108" w:type="dxa"/>
          </w:tblCellMar>
        </w:tblPrEx>
        <w:trPr>
          <w:trHeight w:val="1846"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3843" w:type="dxa"/>
            <w:gridSpan w:val="5"/>
            <w:tcBorders>
              <w:top w:val="single" w:color="auto" w:sz="4" w:space="0"/>
              <w:left w:val="nil"/>
              <w:bottom w:val="single" w:color="auto" w:sz="4" w:space="0"/>
              <w:right w:val="single" w:color="auto" w:sz="4" w:space="0"/>
            </w:tcBorders>
            <w:noWrap w:val="0"/>
            <w:vAlign w:val="center"/>
          </w:tcPr>
          <w:p>
            <w:pPr>
              <w:spacing w:line="0" w:lineRule="atLeast"/>
              <w:jc w:val="center"/>
              <w:rPr>
                <w:rFonts w:ascii="宋体" w:hAnsi="宋体" w:eastAsia="宋体"/>
                <w:bCs/>
                <w:sz w:val="22"/>
                <w:szCs w:val="24"/>
              </w:rPr>
            </w:pPr>
            <w:r>
              <w:rPr>
                <w:rFonts w:hint="eastAsia"/>
                <w:sz w:val="24"/>
                <w:szCs w:val="24"/>
                <w:lang w:eastAsia="zh-CN"/>
              </w:rPr>
              <w:t>根据湖南省自然资源厅办公室《关于进一步做好农村宅基地和集体建设用地房地一体确权登记工作的通知》（湘自资办发【</w:t>
            </w:r>
            <w:r>
              <w:rPr>
                <w:rFonts w:hint="eastAsia"/>
                <w:sz w:val="24"/>
                <w:szCs w:val="24"/>
                <w:lang w:val="en-US" w:eastAsia="zh-CN"/>
              </w:rPr>
              <w:t>2021</w:t>
            </w:r>
            <w:r>
              <w:rPr>
                <w:rFonts w:hint="eastAsia"/>
                <w:sz w:val="24"/>
                <w:szCs w:val="24"/>
                <w:lang w:eastAsia="zh-CN"/>
              </w:rPr>
              <w:t>】</w:t>
            </w:r>
            <w:r>
              <w:rPr>
                <w:rFonts w:hint="eastAsia"/>
                <w:sz w:val="24"/>
                <w:szCs w:val="24"/>
                <w:lang w:val="en-US" w:eastAsia="zh-CN"/>
              </w:rPr>
              <w:t>6号</w:t>
            </w:r>
            <w:r>
              <w:rPr>
                <w:rFonts w:hint="eastAsia"/>
                <w:sz w:val="24"/>
                <w:szCs w:val="24"/>
                <w:lang w:eastAsia="zh-CN"/>
              </w:rPr>
              <w:t>）及市县相关文件要求完成项目事项。</w:t>
            </w:r>
          </w:p>
        </w:tc>
        <w:tc>
          <w:tcPr>
            <w:tcW w:w="4266" w:type="dxa"/>
            <w:gridSpan w:val="2"/>
            <w:tcBorders>
              <w:top w:val="single" w:color="auto" w:sz="4" w:space="0"/>
              <w:left w:val="nil"/>
              <w:bottom w:val="single" w:color="auto" w:sz="4" w:space="0"/>
              <w:right w:val="single" w:color="auto" w:sz="4" w:space="0"/>
            </w:tcBorders>
            <w:noWrap w:val="0"/>
            <w:vAlign w:val="center"/>
          </w:tcPr>
          <w:p>
            <w:pPr>
              <w:spacing w:line="0" w:lineRule="atLeast"/>
              <w:jc w:val="center"/>
              <w:rPr>
                <w:rFonts w:ascii="宋体" w:hAnsi="宋体" w:eastAsia="宋体"/>
                <w:b/>
                <w:bCs/>
                <w:sz w:val="22"/>
                <w:szCs w:val="24"/>
              </w:rPr>
            </w:pPr>
            <w:r>
              <w:rPr>
                <w:rFonts w:hint="eastAsia"/>
                <w:sz w:val="24"/>
                <w:szCs w:val="24"/>
                <w:lang w:eastAsia="zh-CN"/>
              </w:rPr>
              <w:t>项目现已完成市级验收，待省级抽检验收后，</w:t>
            </w:r>
            <w:r>
              <w:rPr>
                <w:rFonts w:hint="eastAsia"/>
                <w:sz w:val="24"/>
                <w:szCs w:val="24"/>
                <w:lang w:val="en-US" w:eastAsia="zh-CN"/>
              </w:rPr>
              <w:t>9月份完成证书发放工作。</w:t>
            </w:r>
          </w:p>
        </w:tc>
      </w:tr>
      <w:tr>
        <w:tblPrEx>
          <w:tblCellMar>
            <w:top w:w="0" w:type="dxa"/>
            <w:left w:w="108" w:type="dxa"/>
            <w:bottom w:w="0" w:type="dxa"/>
            <w:right w:w="108" w:type="dxa"/>
          </w:tblCellMar>
        </w:tblPrEx>
        <w:trPr>
          <w:trHeight w:val="792" w:hRule="atLeast"/>
          <w:jc w:val="center"/>
        </w:trPr>
        <w:tc>
          <w:tcPr>
            <w:tcW w:w="1473" w:type="dxa"/>
            <w:vMerge w:val="restart"/>
            <w:tcBorders>
              <w:top w:val="nil"/>
              <w:left w:val="single" w:color="auto" w:sz="4" w:space="0"/>
              <w:bottom w:val="single" w:color="auto" w:sz="4" w:space="0"/>
              <w:right w:val="single" w:color="auto" w:sz="4" w:space="0"/>
            </w:tcBorders>
            <w:noWrap w:val="0"/>
            <w:vAlign w:val="center"/>
          </w:tcPr>
          <w:p>
            <w:pPr>
              <w:jc w:val="center"/>
              <w:rPr>
                <w:sz w:val="24"/>
                <w:szCs w:val="24"/>
              </w:rPr>
            </w:pPr>
            <w:r>
              <w:rPr>
                <w:sz w:val="24"/>
                <w:szCs w:val="24"/>
              </w:rPr>
              <w:t>项目绩效定量目标（指标）及完成情况</w:t>
            </w:r>
          </w:p>
        </w:tc>
        <w:tc>
          <w:tcPr>
            <w:tcW w:w="909" w:type="dxa"/>
            <w:gridSpan w:val="2"/>
            <w:tcBorders>
              <w:top w:val="single" w:color="auto" w:sz="4" w:space="0"/>
              <w:left w:val="nil"/>
              <w:bottom w:val="single" w:color="auto" w:sz="4" w:space="0"/>
              <w:right w:val="single" w:color="auto" w:sz="4" w:space="0"/>
            </w:tcBorders>
            <w:noWrap w:val="0"/>
            <w:vAlign w:val="center"/>
          </w:tcPr>
          <w:p>
            <w:pPr>
              <w:jc w:val="center"/>
              <w:rPr>
                <w:sz w:val="24"/>
                <w:szCs w:val="24"/>
              </w:rPr>
            </w:pPr>
            <w:r>
              <w:rPr>
                <w:sz w:val="24"/>
                <w:szCs w:val="24"/>
              </w:rPr>
              <w:t>一级指标</w:t>
            </w:r>
          </w:p>
        </w:tc>
        <w:tc>
          <w:tcPr>
            <w:tcW w:w="165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二级指标</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指标内容</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指标（目标）值</w:t>
            </w:r>
          </w:p>
        </w:tc>
        <w:tc>
          <w:tcPr>
            <w:tcW w:w="212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sz w:val="24"/>
                <w:szCs w:val="24"/>
              </w:rPr>
              <w:t>实际完成值</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restart"/>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tcBorders>
              <w:top w:val="nil"/>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数量指标</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建设任务完成率</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100%</w:t>
            </w:r>
          </w:p>
        </w:tc>
        <w:tc>
          <w:tcPr>
            <w:tcW w:w="212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lang w:val="en-US" w:eastAsia="zh-CN"/>
              </w:rPr>
              <w:t>100</w:t>
            </w:r>
            <w:r>
              <w:rPr>
                <w:rFonts w:hint="eastAsia"/>
                <w:sz w:val="24"/>
                <w:szCs w:val="24"/>
              </w:rPr>
              <w:t>%</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restart"/>
            <w:tcBorders>
              <w:top w:val="nil"/>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质量指标</w:t>
            </w: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工程质量等级</w:t>
            </w:r>
          </w:p>
        </w:tc>
        <w:tc>
          <w:tcPr>
            <w:tcW w:w="213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合格</w:t>
            </w:r>
          </w:p>
        </w:tc>
        <w:tc>
          <w:tcPr>
            <w:tcW w:w="212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合格</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continue"/>
            <w:tcBorders>
              <w:top w:val="nil"/>
              <w:left w:val="nil"/>
              <w:bottom w:val="single" w:color="auto" w:sz="4" w:space="0"/>
              <w:right w:val="single" w:color="auto" w:sz="4" w:space="0"/>
            </w:tcBorders>
            <w:noWrap w:val="0"/>
            <w:vAlign w:val="center"/>
          </w:tcPr>
          <w:p>
            <w:pPr>
              <w:spacing w:line="360" w:lineRule="exact"/>
              <w:jc w:val="center"/>
              <w:rPr>
                <w:sz w:val="24"/>
                <w:szCs w:val="24"/>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项目验收情况</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通过验收</w:t>
            </w:r>
          </w:p>
        </w:tc>
        <w:tc>
          <w:tcPr>
            <w:tcW w:w="21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eastAsia="宋体"/>
                <w:sz w:val="24"/>
                <w:szCs w:val="24"/>
                <w:lang w:val="en-US" w:eastAsia="zh-CN"/>
              </w:rPr>
            </w:pPr>
            <w:r>
              <w:rPr>
                <w:rFonts w:hint="eastAsia"/>
                <w:sz w:val="24"/>
                <w:szCs w:val="24"/>
                <w:lang w:val="en-US" w:eastAsia="zh-CN"/>
              </w:rPr>
              <w:t>通过市级验收</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restart"/>
            <w:tcBorders>
              <w:top w:val="nil"/>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时效指标</w:t>
            </w: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项目完成进度</w:t>
            </w:r>
          </w:p>
        </w:tc>
        <w:tc>
          <w:tcPr>
            <w:tcW w:w="213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按进度计划完成</w:t>
            </w:r>
          </w:p>
        </w:tc>
        <w:tc>
          <w:tcPr>
            <w:tcW w:w="212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lang w:val="en-US" w:eastAsia="zh-CN"/>
              </w:rPr>
              <w:t>100</w:t>
            </w:r>
            <w:r>
              <w:rPr>
                <w:rFonts w:hint="eastAsia"/>
                <w:sz w:val="24"/>
                <w:szCs w:val="24"/>
              </w:rPr>
              <w:t>%</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continue"/>
            <w:tcBorders>
              <w:top w:val="nil"/>
              <w:left w:val="nil"/>
              <w:bottom w:val="single" w:color="auto" w:sz="4" w:space="0"/>
              <w:right w:val="single" w:color="auto" w:sz="4" w:space="0"/>
            </w:tcBorders>
            <w:noWrap w:val="0"/>
            <w:vAlign w:val="center"/>
          </w:tcPr>
          <w:p>
            <w:pPr>
              <w:spacing w:line="360" w:lineRule="exact"/>
              <w:jc w:val="center"/>
              <w:rPr>
                <w:sz w:val="24"/>
                <w:szCs w:val="24"/>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质量问题整改</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迅速整改到位</w:t>
            </w:r>
          </w:p>
        </w:tc>
        <w:tc>
          <w:tcPr>
            <w:tcW w:w="212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迅速整改到位</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tcBorders>
              <w:top w:val="nil"/>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成本指标</w:t>
            </w: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项目投资金额</w:t>
            </w:r>
          </w:p>
        </w:tc>
        <w:tc>
          <w:tcPr>
            <w:tcW w:w="213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b w:val="0"/>
                <w:bCs w:val="0"/>
                <w:i w:val="0"/>
                <w:color w:val="auto"/>
                <w:kern w:val="2"/>
                <w:sz w:val="24"/>
                <w:szCs w:val="24"/>
                <w:u w:val="none"/>
                <w:lang w:val="en-US" w:eastAsia="zh-CN" w:bidi="ar-SA"/>
              </w:rPr>
            </w:pPr>
            <w:r>
              <w:rPr>
                <w:rFonts w:hint="eastAsia" w:ascii="宋体" w:hAnsi="宋体" w:cs="宋体"/>
                <w:b w:val="0"/>
                <w:bCs w:val="0"/>
                <w:i w:val="0"/>
                <w:color w:val="auto"/>
                <w:kern w:val="0"/>
                <w:sz w:val="24"/>
                <w:szCs w:val="24"/>
                <w:u w:val="none"/>
                <w:lang w:val="en-US" w:eastAsia="zh-CN" w:bidi="ar"/>
              </w:rPr>
              <w:t>4198.25万元</w:t>
            </w:r>
            <w:r>
              <w:rPr>
                <w:rFonts w:hint="eastAsia" w:ascii="宋体" w:hAnsi="宋体" w:eastAsia="宋体" w:cs="宋体"/>
                <w:b w:val="0"/>
                <w:bCs w:val="0"/>
                <w:i w:val="0"/>
                <w:color w:val="auto"/>
                <w:kern w:val="0"/>
                <w:sz w:val="24"/>
                <w:szCs w:val="24"/>
                <w:u w:val="none"/>
                <w:lang w:val="en-US" w:eastAsia="zh-CN" w:bidi="ar"/>
              </w:rPr>
              <w:t xml:space="preserve"> </w:t>
            </w:r>
          </w:p>
        </w:tc>
        <w:tc>
          <w:tcPr>
            <w:tcW w:w="212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4"/>
                <w:szCs w:val="24"/>
                <w:u w:val="none"/>
                <w:lang w:val="en-US" w:eastAsia="zh-CN" w:bidi="ar-SA"/>
              </w:rPr>
            </w:pPr>
            <w:r>
              <w:rPr>
                <w:rFonts w:hint="eastAsia" w:ascii="宋体" w:hAnsi="宋体" w:eastAsia="宋体" w:cs="宋体"/>
                <w:b w:val="0"/>
                <w:bCs w:val="0"/>
                <w:i w:val="0"/>
                <w:color w:val="auto"/>
                <w:kern w:val="0"/>
                <w:sz w:val="24"/>
                <w:szCs w:val="24"/>
                <w:u w:val="none"/>
                <w:lang w:val="en-US" w:eastAsia="zh-CN" w:bidi="ar"/>
              </w:rPr>
              <w:t>13,04</w:t>
            </w:r>
            <w:r>
              <w:rPr>
                <w:rFonts w:hint="eastAsia" w:ascii="宋体" w:hAnsi="宋体" w:cs="宋体"/>
                <w:b w:val="0"/>
                <w:bCs w:val="0"/>
                <w:i w:val="0"/>
                <w:color w:val="auto"/>
                <w:kern w:val="0"/>
                <w:sz w:val="24"/>
                <w:szCs w:val="24"/>
                <w:u w:val="none"/>
                <w:lang w:val="en-US" w:eastAsia="zh-CN" w:bidi="ar"/>
              </w:rPr>
              <w:t>.</w:t>
            </w:r>
            <w:r>
              <w:rPr>
                <w:rFonts w:hint="eastAsia" w:ascii="宋体" w:hAnsi="宋体" w:eastAsia="宋体" w:cs="宋体"/>
                <w:b w:val="0"/>
                <w:bCs w:val="0"/>
                <w:i w:val="0"/>
                <w:color w:val="auto"/>
                <w:kern w:val="0"/>
                <w:sz w:val="24"/>
                <w:szCs w:val="24"/>
                <w:u w:val="none"/>
                <w:lang w:val="en-US" w:eastAsia="zh-CN" w:bidi="ar"/>
              </w:rPr>
              <w:t>9</w:t>
            </w:r>
            <w:r>
              <w:rPr>
                <w:rFonts w:hint="eastAsia" w:ascii="宋体" w:hAnsi="宋体" w:cs="宋体"/>
                <w:b w:val="0"/>
                <w:bCs w:val="0"/>
                <w:i w:val="0"/>
                <w:color w:val="auto"/>
                <w:kern w:val="0"/>
                <w:sz w:val="24"/>
                <w:szCs w:val="24"/>
                <w:u w:val="none"/>
                <w:lang w:val="en-US" w:eastAsia="zh-CN" w:bidi="ar"/>
              </w:rPr>
              <w:t>万元</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restart"/>
            <w:tcBorders>
              <w:top w:val="nil"/>
              <w:left w:val="nil"/>
              <w:bottom w:val="single" w:color="auto" w:sz="4" w:space="0"/>
              <w:right w:val="single" w:color="auto" w:sz="4" w:space="0"/>
            </w:tcBorders>
            <w:noWrap w:val="0"/>
            <w:vAlign w:val="center"/>
          </w:tcPr>
          <w:p>
            <w:pPr>
              <w:jc w:val="center"/>
              <w:rPr>
                <w:sz w:val="24"/>
                <w:szCs w:val="24"/>
              </w:rPr>
            </w:pPr>
            <w:r>
              <w:rPr>
                <w:sz w:val="24"/>
                <w:szCs w:val="24"/>
              </w:rPr>
              <w:t>项目效益指标</w:t>
            </w:r>
          </w:p>
        </w:tc>
        <w:tc>
          <w:tcPr>
            <w:tcW w:w="1658" w:type="dxa"/>
            <w:vMerge w:val="restart"/>
            <w:tcBorders>
              <w:top w:val="nil"/>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经济效益</w:t>
            </w:r>
          </w:p>
          <w:p>
            <w:pPr>
              <w:spacing w:line="360" w:lineRule="exact"/>
              <w:jc w:val="center"/>
              <w:rPr>
                <w:sz w:val="24"/>
                <w:szCs w:val="24"/>
              </w:rPr>
            </w:pPr>
            <w:r>
              <w:rPr>
                <w:sz w:val="24"/>
                <w:szCs w:val="24"/>
              </w:rPr>
              <w:t>指标</w:t>
            </w: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静态投资收益率</w:t>
            </w:r>
          </w:p>
        </w:tc>
        <w:tc>
          <w:tcPr>
            <w:tcW w:w="213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行业收益率</w:t>
            </w:r>
          </w:p>
        </w:tc>
        <w:tc>
          <w:tcPr>
            <w:tcW w:w="212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大于行业收益率</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continue"/>
            <w:tcBorders>
              <w:top w:val="nil"/>
              <w:left w:val="nil"/>
              <w:bottom w:val="single" w:color="auto" w:sz="4" w:space="0"/>
              <w:right w:val="single" w:color="auto" w:sz="4" w:space="0"/>
            </w:tcBorders>
            <w:noWrap w:val="0"/>
            <w:vAlign w:val="center"/>
          </w:tcPr>
          <w:p>
            <w:pPr>
              <w:spacing w:line="360" w:lineRule="exact"/>
              <w:jc w:val="center"/>
              <w:rPr>
                <w:sz w:val="24"/>
                <w:szCs w:val="24"/>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静态投资回收期</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行业回收期</w:t>
            </w:r>
          </w:p>
        </w:tc>
        <w:tc>
          <w:tcPr>
            <w:tcW w:w="212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小于行业回收期</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restart"/>
            <w:tcBorders>
              <w:top w:val="nil"/>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社会效益</w:t>
            </w:r>
          </w:p>
          <w:p>
            <w:pPr>
              <w:spacing w:line="360" w:lineRule="exact"/>
              <w:jc w:val="center"/>
              <w:rPr>
                <w:sz w:val="24"/>
                <w:szCs w:val="24"/>
              </w:rPr>
            </w:pPr>
            <w:r>
              <w:rPr>
                <w:sz w:val="24"/>
                <w:szCs w:val="24"/>
              </w:rPr>
              <w:t>指标</w:t>
            </w: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rFonts w:hint="eastAsia" w:eastAsia="宋体"/>
                <w:sz w:val="24"/>
                <w:szCs w:val="24"/>
                <w:lang w:val="en-US" w:eastAsia="zh-CN"/>
              </w:rPr>
            </w:pPr>
            <w:r>
              <w:rPr>
                <w:rFonts w:hint="eastAsia"/>
                <w:sz w:val="24"/>
                <w:szCs w:val="24"/>
                <w:lang w:val="en-US" w:eastAsia="zh-CN"/>
              </w:rPr>
              <w:t>保护合法权益</w:t>
            </w:r>
          </w:p>
        </w:tc>
        <w:tc>
          <w:tcPr>
            <w:tcW w:w="213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有效推进</w:t>
            </w:r>
          </w:p>
        </w:tc>
        <w:tc>
          <w:tcPr>
            <w:tcW w:w="212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有效推进</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continue"/>
            <w:tcBorders>
              <w:top w:val="nil"/>
              <w:left w:val="nil"/>
              <w:bottom w:val="single" w:color="auto" w:sz="4" w:space="0"/>
              <w:right w:val="single" w:color="auto" w:sz="4" w:space="0"/>
            </w:tcBorders>
            <w:noWrap w:val="0"/>
            <w:vAlign w:val="center"/>
          </w:tcPr>
          <w:p>
            <w:pPr>
              <w:spacing w:line="360" w:lineRule="exact"/>
              <w:jc w:val="center"/>
              <w:rPr>
                <w:sz w:val="24"/>
                <w:szCs w:val="24"/>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eastAsia="宋体"/>
                <w:sz w:val="24"/>
                <w:szCs w:val="24"/>
                <w:lang w:eastAsia="zh-CN"/>
              </w:rPr>
            </w:pPr>
            <w:r>
              <w:rPr>
                <w:rFonts w:hint="eastAsia"/>
                <w:sz w:val="24"/>
                <w:szCs w:val="24"/>
                <w:lang w:eastAsia="zh-CN"/>
              </w:rPr>
              <w:t>推进新农村建设</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有效促进</w:t>
            </w:r>
          </w:p>
        </w:tc>
        <w:tc>
          <w:tcPr>
            <w:tcW w:w="212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有效促进</w:t>
            </w:r>
          </w:p>
        </w:tc>
      </w:tr>
      <w:tr>
        <w:tblPrEx>
          <w:tblCellMar>
            <w:top w:w="0" w:type="dxa"/>
            <w:left w:w="108" w:type="dxa"/>
            <w:bottom w:w="0" w:type="dxa"/>
            <w:right w:w="108" w:type="dxa"/>
          </w:tblCellMar>
        </w:tblPrEx>
        <w:trPr>
          <w:trHeight w:val="51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restart"/>
            <w:tcBorders>
              <w:top w:val="nil"/>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生态效益</w:t>
            </w:r>
          </w:p>
          <w:p>
            <w:pPr>
              <w:spacing w:line="360" w:lineRule="exact"/>
              <w:jc w:val="center"/>
              <w:rPr>
                <w:sz w:val="24"/>
                <w:szCs w:val="24"/>
              </w:rPr>
            </w:pPr>
            <w:r>
              <w:rPr>
                <w:sz w:val="24"/>
                <w:szCs w:val="24"/>
              </w:rPr>
              <w:t>指标</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抵御灾害能力</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有效增强</w:t>
            </w:r>
          </w:p>
        </w:tc>
        <w:tc>
          <w:tcPr>
            <w:tcW w:w="212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有效增强</w:t>
            </w:r>
          </w:p>
        </w:tc>
      </w:tr>
      <w:tr>
        <w:tblPrEx>
          <w:tblCellMar>
            <w:top w:w="0" w:type="dxa"/>
            <w:left w:w="108" w:type="dxa"/>
            <w:bottom w:w="0" w:type="dxa"/>
            <w:right w:w="108" w:type="dxa"/>
          </w:tblCellMar>
        </w:tblPrEx>
        <w:trPr>
          <w:trHeight w:val="58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资源利用效率</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合理提高</w:t>
            </w:r>
          </w:p>
        </w:tc>
        <w:tc>
          <w:tcPr>
            <w:tcW w:w="212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合理提高</w:t>
            </w:r>
          </w:p>
        </w:tc>
      </w:tr>
      <w:tr>
        <w:tblPrEx>
          <w:tblCellMar>
            <w:top w:w="0" w:type="dxa"/>
            <w:left w:w="108" w:type="dxa"/>
            <w:bottom w:w="0" w:type="dxa"/>
            <w:right w:w="108" w:type="dxa"/>
          </w:tblCellMar>
        </w:tblPrEx>
        <w:trPr>
          <w:trHeight w:val="600"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restart"/>
            <w:tcBorders>
              <w:top w:val="nil"/>
              <w:left w:val="nil"/>
              <w:bottom w:val="single" w:color="auto" w:sz="4" w:space="0"/>
              <w:right w:val="single" w:color="auto" w:sz="4" w:space="0"/>
            </w:tcBorders>
            <w:noWrap w:val="0"/>
            <w:vAlign w:val="center"/>
          </w:tcPr>
          <w:p>
            <w:pPr>
              <w:spacing w:line="360" w:lineRule="exact"/>
              <w:jc w:val="center"/>
              <w:rPr>
                <w:sz w:val="24"/>
                <w:szCs w:val="24"/>
              </w:rPr>
            </w:pPr>
            <w:r>
              <w:rPr>
                <w:sz w:val="24"/>
                <w:szCs w:val="24"/>
              </w:rPr>
              <w:t>服务对象满意度指标</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lang w:eastAsia="zh-CN"/>
              </w:rPr>
              <w:t>项目</w:t>
            </w:r>
            <w:r>
              <w:rPr>
                <w:rFonts w:hint="eastAsia"/>
                <w:sz w:val="24"/>
                <w:szCs w:val="24"/>
              </w:rPr>
              <w:t>质量满意度</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满意</w:t>
            </w:r>
          </w:p>
        </w:tc>
        <w:tc>
          <w:tcPr>
            <w:tcW w:w="212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满意</w:t>
            </w:r>
          </w:p>
        </w:tc>
      </w:tr>
      <w:tr>
        <w:tblPrEx>
          <w:tblCellMar>
            <w:top w:w="0" w:type="dxa"/>
            <w:left w:w="108" w:type="dxa"/>
            <w:bottom w:w="0" w:type="dxa"/>
            <w:right w:w="108" w:type="dxa"/>
          </w:tblCellMar>
        </w:tblPrEx>
        <w:trPr>
          <w:trHeight w:val="525" w:hRule="atLeast"/>
          <w:jc w:val="center"/>
        </w:trPr>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szCs w:val="24"/>
              </w:rPr>
            </w:pPr>
          </w:p>
        </w:tc>
        <w:tc>
          <w:tcPr>
            <w:tcW w:w="909" w:type="dxa"/>
            <w:gridSpan w:val="2"/>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658" w:type="dxa"/>
            <w:vMerge w:val="continue"/>
            <w:tcBorders>
              <w:top w:val="nil"/>
              <w:left w:val="nil"/>
              <w:bottom w:val="single" w:color="auto" w:sz="4" w:space="0"/>
              <w:right w:val="single" w:color="auto" w:sz="4" w:space="0"/>
            </w:tcBorders>
            <w:noWrap w:val="0"/>
            <w:vAlign w:val="center"/>
          </w:tcPr>
          <w:p>
            <w:pPr>
              <w:widowControl/>
              <w:jc w:val="left"/>
              <w:rPr>
                <w:sz w:val="24"/>
                <w:szCs w:val="24"/>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权属</w:t>
            </w:r>
            <w:r>
              <w:rPr>
                <w:rFonts w:hint="eastAsia"/>
                <w:sz w:val="24"/>
                <w:szCs w:val="24"/>
                <w:lang w:eastAsia="zh-CN"/>
              </w:rPr>
              <w:t>调查</w:t>
            </w:r>
            <w:r>
              <w:rPr>
                <w:rFonts w:hint="eastAsia"/>
                <w:sz w:val="24"/>
                <w:szCs w:val="24"/>
              </w:rPr>
              <w:t>满意度</w:t>
            </w:r>
          </w:p>
        </w:tc>
        <w:tc>
          <w:tcPr>
            <w:tcW w:w="213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满意</w:t>
            </w:r>
          </w:p>
        </w:tc>
        <w:tc>
          <w:tcPr>
            <w:tcW w:w="2128" w:type="dxa"/>
            <w:tcBorders>
              <w:top w:val="single" w:color="auto" w:sz="4" w:space="0"/>
              <w:left w:val="nil"/>
              <w:bottom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满意</w:t>
            </w:r>
          </w:p>
        </w:tc>
      </w:tr>
      <w:tr>
        <w:tblPrEx>
          <w:tblCellMar>
            <w:top w:w="0" w:type="dxa"/>
            <w:left w:w="108" w:type="dxa"/>
            <w:bottom w:w="0" w:type="dxa"/>
            <w:right w:w="108" w:type="dxa"/>
          </w:tblCellMar>
        </w:tblPrEx>
        <w:trPr>
          <w:trHeight w:val="539" w:hRule="atLeast"/>
          <w:jc w:val="center"/>
        </w:trPr>
        <w:tc>
          <w:tcPr>
            <w:tcW w:w="23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sz w:val="24"/>
                <w:szCs w:val="24"/>
              </w:rPr>
              <w:t>绩效自评综合得分</w:t>
            </w:r>
          </w:p>
        </w:tc>
        <w:tc>
          <w:tcPr>
            <w:tcW w:w="7200" w:type="dxa"/>
            <w:gridSpan w:val="5"/>
            <w:tcBorders>
              <w:top w:val="single" w:color="auto" w:sz="4" w:space="0"/>
              <w:left w:val="nil"/>
              <w:bottom w:val="single" w:color="auto" w:sz="4" w:space="0"/>
              <w:right w:val="single" w:color="auto" w:sz="4" w:space="0"/>
            </w:tcBorders>
            <w:noWrap w:val="0"/>
            <w:vAlign w:val="center"/>
          </w:tcPr>
          <w:p>
            <w:pPr>
              <w:ind w:firstLine="600" w:firstLineChars="250"/>
              <w:rPr>
                <w:rFonts w:hint="default" w:eastAsia="宋体"/>
                <w:sz w:val="24"/>
                <w:szCs w:val="24"/>
                <w:lang w:val="en-US" w:eastAsia="zh-CN"/>
              </w:rPr>
            </w:pPr>
            <w:r>
              <w:rPr>
                <w:rFonts w:hint="eastAsia"/>
                <w:color w:val="auto"/>
                <w:sz w:val="24"/>
                <w:szCs w:val="24"/>
                <w:lang w:val="en-US" w:eastAsia="zh-CN"/>
              </w:rPr>
              <w:t>97分</w:t>
            </w:r>
          </w:p>
        </w:tc>
      </w:tr>
      <w:tr>
        <w:tblPrEx>
          <w:tblCellMar>
            <w:top w:w="0" w:type="dxa"/>
            <w:left w:w="108" w:type="dxa"/>
            <w:bottom w:w="0" w:type="dxa"/>
            <w:right w:w="108" w:type="dxa"/>
          </w:tblCellMar>
        </w:tblPrEx>
        <w:trPr>
          <w:trHeight w:val="539" w:hRule="atLeast"/>
          <w:jc w:val="center"/>
        </w:trPr>
        <w:tc>
          <w:tcPr>
            <w:tcW w:w="23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sz w:val="24"/>
                <w:szCs w:val="24"/>
              </w:rPr>
              <w:t>评价等次</w:t>
            </w:r>
          </w:p>
        </w:tc>
        <w:tc>
          <w:tcPr>
            <w:tcW w:w="7200" w:type="dxa"/>
            <w:gridSpan w:val="5"/>
            <w:tcBorders>
              <w:top w:val="single" w:color="auto" w:sz="4" w:space="0"/>
              <w:left w:val="nil"/>
              <w:bottom w:val="single" w:color="auto" w:sz="4" w:space="0"/>
              <w:right w:val="single" w:color="auto" w:sz="4" w:space="0"/>
            </w:tcBorders>
            <w:noWrap w:val="0"/>
            <w:vAlign w:val="center"/>
          </w:tcPr>
          <w:p>
            <w:pPr>
              <w:ind w:firstLine="480" w:firstLineChars="200"/>
              <w:rPr>
                <w:sz w:val="24"/>
                <w:szCs w:val="24"/>
              </w:rPr>
            </w:pPr>
            <w:r>
              <w:rPr>
                <w:rFonts w:hint="eastAsia"/>
                <w:sz w:val="24"/>
                <w:szCs w:val="24"/>
              </w:rPr>
              <w:t>优秀</w:t>
            </w:r>
          </w:p>
        </w:tc>
      </w:tr>
      <w:tr>
        <w:tblPrEx>
          <w:tblCellMar>
            <w:top w:w="0" w:type="dxa"/>
            <w:left w:w="108" w:type="dxa"/>
            <w:bottom w:w="0" w:type="dxa"/>
            <w:right w:w="108" w:type="dxa"/>
          </w:tblCellMar>
        </w:tblPrEx>
        <w:trPr>
          <w:trHeight w:val="747" w:hRule="atLeast"/>
          <w:jc w:val="center"/>
        </w:trPr>
        <w:tc>
          <w:tcPr>
            <w:tcW w:w="958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b/>
                <w:bCs/>
                <w:sz w:val="24"/>
                <w:szCs w:val="24"/>
              </w:rPr>
            </w:pPr>
            <w:r>
              <w:rPr>
                <w:b/>
                <w:bCs/>
                <w:sz w:val="24"/>
                <w:szCs w:val="24"/>
              </w:rPr>
              <w:t>四、评价人员</w:t>
            </w:r>
          </w:p>
        </w:tc>
      </w:tr>
      <w:tr>
        <w:tblPrEx>
          <w:tblCellMar>
            <w:top w:w="0" w:type="dxa"/>
            <w:left w:w="108" w:type="dxa"/>
            <w:bottom w:w="0" w:type="dxa"/>
            <w:right w:w="108" w:type="dxa"/>
          </w:tblCellMar>
        </w:tblPrEx>
        <w:trPr>
          <w:trHeight w:val="567" w:hRule="atLeast"/>
          <w:jc w:val="cent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sz w:val="24"/>
                <w:szCs w:val="24"/>
              </w:rPr>
              <w:t>姓名</w:t>
            </w:r>
          </w:p>
        </w:tc>
        <w:tc>
          <w:tcPr>
            <w:tcW w:w="2490" w:type="dxa"/>
            <w:gridSpan w:val="3"/>
            <w:tcBorders>
              <w:top w:val="single" w:color="auto" w:sz="4" w:space="0"/>
              <w:left w:val="nil"/>
              <w:bottom w:val="single" w:color="auto" w:sz="4" w:space="0"/>
              <w:right w:val="single" w:color="auto" w:sz="4" w:space="0"/>
            </w:tcBorders>
            <w:noWrap w:val="0"/>
            <w:vAlign w:val="center"/>
          </w:tcPr>
          <w:p>
            <w:pPr>
              <w:jc w:val="center"/>
              <w:rPr>
                <w:sz w:val="24"/>
                <w:szCs w:val="24"/>
              </w:rPr>
            </w:pPr>
            <w:r>
              <w:rPr>
                <w:sz w:val="24"/>
                <w:szCs w:val="24"/>
              </w:rPr>
              <w:t>职称/</w:t>
            </w:r>
            <w:r>
              <w:rPr>
                <w:rFonts w:ascii="仿宋_GB2312" w:hAnsi="仿宋_GB2312"/>
                <w:sz w:val="24"/>
                <w:szCs w:val="24"/>
              </w:rPr>
              <w:t>职务</w:t>
            </w:r>
          </w:p>
        </w:tc>
        <w:tc>
          <w:tcPr>
            <w:tcW w:w="2700" w:type="dxa"/>
            <w:gridSpan w:val="2"/>
            <w:tcBorders>
              <w:top w:val="single" w:color="auto" w:sz="4" w:space="0"/>
              <w:left w:val="nil"/>
              <w:bottom w:val="single" w:color="auto" w:sz="4" w:space="0"/>
              <w:right w:val="single" w:color="auto" w:sz="4" w:space="0"/>
            </w:tcBorders>
            <w:noWrap w:val="0"/>
            <w:vAlign w:val="center"/>
          </w:tcPr>
          <w:p>
            <w:pPr>
              <w:jc w:val="center"/>
              <w:rPr>
                <w:sz w:val="24"/>
                <w:szCs w:val="24"/>
              </w:rPr>
            </w:pPr>
            <w:r>
              <w:rPr>
                <w:sz w:val="24"/>
                <w:szCs w:val="24"/>
              </w:rPr>
              <w:t>单  位</w:t>
            </w:r>
          </w:p>
        </w:tc>
        <w:tc>
          <w:tcPr>
            <w:tcW w:w="2128"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sz w:val="24"/>
                <w:szCs w:val="24"/>
              </w:rPr>
              <w:t>签字</w:t>
            </w:r>
          </w:p>
        </w:tc>
      </w:tr>
      <w:tr>
        <w:tblPrEx>
          <w:tblCellMar>
            <w:top w:w="0" w:type="dxa"/>
            <w:left w:w="108" w:type="dxa"/>
            <w:bottom w:w="0" w:type="dxa"/>
            <w:right w:w="108" w:type="dxa"/>
          </w:tblCellMar>
        </w:tblPrEx>
        <w:trPr>
          <w:trHeight w:val="567" w:hRule="atLeast"/>
          <w:jc w:val="cent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szCs w:val="24"/>
                <w:lang w:eastAsia="zh-CN"/>
              </w:rPr>
            </w:pPr>
            <w:r>
              <w:rPr>
                <w:rFonts w:hint="eastAsia"/>
                <w:sz w:val="24"/>
                <w:szCs w:val="24"/>
                <w:lang w:eastAsia="zh-CN"/>
              </w:rPr>
              <w:t>高</w:t>
            </w:r>
            <w:r>
              <w:rPr>
                <w:rFonts w:hint="eastAsia"/>
                <w:sz w:val="24"/>
                <w:szCs w:val="24"/>
                <w:lang w:val="en-US" w:eastAsia="zh-CN"/>
              </w:rPr>
              <w:t xml:space="preserve">  </w:t>
            </w:r>
            <w:r>
              <w:rPr>
                <w:rFonts w:hint="eastAsia"/>
                <w:sz w:val="24"/>
                <w:szCs w:val="24"/>
                <w:lang w:eastAsia="zh-CN"/>
              </w:rPr>
              <w:t>铭</w:t>
            </w:r>
          </w:p>
        </w:tc>
        <w:tc>
          <w:tcPr>
            <w:tcW w:w="2490" w:type="dxa"/>
            <w:gridSpan w:val="3"/>
            <w:tcBorders>
              <w:top w:val="single" w:color="auto" w:sz="4" w:space="0"/>
              <w:left w:val="nil"/>
              <w:bottom w:val="single" w:color="auto" w:sz="4" w:space="0"/>
              <w:right w:val="single" w:color="auto" w:sz="4" w:space="0"/>
            </w:tcBorders>
            <w:noWrap w:val="0"/>
            <w:vAlign w:val="center"/>
          </w:tcPr>
          <w:p>
            <w:pPr>
              <w:jc w:val="center"/>
              <w:rPr>
                <w:rFonts w:hint="eastAsia" w:eastAsia="宋体"/>
                <w:sz w:val="24"/>
                <w:szCs w:val="24"/>
                <w:lang w:eastAsia="zh-CN"/>
              </w:rPr>
            </w:pPr>
            <w:r>
              <w:rPr>
                <w:rFonts w:hint="eastAsia"/>
                <w:sz w:val="24"/>
                <w:szCs w:val="24"/>
                <w:lang w:eastAsia="zh-CN"/>
              </w:rPr>
              <w:t>不动产登记中心主任</w:t>
            </w:r>
          </w:p>
        </w:tc>
        <w:tc>
          <w:tcPr>
            <w:tcW w:w="2700" w:type="dxa"/>
            <w:gridSpan w:val="2"/>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华容县自然资源局</w:t>
            </w:r>
          </w:p>
        </w:tc>
        <w:tc>
          <w:tcPr>
            <w:tcW w:w="2128" w:type="dxa"/>
            <w:tcBorders>
              <w:top w:val="single" w:color="auto" w:sz="4" w:space="0"/>
              <w:left w:val="nil"/>
              <w:bottom w:val="single" w:color="auto" w:sz="4" w:space="0"/>
              <w:right w:val="single" w:color="auto" w:sz="4" w:space="0"/>
            </w:tcBorders>
            <w:noWrap w:val="0"/>
            <w:vAlign w:val="center"/>
          </w:tcPr>
          <w:p>
            <w:pPr>
              <w:rPr>
                <w:sz w:val="24"/>
                <w:szCs w:val="24"/>
              </w:rPr>
            </w:pPr>
          </w:p>
        </w:tc>
      </w:tr>
      <w:tr>
        <w:tblPrEx>
          <w:tblCellMar>
            <w:top w:w="0" w:type="dxa"/>
            <w:left w:w="108" w:type="dxa"/>
            <w:bottom w:w="0" w:type="dxa"/>
            <w:right w:w="108" w:type="dxa"/>
          </w:tblCellMar>
        </w:tblPrEx>
        <w:trPr>
          <w:trHeight w:val="567" w:hRule="atLeast"/>
          <w:jc w:val="cent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szCs w:val="24"/>
                <w:lang w:eastAsia="zh-CN"/>
              </w:rPr>
            </w:pPr>
            <w:r>
              <w:rPr>
                <w:rFonts w:hint="eastAsia"/>
                <w:sz w:val="24"/>
                <w:szCs w:val="24"/>
                <w:lang w:eastAsia="zh-CN"/>
              </w:rPr>
              <w:t>陈勇</w:t>
            </w:r>
          </w:p>
        </w:tc>
        <w:tc>
          <w:tcPr>
            <w:tcW w:w="2490" w:type="dxa"/>
            <w:gridSpan w:val="3"/>
            <w:tcBorders>
              <w:top w:val="single" w:color="auto" w:sz="4" w:space="0"/>
              <w:left w:val="nil"/>
              <w:bottom w:val="single" w:color="auto" w:sz="4" w:space="0"/>
              <w:right w:val="single" w:color="auto" w:sz="4" w:space="0"/>
            </w:tcBorders>
            <w:noWrap w:val="0"/>
            <w:vAlign w:val="center"/>
          </w:tcPr>
          <w:p>
            <w:pPr>
              <w:jc w:val="center"/>
              <w:rPr>
                <w:rFonts w:hint="eastAsia"/>
                <w:sz w:val="24"/>
                <w:szCs w:val="24"/>
                <w:lang w:eastAsia="zh-CN"/>
              </w:rPr>
            </w:pPr>
            <w:r>
              <w:rPr>
                <w:rFonts w:hint="eastAsia"/>
                <w:sz w:val="24"/>
                <w:szCs w:val="24"/>
                <w:lang w:eastAsia="zh-CN"/>
              </w:rPr>
              <w:t>确权登记股股长</w:t>
            </w:r>
          </w:p>
        </w:tc>
        <w:tc>
          <w:tcPr>
            <w:tcW w:w="2700"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24"/>
                <w:szCs w:val="24"/>
              </w:rPr>
            </w:pPr>
            <w:r>
              <w:rPr>
                <w:rFonts w:hint="eastAsia"/>
                <w:sz w:val="24"/>
                <w:szCs w:val="24"/>
              </w:rPr>
              <w:t>华容县自然资源局</w:t>
            </w:r>
          </w:p>
        </w:tc>
        <w:tc>
          <w:tcPr>
            <w:tcW w:w="2128" w:type="dxa"/>
            <w:tcBorders>
              <w:top w:val="single" w:color="auto" w:sz="4" w:space="0"/>
              <w:left w:val="nil"/>
              <w:bottom w:val="single" w:color="auto" w:sz="4" w:space="0"/>
              <w:right w:val="single" w:color="auto" w:sz="4" w:space="0"/>
            </w:tcBorders>
            <w:noWrap w:val="0"/>
            <w:vAlign w:val="center"/>
          </w:tcPr>
          <w:p>
            <w:pPr>
              <w:rPr>
                <w:sz w:val="24"/>
                <w:szCs w:val="24"/>
              </w:rPr>
            </w:pPr>
          </w:p>
        </w:tc>
      </w:tr>
      <w:tr>
        <w:tblPrEx>
          <w:tblCellMar>
            <w:top w:w="0" w:type="dxa"/>
            <w:left w:w="108" w:type="dxa"/>
            <w:bottom w:w="0" w:type="dxa"/>
            <w:right w:w="108" w:type="dxa"/>
          </w:tblCellMar>
        </w:tblPrEx>
        <w:trPr>
          <w:trHeight w:val="567" w:hRule="atLeast"/>
          <w:jc w:val="cent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rFonts w:hint="eastAsia"/>
                <w:sz w:val="24"/>
                <w:szCs w:val="24"/>
              </w:rPr>
              <w:t>孙立华</w:t>
            </w:r>
          </w:p>
        </w:tc>
        <w:tc>
          <w:tcPr>
            <w:tcW w:w="2490" w:type="dxa"/>
            <w:gridSpan w:val="3"/>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财务股股长</w:t>
            </w:r>
          </w:p>
        </w:tc>
        <w:tc>
          <w:tcPr>
            <w:tcW w:w="2700" w:type="dxa"/>
            <w:gridSpan w:val="2"/>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华容县自然资源局</w:t>
            </w:r>
          </w:p>
        </w:tc>
        <w:tc>
          <w:tcPr>
            <w:tcW w:w="2128" w:type="dxa"/>
            <w:tcBorders>
              <w:top w:val="single" w:color="auto" w:sz="4" w:space="0"/>
              <w:left w:val="nil"/>
              <w:bottom w:val="single" w:color="auto" w:sz="4" w:space="0"/>
              <w:right w:val="single" w:color="auto" w:sz="4" w:space="0"/>
            </w:tcBorders>
            <w:noWrap w:val="0"/>
            <w:vAlign w:val="center"/>
          </w:tcPr>
          <w:p>
            <w:pPr>
              <w:rPr>
                <w:sz w:val="24"/>
                <w:szCs w:val="24"/>
              </w:rPr>
            </w:pPr>
          </w:p>
        </w:tc>
      </w:tr>
      <w:tr>
        <w:tblPrEx>
          <w:tblCellMar>
            <w:top w:w="0" w:type="dxa"/>
            <w:left w:w="108" w:type="dxa"/>
            <w:bottom w:w="0" w:type="dxa"/>
            <w:right w:w="108" w:type="dxa"/>
          </w:tblCellMar>
        </w:tblPrEx>
        <w:trPr>
          <w:trHeight w:val="567" w:hRule="atLeast"/>
          <w:jc w:val="cent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rFonts w:hint="eastAsia"/>
                <w:sz w:val="24"/>
                <w:szCs w:val="24"/>
              </w:rPr>
              <w:t>严</w:t>
            </w:r>
            <w:r>
              <w:rPr>
                <w:rFonts w:hint="eastAsia"/>
                <w:sz w:val="24"/>
                <w:szCs w:val="24"/>
                <w:lang w:val="en-US" w:eastAsia="zh-CN"/>
              </w:rPr>
              <w:t xml:space="preserve"> </w:t>
            </w:r>
            <w:r>
              <w:rPr>
                <w:rFonts w:hint="eastAsia"/>
                <w:sz w:val="24"/>
                <w:szCs w:val="24"/>
              </w:rPr>
              <w:t>聪</w:t>
            </w:r>
          </w:p>
        </w:tc>
        <w:tc>
          <w:tcPr>
            <w:tcW w:w="2490" w:type="dxa"/>
            <w:gridSpan w:val="3"/>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ascii="仿宋_GB2312" w:hAnsi="仿宋_GB2312"/>
                <w:color w:val="000000"/>
                <w:sz w:val="24"/>
                <w:szCs w:val="24"/>
              </w:rPr>
              <w:t>纪检监察室主任</w:t>
            </w:r>
          </w:p>
        </w:tc>
        <w:tc>
          <w:tcPr>
            <w:tcW w:w="2700" w:type="dxa"/>
            <w:gridSpan w:val="2"/>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hint="eastAsia"/>
                <w:sz w:val="24"/>
                <w:szCs w:val="24"/>
              </w:rPr>
              <w:t>华容县自然资源局</w:t>
            </w:r>
          </w:p>
        </w:tc>
        <w:tc>
          <w:tcPr>
            <w:tcW w:w="2128" w:type="dxa"/>
            <w:tcBorders>
              <w:top w:val="single" w:color="auto" w:sz="4" w:space="0"/>
              <w:left w:val="nil"/>
              <w:bottom w:val="single" w:color="auto" w:sz="4" w:space="0"/>
              <w:right w:val="single" w:color="auto" w:sz="4" w:space="0"/>
            </w:tcBorders>
            <w:noWrap w:val="0"/>
            <w:vAlign w:val="center"/>
          </w:tcPr>
          <w:p>
            <w:pPr>
              <w:rPr>
                <w:sz w:val="24"/>
                <w:szCs w:val="24"/>
              </w:rPr>
            </w:pPr>
          </w:p>
        </w:tc>
      </w:tr>
      <w:tr>
        <w:tblPrEx>
          <w:tblCellMar>
            <w:top w:w="0" w:type="dxa"/>
            <w:left w:w="108" w:type="dxa"/>
            <w:bottom w:w="0" w:type="dxa"/>
            <w:right w:w="108" w:type="dxa"/>
          </w:tblCellMar>
        </w:tblPrEx>
        <w:trPr>
          <w:trHeight w:val="1510" w:hRule="atLeast"/>
          <w:jc w:val="center"/>
        </w:trPr>
        <w:tc>
          <w:tcPr>
            <w:tcW w:w="9582"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24"/>
                <w:szCs w:val="24"/>
              </w:rPr>
            </w:pPr>
            <w:r>
              <w:rPr>
                <w:sz w:val="24"/>
                <w:szCs w:val="24"/>
              </w:rPr>
              <w:t xml:space="preserve">评价组组长（签字）：         </w:t>
            </w:r>
          </w:p>
          <w:p>
            <w:pPr>
              <w:spacing w:line="440" w:lineRule="exact"/>
              <w:rPr>
                <w:sz w:val="24"/>
                <w:szCs w:val="24"/>
              </w:rPr>
            </w:pPr>
          </w:p>
          <w:p>
            <w:pPr>
              <w:spacing w:line="440" w:lineRule="exact"/>
              <w:rPr>
                <w:sz w:val="24"/>
                <w:szCs w:val="24"/>
              </w:rPr>
            </w:pPr>
            <w:r>
              <w:rPr>
                <w:sz w:val="24"/>
                <w:szCs w:val="24"/>
              </w:rPr>
              <w:t xml:space="preserve">                                                              年   月   日</w:t>
            </w:r>
          </w:p>
        </w:tc>
      </w:tr>
      <w:tr>
        <w:tblPrEx>
          <w:tblCellMar>
            <w:top w:w="0" w:type="dxa"/>
            <w:left w:w="108" w:type="dxa"/>
            <w:bottom w:w="0" w:type="dxa"/>
            <w:right w:w="108" w:type="dxa"/>
          </w:tblCellMar>
        </w:tblPrEx>
        <w:trPr>
          <w:trHeight w:val="2055" w:hRule="atLeast"/>
          <w:jc w:val="center"/>
        </w:trPr>
        <w:tc>
          <w:tcPr>
            <w:tcW w:w="9582"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sz w:val="24"/>
                <w:szCs w:val="24"/>
              </w:rPr>
            </w:pPr>
            <w:r>
              <w:rPr>
                <w:sz w:val="24"/>
                <w:szCs w:val="24"/>
              </w:rPr>
              <w:t>项目单位意见：</w:t>
            </w:r>
          </w:p>
          <w:p>
            <w:pPr>
              <w:spacing w:line="440" w:lineRule="exact"/>
              <w:rPr>
                <w:sz w:val="24"/>
                <w:szCs w:val="24"/>
              </w:rPr>
            </w:pPr>
          </w:p>
          <w:p>
            <w:pPr>
              <w:spacing w:line="440" w:lineRule="exact"/>
              <w:rPr>
                <w:sz w:val="24"/>
                <w:szCs w:val="24"/>
              </w:rPr>
            </w:pPr>
            <w:r>
              <w:rPr>
                <w:sz w:val="24"/>
                <w:szCs w:val="24"/>
              </w:rPr>
              <w:t xml:space="preserve">                                                项目单位负责人（签章）：</w:t>
            </w:r>
          </w:p>
          <w:p>
            <w:pPr>
              <w:spacing w:line="440" w:lineRule="exact"/>
              <w:rPr>
                <w:sz w:val="24"/>
                <w:szCs w:val="24"/>
              </w:rPr>
            </w:pPr>
            <w:r>
              <w:rPr>
                <w:sz w:val="24"/>
                <w:szCs w:val="24"/>
              </w:rPr>
              <w:t xml:space="preserve">                                                              年   月   日</w:t>
            </w:r>
          </w:p>
        </w:tc>
      </w:tr>
      <w:tr>
        <w:tblPrEx>
          <w:tblCellMar>
            <w:top w:w="0" w:type="dxa"/>
            <w:left w:w="108" w:type="dxa"/>
            <w:bottom w:w="0" w:type="dxa"/>
            <w:right w:w="108" w:type="dxa"/>
          </w:tblCellMar>
        </w:tblPrEx>
        <w:trPr>
          <w:trHeight w:val="1920" w:hRule="atLeast"/>
          <w:jc w:val="center"/>
        </w:trPr>
        <w:tc>
          <w:tcPr>
            <w:tcW w:w="9582"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sz w:val="24"/>
                <w:szCs w:val="24"/>
              </w:rPr>
            </w:pPr>
            <w:r>
              <w:rPr>
                <w:sz w:val="24"/>
                <w:szCs w:val="24"/>
              </w:rPr>
              <w:t>主管部门意见：</w:t>
            </w:r>
          </w:p>
          <w:p>
            <w:pPr>
              <w:spacing w:line="440" w:lineRule="exact"/>
              <w:rPr>
                <w:sz w:val="24"/>
                <w:szCs w:val="24"/>
              </w:rPr>
            </w:pPr>
          </w:p>
          <w:p>
            <w:pPr>
              <w:spacing w:line="440" w:lineRule="exact"/>
              <w:rPr>
                <w:sz w:val="24"/>
                <w:szCs w:val="24"/>
              </w:rPr>
            </w:pPr>
            <w:r>
              <w:rPr>
                <w:sz w:val="24"/>
                <w:szCs w:val="24"/>
              </w:rPr>
              <w:t xml:space="preserve">                                              主管部门负责人（签章）：</w:t>
            </w:r>
          </w:p>
          <w:p>
            <w:pPr>
              <w:spacing w:line="440" w:lineRule="exact"/>
              <w:rPr>
                <w:sz w:val="24"/>
                <w:szCs w:val="24"/>
              </w:rPr>
            </w:pPr>
            <w:r>
              <w:rPr>
                <w:sz w:val="24"/>
                <w:szCs w:val="24"/>
              </w:rPr>
              <w:t xml:space="preserve">                                                              年   月   日</w:t>
            </w:r>
          </w:p>
        </w:tc>
      </w:tr>
      <w:tr>
        <w:tblPrEx>
          <w:tblCellMar>
            <w:top w:w="0" w:type="dxa"/>
            <w:left w:w="108" w:type="dxa"/>
            <w:bottom w:w="0" w:type="dxa"/>
            <w:right w:w="108" w:type="dxa"/>
          </w:tblCellMar>
        </w:tblPrEx>
        <w:trPr>
          <w:trHeight w:val="1192" w:hRule="atLeast"/>
          <w:jc w:val="center"/>
        </w:trPr>
        <w:tc>
          <w:tcPr>
            <w:tcW w:w="9582"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sz w:val="24"/>
                <w:szCs w:val="24"/>
              </w:rPr>
            </w:pPr>
            <w:r>
              <w:rPr>
                <w:sz w:val="24"/>
                <w:szCs w:val="24"/>
              </w:rPr>
              <w:t>财政部门归口业务</w:t>
            </w:r>
            <w:r>
              <w:rPr>
                <w:rFonts w:hint="eastAsia"/>
                <w:sz w:val="24"/>
                <w:szCs w:val="24"/>
              </w:rPr>
              <w:t>股</w:t>
            </w:r>
            <w:r>
              <w:rPr>
                <w:sz w:val="24"/>
                <w:szCs w:val="24"/>
              </w:rPr>
              <w:t>室意见：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财政部门归口业务</w:t>
            </w:r>
            <w:r>
              <w:rPr>
                <w:rFonts w:hint="eastAsia"/>
                <w:sz w:val="24"/>
                <w:szCs w:val="24"/>
              </w:rPr>
              <w:t>股</w:t>
            </w:r>
            <w:r>
              <w:rPr>
                <w:sz w:val="24"/>
                <w:szCs w:val="24"/>
              </w:rPr>
              <w:t>室负责人（签章）：</w:t>
            </w:r>
          </w:p>
          <w:p>
            <w:pPr>
              <w:spacing w:line="440" w:lineRule="exact"/>
              <w:rPr>
                <w:sz w:val="24"/>
                <w:szCs w:val="24"/>
              </w:rPr>
            </w:pPr>
            <w:r>
              <w:rPr>
                <w:sz w:val="24"/>
                <w:szCs w:val="24"/>
              </w:rPr>
              <w:t xml:space="preserve">                                                              年   月   日</w:t>
            </w:r>
          </w:p>
        </w:tc>
      </w:tr>
    </w:tbl>
    <w:p>
      <w:pPr>
        <w:rPr>
          <w:sz w:val="28"/>
          <w:szCs w:val="28"/>
        </w:rPr>
      </w:pPr>
      <w:r>
        <w:rPr>
          <w:rFonts w:ascii="仿宋_GB2312" w:hAnsi="仿宋_GB2312"/>
          <w:sz w:val="28"/>
          <w:szCs w:val="28"/>
        </w:rPr>
        <w:t>填报人（签名）：</w:t>
      </w:r>
      <w:r>
        <w:rPr>
          <w:sz w:val="28"/>
          <w:szCs w:val="28"/>
        </w:rPr>
        <w:t xml:space="preserve">                   </w:t>
      </w:r>
      <w:r>
        <w:rPr>
          <w:rFonts w:ascii="仿宋_GB2312" w:hAnsi="仿宋_GB2312"/>
          <w:sz w:val="28"/>
          <w:szCs w:val="28"/>
        </w:rPr>
        <w:t>联系电话：</w:t>
      </w:r>
    </w:p>
    <w:tbl>
      <w:tblPr>
        <w:tblStyle w:val="4"/>
        <w:tblW w:w="9369" w:type="dxa"/>
        <w:jc w:val="center"/>
        <w:tblLayout w:type="fixed"/>
        <w:tblCellMar>
          <w:top w:w="0" w:type="dxa"/>
          <w:left w:w="108" w:type="dxa"/>
          <w:bottom w:w="0" w:type="dxa"/>
          <w:right w:w="108" w:type="dxa"/>
        </w:tblCellMar>
      </w:tblPr>
      <w:tblGrid>
        <w:gridCol w:w="9369"/>
      </w:tblGrid>
      <w:tr>
        <w:tblPrEx>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noWrap w:val="0"/>
            <w:vAlign w:val="top"/>
          </w:tcPr>
          <w:p>
            <w:pPr>
              <w:jc w:val="center"/>
              <w:rPr>
                <w:b/>
                <w:bCs/>
                <w:sz w:val="28"/>
                <w:szCs w:val="28"/>
              </w:rPr>
            </w:pPr>
            <w:r>
              <w:rPr>
                <w:b/>
                <w:bCs/>
                <w:sz w:val="28"/>
                <w:szCs w:val="28"/>
              </w:rPr>
              <w:t>五、评价报告综述</w:t>
            </w:r>
          </w:p>
          <w:p>
            <w:pPr>
              <w:pStyle w:val="8"/>
              <w:numPr>
                <w:ilvl w:val="0"/>
                <w:numId w:val="4"/>
              </w:numPr>
              <w:spacing w:line="560" w:lineRule="exact"/>
              <w:ind w:firstLineChars="0"/>
              <w:rPr>
                <w:b/>
                <w:bCs/>
                <w:sz w:val="24"/>
                <w:szCs w:val="24"/>
              </w:rPr>
            </w:pPr>
            <w:r>
              <w:rPr>
                <w:b/>
                <w:bCs/>
                <w:sz w:val="24"/>
                <w:szCs w:val="24"/>
              </w:rPr>
              <w:t>项目基本概况</w:t>
            </w:r>
          </w:p>
          <w:p>
            <w:pPr>
              <w:spacing w:line="560" w:lineRule="exact"/>
              <w:ind w:firstLine="480" w:firstLineChars="200"/>
              <w:rPr>
                <w:rFonts w:hint="eastAsia" w:ascii="宋体" w:hAnsi="宋体" w:eastAsia="宋体" w:cs="仿宋_GB2312"/>
                <w:sz w:val="24"/>
                <w:szCs w:val="24"/>
                <w:lang w:val="en-US" w:eastAsia="zh-CN"/>
              </w:rPr>
            </w:pPr>
            <w:r>
              <w:rPr>
                <w:rFonts w:hint="eastAsia" w:ascii="宋体" w:hAnsi="宋体" w:eastAsia="宋体" w:cs="仿宋_GB2312"/>
                <w:sz w:val="24"/>
                <w:szCs w:val="24"/>
                <w:lang w:eastAsia="zh-CN"/>
              </w:rPr>
              <w:t>根据湖南省自然资源厅《关于印发</w:t>
            </w:r>
            <w:r>
              <w:rPr>
                <w:rFonts w:hint="eastAsia" w:ascii="宋体" w:hAnsi="宋体" w:eastAsia="宋体" w:cs="仿宋_GB2312"/>
                <w:sz w:val="24"/>
                <w:szCs w:val="24"/>
                <w:lang w:val="en-US" w:eastAsia="zh-CN"/>
              </w:rPr>
              <w:t>&lt;湖南省农村宅基地房地一体确权登记颁证工作实施方案&gt;的通知</w:t>
            </w:r>
            <w:r>
              <w:rPr>
                <w:rFonts w:hint="eastAsia" w:ascii="宋体" w:hAnsi="宋体" w:eastAsia="宋体" w:cs="仿宋_GB2312"/>
                <w:sz w:val="24"/>
                <w:szCs w:val="24"/>
                <w:lang w:eastAsia="zh-CN"/>
              </w:rPr>
              <w:t>》（湘自然资发</w:t>
            </w:r>
            <w:r>
              <w:rPr>
                <w:rFonts w:hint="eastAsia" w:ascii="宋体" w:hAnsi="宋体" w:eastAsia="宋体" w:cs="仿宋_GB2312"/>
                <w:sz w:val="24"/>
                <w:szCs w:val="24"/>
                <w:lang w:val="en-US" w:eastAsia="zh-CN"/>
              </w:rPr>
              <w:t>[2019]29号</w:t>
            </w:r>
            <w:r>
              <w:rPr>
                <w:rFonts w:hint="eastAsia" w:ascii="宋体" w:hAnsi="宋体" w:eastAsia="宋体" w:cs="仿宋_GB2312"/>
                <w:sz w:val="24"/>
                <w:szCs w:val="24"/>
                <w:lang w:eastAsia="zh-CN"/>
              </w:rPr>
              <w:t>）、华容县人民政府办公室《关于印发</w:t>
            </w:r>
            <w:r>
              <w:rPr>
                <w:rFonts w:hint="eastAsia" w:ascii="宋体" w:hAnsi="宋体" w:eastAsia="宋体" w:cs="仿宋_GB2312"/>
                <w:sz w:val="24"/>
                <w:szCs w:val="24"/>
                <w:lang w:val="en-US" w:eastAsia="zh-CN"/>
              </w:rPr>
              <w:t>&lt;华容县农村宅基地和集体建设用地房地一体确权登记工作实施方案&gt;的通知</w:t>
            </w:r>
            <w:r>
              <w:rPr>
                <w:rFonts w:hint="eastAsia" w:ascii="宋体" w:hAnsi="宋体" w:eastAsia="宋体" w:cs="仿宋_GB2312"/>
                <w:sz w:val="24"/>
                <w:szCs w:val="24"/>
                <w:lang w:eastAsia="zh-CN"/>
              </w:rPr>
              <w:t>》（华政办函【</w:t>
            </w:r>
            <w:r>
              <w:rPr>
                <w:rFonts w:hint="eastAsia" w:ascii="宋体" w:hAnsi="宋体" w:eastAsia="宋体" w:cs="仿宋_GB2312"/>
                <w:sz w:val="24"/>
                <w:szCs w:val="24"/>
                <w:lang w:val="en-US" w:eastAsia="zh-CN"/>
              </w:rPr>
              <w:t>2020</w:t>
            </w: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7号</w:t>
            </w:r>
            <w:r>
              <w:rPr>
                <w:rFonts w:hint="eastAsia" w:ascii="宋体" w:hAnsi="宋体" w:eastAsia="宋体" w:cs="仿宋_GB2312"/>
                <w:sz w:val="24"/>
                <w:szCs w:val="24"/>
                <w:lang w:eastAsia="zh-CN"/>
              </w:rPr>
              <w:t>）等相关文件</w:t>
            </w:r>
            <w:r>
              <w:rPr>
                <w:rFonts w:hint="eastAsia" w:ascii="宋体" w:hAnsi="宋体" w:cs="仿宋_GB2312"/>
                <w:sz w:val="24"/>
                <w:szCs w:val="24"/>
                <w:lang w:eastAsia="zh-CN"/>
              </w:rPr>
              <w:t>及县政府第</w:t>
            </w:r>
            <w:r>
              <w:rPr>
                <w:rFonts w:hint="eastAsia" w:ascii="宋体" w:hAnsi="宋体" w:cs="仿宋_GB2312"/>
                <w:sz w:val="24"/>
                <w:szCs w:val="24"/>
                <w:lang w:val="en-US" w:eastAsia="zh-CN"/>
              </w:rPr>
              <w:t>35次常务会议</w:t>
            </w:r>
            <w:r>
              <w:rPr>
                <w:rFonts w:hint="eastAsia" w:ascii="宋体" w:hAnsi="宋体" w:eastAsia="宋体" w:cs="仿宋_GB2312"/>
                <w:sz w:val="24"/>
                <w:szCs w:val="24"/>
                <w:lang w:eastAsia="zh-CN"/>
              </w:rPr>
              <w:t>精神，完成全县</w:t>
            </w:r>
            <w:r>
              <w:rPr>
                <w:rFonts w:hint="eastAsia" w:ascii="宋体" w:hAnsi="宋体" w:eastAsia="宋体" w:cs="仿宋_GB2312"/>
                <w:sz w:val="24"/>
                <w:szCs w:val="24"/>
                <w:lang w:val="en-US" w:eastAsia="zh-CN"/>
              </w:rPr>
              <w:t>农村宅基地和集体建设用地不动产权籍调查和颁证工作，基本建成农村不动产登记基础数据库，实现不动产登记城乡全覆盖。</w:t>
            </w:r>
            <w:r>
              <w:rPr>
                <w:rFonts w:hint="eastAsia" w:ascii="宋体" w:hAnsi="宋体" w:eastAsia="宋体" w:cs="仿宋_GB2312"/>
                <w:sz w:val="24"/>
                <w:szCs w:val="24"/>
                <w:lang w:eastAsia="zh-CN"/>
              </w:rPr>
              <w:t>我</w:t>
            </w:r>
            <w:r>
              <w:rPr>
                <w:rFonts w:hint="eastAsia" w:ascii="宋体" w:hAnsi="宋体" w:eastAsia="宋体" w:cs="仿宋_GB2312"/>
                <w:sz w:val="24"/>
                <w:szCs w:val="24"/>
              </w:rPr>
              <w:t>县14个乡镇通过公开招投标9个</w:t>
            </w:r>
            <w:r>
              <w:rPr>
                <w:rFonts w:hint="eastAsia" w:ascii="宋体" w:hAnsi="宋体" w:cs="仿宋_GB2312"/>
                <w:sz w:val="24"/>
                <w:szCs w:val="24"/>
                <w:lang w:eastAsia="zh-CN"/>
              </w:rPr>
              <w:t>项目实施</w:t>
            </w:r>
            <w:r>
              <w:rPr>
                <w:rFonts w:hint="eastAsia" w:ascii="宋体" w:hAnsi="宋体" w:eastAsia="宋体" w:cs="仿宋_GB2312"/>
                <w:sz w:val="24"/>
                <w:szCs w:val="24"/>
              </w:rPr>
              <w:t>标</w:t>
            </w:r>
            <w:r>
              <w:rPr>
                <w:rFonts w:hint="eastAsia" w:ascii="宋体" w:hAnsi="宋体" w:eastAsia="宋体" w:cs="仿宋_GB2312"/>
                <w:sz w:val="24"/>
                <w:szCs w:val="24"/>
                <w:lang w:eastAsia="zh-CN"/>
              </w:rPr>
              <w:t>和</w:t>
            </w:r>
            <w:r>
              <w:rPr>
                <w:rFonts w:hint="eastAsia" w:ascii="宋体" w:hAnsi="宋体" w:eastAsia="宋体" w:cs="仿宋_GB2312"/>
                <w:sz w:val="24"/>
                <w:szCs w:val="24"/>
                <w:lang w:val="en-US" w:eastAsia="zh-CN"/>
              </w:rPr>
              <w:t>1个监理标</w:t>
            </w:r>
            <w:r>
              <w:rPr>
                <w:rFonts w:hint="eastAsia" w:ascii="宋体" w:hAnsi="宋体" w:eastAsia="宋体" w:cs="仿宋_GB2312"/>
                <w:sz w:val="24"/>
                <w:szCs w:val="24"/>
              </w:rPr>
              <w:t>同时推进，农村宅基地和集体建设用地</w:t>
            </w:r>
            <w:r>
              <w:rPr>
                <w:rFonts w:hint="eastAsia" w:ascii="宋体" w:hAnsi="宋体" w:eastAsia="宋体" w:cs="仿宋_GB2312"/>
                <w:sz w:val="24"/>
                <w:szCs w:val="24"/>
                <w:lang w:eastAsia="zh-CN"/>
              </w:rPr>
              <w:t>共</w:t>
            </w:r>
            <w:r>
              <w:rPr>
                <w:rFonts w:hint="eastAsia" w:ascii="宋体" w:hAnsi="宋体" w:eastAsia="宋体" w:cs="仿宋_GB2312"/>
                <w:sz w:val="24"/>
                <w:szCs w:val="24"/>
              </w:rPr>
              <w:t>129397宗，其中宅基地128215宗，集体建设用地1182宗。</w:t>
            </w:r>
          </w:p>
          <w:p>
            <w:pPr>
              <w:numPr>
                <w:ilvl w:val="0"/>
                <w:numId w:val="4"/>
              </w:numPr>
              <w:spacing w:line="560" w:lineRule="exact"/>
              <w:ind w:left="1680" w:leftChars="0" w:hanging="1080" w:firstLineChars="0"/>
              <w:rPr>
                <w:b/>
                <w:bCs/>
                <w:sz w:val="24"/>
                <w:szCs w:val="24"/>
              </w:rPr>
            </w:pPr>
            <w:r>
              <w:rPr>
                <w:b/>
                <w:bCs/>
                <w:sz w:val="24"/>
                <w:szCs w:val="24"/>
              </w:rPr>
              <w:t>项目资金使用及管理情况</w:t>
            </w:r>
          </w:p>
          <w:p>
            <w:pPr>
              <w:numPr>
                <w:ilvl w:val="0"/>
                <w:numId w:val="0"/>
              </w:numPr>
              <w:spacing w:line="560" w:lineRule="exact"/>
              <w:rPr>
                <w:rFonts w:hint="eastAsia" w:ascii="宋体" w:hAnsi="宋体" w:eastAsia="宋体" w:cs="仿宋_GB2312"/>
                <w:sz w:val="24"/>
                <w:szCs w:val="24"/>
              </w:rPr>
            </w:pPr>
            <w:r>
              <w:rPr>
                <w:rFonts w:hint="eastAsia"/>
                <w:sz w:val="24"/>
                <w:szCs w:val="24"/>
                <w:lang w:val="en-US" w:eastAsia="zh-CN"/>
              </w:rPr>
              <w:t xml:space="preserve">    根据县财政投资评审中心《关于对华容县农村宅基地和集体建设用地“房地一体”确权登记工作技术项目经费用的建议》和县自然资源局《华容县华容县农村宅基地和集体建设用地房地一体确权登记项目分标和设备添置及工作经费预算方案》等文件确定。该项目全县14个乡镇划分10个标段，其中9个项目实施标段和1个项目监理标段。项目总预算技术服务费用为4198.25万元，其中包括9个实施标段的技术设计、数据汇总和房地一体调查发证费用4057.25万元，1个监理标段的成果监理及数据合计性审查工作费用141万元。现已拨付9个实施标段技术服务费用1268.7万元，1个监理标段监理服务费用36.2万元，共计1304.9万元。项</w:t>
            </w:r>
            <w:r>
              <w:rPr>
                <w:rFonts w:hint="eastAsia" w:ascii="宋体" w:hAnsi="宋体" w:eastAsia="宋体" w:cs="仿宋_GB2312"/>
                <w:sz w:val="24"/>
                <w:szCs w:val="24"/>
              </w:rPr>
              <w:t>目资金</w:t>
            </w:r>
            <w:r>
              <w:rPr>
                <w:rFonts w:hint="eastAsia" w:ascii="宋体" w:hAnsi="宋体" w:eastAsia="宋体" w:cs="仿宋_GB2312"/>
                <w:sz w:val="24"/>
                <w:szCs w:val="24"/>
                <w:lang w:eastAsia="zh-CN"/>
              </w:rPr>
              <w:t>实行专款专用，</w:t>
            </w:r>
            <w:r>
              <w:rPr>
                <w:rFonts w:hint="eastAsia" w:ascii="宋体" w:hAnsi="宋体" w:eastAsia="宋体" w:cs="仿宋_GB2312"/>
                <w:sz w:val="24"/>
                <w:szCs w:val="24"/>
              </w:rPr>
              <w:t>项目工程款严格按照程序审批拨付，项目资金无弄虚作假、截留、拆借挤占等现象。</w:t>
            </w:r>
          </w:p>
          <w:p>
            <w:pPr>
              <w:pStyle w:val="8"/>
              <w:numPr>
                <w:ilvl w:val="0"/>
                <w:numId w:val="4"/>
              </w:numPr>
              <w:spacing w:line="560" w:lineRule="exact"/>
              <w:ind w:firstLineChars="0"/>
              <w:rPr>
                <w:b/>
                <w:bCs/>
                <w:sz w:val="24"/>
                <w:szCs w:val="24"/>
              </w:rPr>
            </w:pPr>
            <w:r>
              <w:rPr>
                <w:b/>
                <w:bCs/>
                <w:sz w:val="24"/>
                <w:szCs w:val="24"/>
              </w:rPr>
              <w:t>项目组织实施情况</w:t>
            </w:r>
          </w:p>
          <w:p>
            <w:pPr>
              <w:numPr>
                <w:ilvl w:val="0"/>
                <w:numId w:val="0"/>
              </w:numPr>
              <w:spacing w:line="560" w:lineRule="exact"/>
              <w:rPr>
                <w:rFonts w:hint="eastAsia"/>
                <w:sz w:val="24"/>
                <w:szCs w:val="24"/>
                <w:lang w:val="en-US" w:eastAsia="zh-CN"/>
              </w:rPr>
            </w:pPr>
            <w:r>
              <w:rPr>
                <w:rFonts w:hint="eastAsia"/>
                <w:sz w:val="24"/>
                <w:szCs w:val="24"/>
                <w:lang w:val="en-US" w:eastAsia="zh-CN"/>
              </w:rPr>
              <w:t xml:space="preserve">    认真贯彻落实省、市关于农村房地一体确权登记的文件和会议精神，坚持党委政府主导、自然部门牵头、技术单位承办、乡镇组织实施、村组带队入户、监理单位监管、领导小组督办的模式，全面深入，全力推进农村宅基地和集体建设用地房地一体确权登记工作。为加强项目的组织实施：一是政府常务会议专题研究；二是成立高规格的领导小组；三是县乡先后召开专题会议部署推进；四是制订出台相关政策文件。为加快项目的推进，采取8种过硬措施：一是实行日报周报；二是实行任务倒排。三是实行监理监管。四是实行属地管理。五是实行定期督查。六是实行责任包干。七是实行合同约束。八是实行领导约谈。2020年底，全省项目完成情况评比，全市排第一名，全省排第三名。</w:t>
            </w:r>
          </w:p>
          <w:p>
            <w:pPr>
              <w:numPr>
                <w:ilvl w:val="0"/>
                <w:numId w:val="4"/>
              </w:numPr>
              <w:adjustRightInd w:val="0"/>
              <w:snapToGrid w:val="0"/>
              <w:spacing w:line="540" w:lineRule="exact"/>
              <w:outlineLvl w:val="0"/>
              <w:rPr>
                <w:b/>
                <w:bCs/>
                <w:sz w:val="24"/>
                <w:szCs w:val="24"/>
              </w:rPr>
            </w:pPr>
            <w:r>
              <w:rPr>
                <w:b/>
                <w:bCs/>
                <w:sz w:val="24"/>
                <w:szCs w:val="24"/>
              </w:rPr>
              <w:t>综合评价情况及评价结论</w:t>
            </w:r>
          </w:p>
          <w:p>
            <w:pPr>
              <w:spacing w:line="60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该项工作于20</w:t>
            </w:r>
            <w:r>
              <w:rPr>
                <w:rFonts w:hint="eastAsia" w:ascii="宋体" w:hAnsi="宋体" w:cs="仿宋_GB2312"/>
                <w:sz w:val="24"/>
                <w:szCs w:val="24"/>
                <w:lang w:val="en-US" w:eastAsia="zh-CN"/>
              </w:rPr>
              <w:t>20</w:t>
            </w:r>
            <w:r>
              <w:rPr>
                <w:rFonts w:hint="eastAsia" w:ascii="宋体" w:hAnsi="宋体" w:eastAsia="宋体" w:cs="仿宋_GB2312"/>
                <w:sz w:val="24"/>
                <w:szCs w:val="24"/>
              </w:rPr>
              <w:t>年5月开始启动，由县</w:t>
            </w:r>
            <w:r>
              <w:rPr>
                <w:rFonts w:hint="eastAsia" w:ascii="宋体" w:hAnsi="宋体" w:cs="仿宋_GB2312"/>
                <w:sz w:val="24"/>
                <w:szCs w:val="24"/>
                <w:lang w:eastAsia="zh-CN"/>
              </w:rPr>
              <w:t>政府成立华容县农村宅基地和集体建设用地房地一体确权登记工作领导小组办公组织开展</w:t>
            </w:r>
            <w:r>
              <w:rPr>
                <w:rFonts w:hint="eastAsia" w:ascii="宋体" w:hAnsi="宋体" w:eastAsia="宋体" w:cs="仿宋_GB2312"/>
                <w:sz w:val="24"/>
                <w:szCs w:val="24"/>
              </w:rPr>
              <w:t>，并</w:t>
            </w:r>
            <w:r>
              <w:rPr>
                <w:rFonts w:hint="eastAsia" w:ascii="宋体" w:hAnsi="宋体" w:cs="仿宋_GB2312"/>
                <w:sz w:val="24"/>
                <w:szCs w:val="24"/>
                <w:lang w:eastAsia="zh-CN"/>
              </w:rPr>
              <w:t>通过公开招投标由</w:t>
            </w:r>
            <w:r>
              <w:rPr>
                <w:rFonts w:hint="eastAsia" w:ascii="宋体" w:hAnsi="宋体" w:eastAsia="宋体" w:cs="仿宋_GB2312"/>
                <w:sz w:val="24"/>
                <w:szCs w:val="24"/>
              </w:rPr>
              <w:t>技术</w:t>
            </w:r>
            <w:r>
              <w:rPr>
                <w:rFonts w:hint="eastAsia" w:ascii="宋体" w:hAnsi="宋体" w:cs="仿宋_GB2312"/>
                <w:sz w:val="24"/>
                <w:szCs w:val="24"/>
                <w:lang w:eastAsia="zh-CN"/>
              </w:rPr>
              <w:t>服务</w:t>
            </w:r>
            <w:r>
              <w:rPr>
                <w:rFonts w:hint="eastAsia" w:ascii="宋体" w:hAnsi="宋体" w:eastAsia="宋体" w:cs="仿宋_GB2312"/>
                <w:sz w:val="24"/>
                <w:szCs w:val="24"/>
              </w:rPr>
              <w:t>单位具体组织实施。技术</w:t>
            </w:r>
            <w:r>
              <w:rPr>
                <w:rFonts w:hint="eastAsia" w:ascii="宋体" w:hAnsi="宋体" w:cs="仿宋_GB2312"/>
                <w:sz w:val="24"/>
                <w:szCs w:val="24"/>
                <w:lang w:eastAsia="zh-CN"/>
              </w:rPr>
              <w:t>服务</w:t>
            </w:r>
            <w:r>
              <w:rPr>
                <w:rFonts w:hint="eastAsia" w:ascii="宋体" w:hAnsi="宋体" w:eastAsia="宋体" w:cs="仿宋_GB2312"/>
                <w:sz w:val="24"/>
                <w:szCs w:val="24"/>
              </w:rPr>
              <w:t>单位严格按技术规程要求，通过</w:t>
            </w:r>
            <w:r>
              <w:rPr>
                <w:rFonts w:hint="eastAsia" w:ascii="宋体" w:hAnsi="宋体" w:cs="仿宋_GB2312"/>
                <w:sz w:val="24"/>
                <w:szCs w:val="24"/>
                <w:lang w:eastAsia="zh-CN"/>
              </w:rPr>
              <w:t>技术培训、</w:t>
            </w:r>
            <w:r>
              <w:rPr>
                <w:rFonts w:hint="eastAsia"/>
                <w:sz w:val="24"/>
                <w:szCs w:val="24"/>
                <w:lang w:val="en-US" w:eastAsia="zh-CN"/>
              </w:rPr>
              <w:t>权属调查、不动产测绘、权籍调查结果公示、权籍调查数据库建设、登记受理、资料扫描、纸质和测量信息录入、落宗、县级自检、市级验收等环节，于2021年7月已初步完成该项工作，待省级抽检验收后，9月份完成打印证书、送达证书、成果资料整理、归档等工作。</w:t>
            </w:r>
          </w:p>
          <w:p>
            <w:pPr>
              <w:numPr>
                <w:ilvl w:val="0"/>
                <w:numId w:val="4"/>
              </w:numPr>
              <w:spacing w:line="600" w:lineRule="exact"/>
              <w:rPr>
                <w:b/>
                <w:bCs/>
                <w:sz w:val="24"/>
                <w:szCs w:val="24"/>
              </w:rPr>
            </w:pPr>
            <w:r>
              <w:rPr>
                <w:b/>
                <w:bCs/>
                <w:sz w:val="24"/>
                <w:szCs w:val="24"/>
              </w:rPr>
              <w:t>项目主要绩效情况分析</w:t>
            </w:r>
          </w:p>
          <w:p>
            <w:pPr>
              <w:spacing w:line="600" w:lineRule="exact"/>
              <w:ind w:firstLine="720" w:firstLineChars="300"/>
              <w:rPr>
                <w:rFonts w:hint="default"/>
                <w:sz w:val="24"/>
                <w:szCs w:val="24"/>
                <w:lang w:val="en-US" w:eastAsia="zh-CN"/>
              </w:rPr>
            </w:pPr>
            <w:r>
              <w:rPr>
                <w:rFonts w:hint="eastAsia"/>
                <w:sz w:val="24"/>
                <w:szCs w:val="24"/>
                <w:lang w:val="en-US" w:eastAsia="zh-CN"/>
              </w:rPr>
              <w:t>农村宅基地和集体建设用地房地一体确权登记工作是中央自上而下部署的重大改革，是不动产统一登记制度的重要内容，是农村产权制度改革的重要基础。通过开展该项工作，查清农村宅基地和集体建设用地及其地上房屋基本情况，形成权属清晰、界址清楚、面积准确、空间位置明确的权权籍调查成果，建立数据库。该项工作完成后即可准确摸清我县农村房屋和宅基地底数，又可有效保护房屋所有者的合法权益，更可增加农民财产性收入。</w:t>
            </w:r>
          </w:p>
          <w:p>
            <w:pPr>
              <w:spacing w:line="600" w:lineRule="exact"/>
              <w:ind w:firstLine="480" w:firstLineChars="200"/>
              <w:rPr>
                <w:rFonts w:hint="default" w:eastAsia="宋体"/>
                <w:color w:val="000000"/>
                <w:sz w:val="24"/>
                <w:szCs w:val="28"/>
                <w:lang w:val="en-US" w:eastAsia="zh-CN"/>
              </w:rPr>
            </w:pPr>
            <w:r>
              <w:rPr>
                <w:rFonts w:hint="eastAsia"/>
                <w:sz w:val="24"/>
                <w:szCs w:val="24"/>
                <w:lang w:val="en-US" w:eastAsia="zh-CN"/>
              </w:rPr>
              <w:t xml:space="preserve">    </w:t>
            </w:r>
          </w:p>
        </w:tc>
      </w:tr>
    </w:tbl>
    <w:p>
      <w:pPr>
        <w:rPr>
          <w:rFonts w:ascii="黑体" w:hAnsi="黑体" w:eastAsia="黑体"/>
          <w:sz w:val="32"/>
          <w:szCs w:val="32"/>
        </w:rPr>
      </w:pPr>
    </w:p>
    <w:p>
      <w:pPr>
        <w:adjustRightInd w:val="0"/>
        <w:snapToGrid w:val="0"/>
        <w:spacing w:before="156" w:beforeLines="50"/>
        <w:contextualSpacing/>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县财政资金紧张，影响资金拨付</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部分采购目录外项目未执行政府采购</w:t>
            </w: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资产未有偿使用</w:t>
            </w: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机构改革合并有闲置资产</w:t>
            </w: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bookmarkStart w:id="0" w:name="_GoBack"/>
            <w:bookmarkEnd w:id="0"/>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土地收益离预期有差异</w:t>
            </w: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color w:val="auto"/>
                <w:kern w:val="0"/>
                <w:sz w:val="24"/>
                <w:lang w:val="en-US" w:eastAsia="zh-CN"/>
              </w:rPr>
              <w:t>1</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仿宋_GB2312" w:hAnsi="宋体" w:eastAsia="仿宋_GB2312" w:cs="宋体"/>
                <w:b/>
                <w:bCs/>
                <w:kern w:val="0"/>
                <w:sz w:val="18"/>
                <w:szCs w:val="18"/>
                <w:lang w:val="en-US" w:eastAsia="zh-CN"/>
              </w:rPr>
              <w:t>97</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140E6B"/>
    <w:multiLevelType w:val="singleLevel"/>
    <w:tmpl w:val="CB140E6B"/>
    <w:lvl w:ilvl="0" w:tentative="0">
      <w:start w:val="5"/>
      <w:numFmt w:val="chineseCounting"/>
      <w:suff w:val="nothing"/>
      <w:lvlText w:val="%1、"/>
      <w:lvlJc w:val="left"/>
      <w:rPr>
        <w:rFonts w:hint="eastAsia"/>
      </w:rPr>
    </w:lvl>
  </w:abstractNum>
  <w:abstractNum w:abstractNumId="1">
    <w:nsid w:val="0E0F7BFC"/>
    <w:multiLevelType w:val="singleLevel"/>
    <w:tmpl w:val="0E0F7BFC"/>
    <w:lvl w:ilvl="0" w:tentative="0">
      <w:start w:val="2"/>
      <w:numFmt w:val="decimal"/>
      <w:suff w:val="nothing"/>
      <w:lvlText w:val="%1、"/>
      <w:lvlJc w:val="left"/>
    </w:lvl>
  </w:abstractNum>
  <w:abstractNum w:abstractNumId="2">
    <w:nsid w:val="45051824"/>
    <w:multiLevelType w:val="multilevel"/>
    <w:tmpl w:val="45051824"/>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47DDC578"/>
    <w:multiLevelType w:val="singleLevel"/>
    <w:tmpl w:val="47DDC578"/>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4AB1806"/>
    <w:rsid w:val="05621246"/>
    <w:rsid w:val="06784600"/>
    <w:rsid w:val="06B637A8"/>
    <w:rsid w:val="083749E7"/>
    <w:rsid w:val="08596210"/>
    <w:rsid w:val="08F37756"/>
    <w:rsid w:val="09A61B9A"/>
    <w:rsid w:val="0BAF3288"/>
    <w:rsid w:val="0DE528CD"/>
    <w:rsid w:val="0E780436"/>
    <w:rsid w:val="0E9376DA"/>
    <w:rsid w:val="0EFA10E9"/>
    <w:rsid w:val="11E7710C"/>
    <w:rsid w:val="12B06DD4"/>
    <w:rsid w:val="133C17EC"/>
    <w:rsid w:val="1407561D"/>
    <w:rsid w:val="149F2954"/>
    <w:rsid w:val="14A44E92"/>
    <w:rsid w:val="18725427"/>
    <w:rsid w:val="1B722AEB"/>
    <w:rsid w:val="1C0941A7"/>
    <w:rsid w:val="1CF374F4"/>
    <w:rsid w:val="1FDF1ABF"/>
    <w:rsid w:val="22511461"/>
    <w:rsid w:val="22644C7E"/>
    <w:rsid w:val="22B56AF5"/>
    <w:rsid w:val="232D224F"/>
    <w:rsid w:val="233044A0"/>
    <w:rsid w:val="254E2FC7"/>
    <w:rsid w:val="263C173A"/>
    <w:rsid w:val="28F042A0"/>
    <w:rsid w:val="295D68C9"/>
    <w:rsid w:val="2A4969D5"/>
    <w:rsid w:val="2CA33441"/>
    <w:rsid w:val="2CE55C20"/>
    <w:rsid w:val="2CFA7499"/>
    <w:rsid w:val="2DAB2816"/>
    <w:rsid w:val="2F287302"/>
    <w:rsid w:val="2FB40019"/>
    <w:rsid w:val="2FFC22F1"/>
    <w:rsid w:val="30426D13"/>
    <w:rsid w:val="33D904B5"/>
    <w:rsid w:val="36693017"/>
    <w:rsid w:val="37843C64"/>
    <w:rsid w:val="3A43255A"/>
    <w:rsid w:val="3BC173F0"/>
    <w:rsid w:val="3D6201A1"/>
    <w:rsid w:val="3EC46785"/>
    <w:rsid w:val="3F8A6044"/>
    <w:rsid w:val="44C57619"/>
    <w:rsid w:val="45AB5E1F"/>
    <w:rsid w:val="476C4B3F"/>
    <w:rsid w:val="477245B4"/>
    <w:rsid w:val="484416AA"/>
    <w:rsid w:val="49CC7600"/>
    <w:rsid w:val="4A0B2D37"/>
    <w:rsid w:val="4AE0621D"/>
    <w:rsid w:val="4B337E3C"/>
    <w:rsid w:val="4B56794C"/>
    <w:rsid w:val="4DAE57E1"/>
    <w:rsid w:val="4E3C4E60"/>
    <w:rsid w:val="4E4F0BB0"/>
    <w:rsid w:val="4E843C89"/>
    <w:rsid w:val="4EE038BC"/>
    <w:rsid w:val="4F0555F3"/>
    <w:rsid w:val="4FAA6B80"/>
    <w:rsid w:val="523F51D0"/>
    <w:rsid w:val="571429CC"/>
    <w:rsid w:val="581335C2"/>
    <w:rsid w:val="5BE95901"/>
    <w:rsid w:val="5CC56E0F"/>
    <w:rsid w:val="5E7C4FCA"/>
    <w:rsid w:val="5EB34AF9"/>
    <w:rsid w:val="62B35404"/>
    <w:rsid w:val="632965BD"/>
    <w:rsid w:val="64FF6C18"/>
    <w:rsid w:val="65D441BC"/>
    <w:rsid w:val="662D4722"/>
    <w:rsid w:val="66BC4771"/>
    <w:rsid w:val="675C17E3"/>
    <w:rsid w:val="692B161A"/>
    <w:rsid w:val="6A0A15CD"/>
    <w:rsid w:val="6DF352BD"/>
    <w:rsid w:val="704A47BD"/>
    <w:rsid w:val="705E3E6D"/>
    <w:rsid w:val="70733E0A"/>
    <w:rsid w:val="70940F62"/>
    <w:rsid w:val="70F03B7A"/>
    <w:rsid w:val="71C1048A"/>
    <w:rsid w:val="730D5CD1"/>
    <w:rsid w:val="73BC7CD0"/>
    <w:rsid w:val="73F35F5B"/>
    <w:rsid w:val="75215D3A"/>
    <w:rsid w:val="780D569A"/>
    <w:rsid w:val="781C4BA7"/>
    <w:rsid w:val="797B5017"/>
    <w:rsid w:val="79C04582"/>
    <w:rsid w:val="79EF2AA4"/>
    <w:rsid w:val="7AEF214C"/>
    <w:rsid w:val="7B96677A"/>
    <w:rsid w:val="7C166025"/>
    <w:rsid w:val="7C884609"/>
    <w:rsid w:val="7D1F0DA2"/>
    <w:rsid w:val="7D445290"/>
    <w:rsid w:val="7DD8630C"/>
    <w:rsid w:val="7E5D3EA8"/>
    <w:rsid w:val="7E756799"/>
    <w:rsid w:val="7E933240"/>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2021-08-12T09:36:54Z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6E3E327AD9764EE7A0F2EF04A32E3C9F</vt:lpwstr>
  </property>
</Properties>
</file>