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名称：中共华容县委机构编制委员会办公</w:t>
      </w:r>
      <w:r>
        <w:rPr>
          <w:rFonts w:hint="eastAsia" w:eastAsia="仿宋_GB2312"/>
          <w:sz w:val="32"/>
          <w:szCs w:val="32"/>
          <w:lang w:eastAsia="zh-CN"/>
        </w:rPr>
        <w:t>室</w:t>
      </w:r>
      <w:r>
        <w:rPr>
          <w:rFonts w:hint="eastAsia" w:eastAsia="仿宋_GB2312"/>
          <w:sz w:val="32"/>
          <w:szCs w:val="32"/>
          <w:lang w:val="en-US" w:eastAsia="zh-CN"/>
        </w:rPr>
        <w:t xml:space="preserve"> </w:t>
      </w:r>
      <w:bookmarkStart w:id="0" w:name="_GoBack"/>
      <w:bookmarkEnd w:id="0"/>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eastAsia="仿宋_GB2312"/>
          <w:spacing w:val="30"/>
          <w:sz w:val="32"/>
          <w:szCs w:val="32"/>
        </w:rPr>
        <w:t>118001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rPr>
        <w:t>1年7月</w:t>
      </w:r>
      <w:r>
        <w:rPr>
          <w:rFonts w:eastAsia="仿宋_GB2312"/>
          <w:sz w:val="32"/>
        </w:rPr>
        <w:t>2</w:t>
      </w:r>
      <w:r>
        <w:rPr>
          <w:rFonts w:hint="eastAsia" w:eastAsia="仿宋_GB2312"/>
          <w:sz w:val="32"/>
        </w:rPr>
        <w:t>8日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张杰汉</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13974040707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贯彻执行中央和省市有关行政管理体制和机构改革以及机构编制管理的法律法规和政策；起草机构编制管理的规范性文件；统一管理全县各级党政机关（含党委、政府各部门，人大、政协、法院、检察院机关，人民团体机关以及其他行政机构，下同）和事业单位的机构编制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（二）拟订全县行政管理体制和机构改革总体方案并组织实施；审核县直党政机关各部门和乡镇党政机构改革方案；指导、协调全县行政管理体制改革和机构改革工作。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（三）拟订全县事业单位管理体制与机构改革总体方案并组织实施；审核全县副科级以上事业单位和乡镇事业单位机构改革方案；指导、协调全县各级事业单位机构改革工作。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审核全县科级机构、乡镇党政机构和事业单位的设置和调整方案；研究提出县直党政机关职责配置和调整意见，协调各部门之间、部门与乡镇之间的事权职责分工；审定县直股级事业单位机构改革方案；审定全县科级机构的内设机构、县直股级事业单位的设置和调整方案。</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审核县直党政机关各部门、全县副科级以上事业单位人员编制方案；审定县直股级事业单位人员编制方案；会同相关部门提出县直党政机关、科级以上事业单位职数配备和调整方案；审定县直党政机关、事业单位股级干部职数；拟订全县各级党政机关行政编制、政法专项编制总额分配和调整方案；研究提出事业单位编制控制计划，拟订全县事业单位机构编制标准和管理办法。</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（六）拟订全县乡镇机构改革总体方案并指导实施；管理全县乡镇机构和人员编制。</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负责全县各级党政机关、事业单位机构编制实名制管理；审核纳入县级财政统一发放工资的同级党政机关、事业单位（含收取规费的事业单位）的人员编制性质、数量、实有人数和领导职数；负责全县机构编制统计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（八）负责全县各级机关事业单位辅助性、替代性、临时性用工计划的审核工作，督促、指导各用人单位规范劳动用工。</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九）贯彻执行国家有关事业单位登记管理的法律、法规、规章，拟订全县事业单位登记管理的相关文件并组织实施；依法对本级登记管辖范围内的事业单位进行登记管理，积极开展事业单位法人履职评估工作，会同有关部门认真做好事业单位法定代表人离任审计工作；指导、协调、监督全县事业单位登记管理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（十）监督检查全县各级党政机关、事业单位机构编制及行政管理体制改革和机构改革的执行情况，会同有关部门查处机构编制违规违纪行为。</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（十一）承担全县党政机关、事业单位公务用车的编制管理工作。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（十二）负责组织和指导全县党政机关、事业单位政务类和公益类网上中文域名的注册申报及管理工作。</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（十三）承办县委、县人民政府和县委机构编制委员会交办的其他事项。</w:t>
            </w:r>
          </w:p>
          <w:p>
            <w:pPr>
              <w:autoSpaceDN w:val="0"/>
              <w:spacing w:line="320" w:lineRule="exac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年度主要</w:t>
            </w:r>
          </w:p>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任务</w:t>
            </w:r>
            <w:r>
              <w:rPr>
                <w:rFonts w:ascii="仿宋_GB2312" w:hAnsi="仿宋_GB2312" w:eastAsia="仿宋_GB2312" w:cs="仿宋_GB2312"/>
                <w:color w:val="FF0000"/>
                <w:sz w:val="24"/>
              </w:rPr>
              <w:t>1</w:t>
            </w:r>
            <w:r>
              <w:rPr>
                <w:rFonts w:hint="eastAsia" w:ascii="仿宋_GB2312" w:hAnsi="仿宋_GB2312" w:eastAsia="仿宋_GB2312" w:cs="仿宋_GB2312"/>
                <w:color w:val="FF0000"/>
                <w:sz w:val="24"/>
              </w:rPr>
              <w:t>：机构编制只减不增</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任务</w:t>
            </w:r>
            <w:r>
              <w:rPr>
                <w:rFonts w:ascii="仿宋_GB2312" w:hAnsi="仿宋_GB2312" w:eastAsia="仿宋_GB2312" w:cs="仿宋_GB2312"/>
                <w:color w:val="FF0000"/>
                <w:sz w:val="24"/>
              </w:rPr>
              <w:t>2</w:t>
            </w:r>
            <w:r>
              <w:rPr>
                <w:rFonts w:hint="eastAsia" w:ascii="仿宋_GB2312" w:hAnsi="仿宋_GB2312" w:eastAsia="仿宋_GB2312" w:cs="仿宋_GB2312"/>
                <w:color w:val="FF0000"/>
                <w:sz w:val="24"/>
              </w:rPr>
              <w:t>：事业单位法人登记任务</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任务</w:t>
            </w:r>
            <w:r>
              <w:rPr>
                <w:rFonts w:ascii="仿宋_GB2312" w:hAnsi="仿宋_GB2312" w:eastAsia="仿宋_GB2312" w:cs="仿宋_GB2312"/>
                <w:color w:val="FF0000"/>
                <w:sz w:val="24"/>
              </w:rPr>
              <w:t>3</w:t>
            </w:r>
            <w:r>
              <w:rPr>
                <w:rFonts w:hint="eastAsia" w:ascii="仿宋_GB2312" w:hAnsi="仿宋_GB2312" w:eastAsia="仿宋_GB2312" w:cs="仿宋_GB2312"/>
                <w:color w:val="FF0000"/>
                <w:sz w:val="24"/>
              </w:rPr>
              <w:t>：机构编制日常管理、权力清单责任清单制定等</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FF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机构编制每年只减不增,财政供养人员每年只减不增,核定的领导职数每年只减不增。完成各项职责任务。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215.4</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215.4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215.4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215.4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150.4</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任务</w:t>
            </w:r>
            <w:r>
              <w:rPr>
                <w:rFonts w:ascii="仿宋_GB2312" w:hAnsi="仿宋_GB2312" w:eastAsia="仿宋_GB2312" w:cs="仿宋_GB2312"/>
                <w:color w:val="FF0000"/>
                <w:sz w:val="24"/>
              </w:rPr>
              <w:t>1</w:t>
            </w:r>
            <w:r>
              <w:rPr>
                <w:rFonts w:hint="eastAsia" w:ascii="仿宋_GB2312" w:hAnsi="仿宋_GB2312" w:eastAsia="仿宋_GB2312" w:cs="仿宋_GB2312"/>
                <w:color w:val="FF0000"/>
                <w:sz w:val="24"/>
              </w:rPr>
              <w:t>：机构编制只减不增</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任务</w:t>
            </w:r>
            <w:r>
              <w:rPr>
                <w:rFonts w:ascii="仿宋_GB2312" w:hAnsi="仿宋_GB2312" w:eastAsia="仿宋_GB2312" w:cs="仿宋_GB2312"/>
                <w:color w:val="FF0000"/>
                <w:sz w:val="24"/>
              </w:rPr>
              <w:t>2</w:t>
            </w:r>
            <w:r>
              <w:rPr>
                <w:rFonts w:hint="eastAsia" w:ascii="仿宋_GB2312" w:hAnsi="仿宋_GB2312" w:eastAsia="仿宋_GB2312" w:cs="仿宋_GB2312"/>
                <w:color w:val="FF0000"/>
                <w:sz w:val="24"/>
              </w:rPr>
              <w:t>：事业单位法人登记任务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FF0000"/>
                <w:sz w:val="24"/>
              </w:rPr>
              <w:t>任务</w:t>
            </w:r>
            <w:r>
              <w:rPr>
                <w:rFonts w:ascii="仿宋_GB2312" w:hAnsi="仿宋_GB2312" w:eastAsia="仿宋_GB2312" w:cs="仿宋_GB2312"/>
                <w:color w:val="FF0000"/>
                <w:sz w:val="24"/>
              </w:rPr>
              <w:t>3</w:t>
            </w:r>
            <w:r>
              <w:rPr>
                <w:rFonts w:hint="eastAsia" w:ascii="仿宋_GB2312" w:hAnsi="仿宋_GB2312" w:eastAsia="仿宋_GB2312" w:cs="仿宋_GB2312"/>
                <w:color w:val="FF0000"/>
                <w:sz w:val="24"/>
              </w:rPr>
              <w:t>：机构编制日常管理、权力清单责任清单制定等</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：机构编制只减不增</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己完成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spacing w:line="320" w:lineRule="exact"/>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spacing w:line="320" w:lineRule="exact"/>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事业单位法人登记</w:t>
            </w:r>
            <w:r>
              <w:rPr>
                <w:rFonts w:hint="eastAsia" w:ascii="仿宋_GB2312" w:hAnsi="仿宋_GB2312" w:eastAsia="仿宋_GB2312" w:cs="仿宋_GB2312"/>
                <w:color w:val="000000"/>
                <w:sz w:val="24"/>
                <w:lang w:val="en-US" w:eastAsia="zh-CN"/>
              </w:rPr>
              <w:t>100%登记</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己完成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：年度内完成目标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己完成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：预算内控制成本</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己完成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000000"/>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000000"/>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：社会公众或服务对象满意度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张义</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县编办</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刘红波</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综合办主任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县编办</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刘红波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邓亮</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事务中心副主任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县编办</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邓亮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2020</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30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年月日</w:t>
            </w:r>
          </w:p>
        </w:tc>
      </w:tr>
    </w:tbl>
    <w:p>
      <w:pPr>
        <w:rPr>
          <w:rFonts w:eastAsia="仿宋_GB2312" w:cs="仿宋_GB2312"/>
          <w:bCs/>
          <w:sz w:val="28"/>
          <w:szCs w:val="28"/>
        </w:rPr>
      </w:pPr>
      <w:r>
        <w:rPr>
          <w:rFonts w:hint="eastAsia" w:eastAsia="仿宋_GB2312" w:cs="仿宋_GB2312"/>
          <w:bCs/>
          <w:sz w:val="28"/>
          <w:szCs w:val="28"/>
        </w:rPr>
        <w:t>填报人（签名）：张杰汉               联系电话：</w:t>
      </w:r>
      <w:r>
        <w:rPr>
          <w:rFonts w:eastAsia="仿宋_GB2312" w:cs="仿宋_GB2312"/>
          <w:bCs/>
          <w:sz w:val="28"/>
          <w:szCs w:val="28"/>
        </w:rPr>
        <w:t>13974040707</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（一）部门（单位）基本情况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单位为财政全额预算拨款单位，</w:t>
            </w:r>
            <w:r>
              <w:rPr>
                <w:rFonts w:hint="eastAsia" w:ascii="仿宋_GB2312" w:hAnsi="宋体" w:eastAsia="仿宋_GB2312" w:cs="宋体"/>
                <w:sz w:val="32"/>
                <w:szCs w:val="32"/>
                <w:shd w:val="clear" w:color="auto" w:fill="FFFFFF"/>
                <w:lang w:eastAsia="zh-CN"/>
              </w:rPr>
              <w:t>机关行政编</w:t>
            </w:r>
            <w:r>
              <w:rPr>
                <w:rFonts w:hint="eastAsia" w:ascii="仿宋_GB2312" w:hAnsi="宋体" w:eastAsia="仿宋_GB2312" w:cs="宋体"/>
                <w:sz w:val="32"/>
                <w:szCs w:val="32"/>
                <w:shd w:val="clear" w:color="auto" w:fill="FFFFFF"/>
                <w:lang w:val="en-US" w:eastAsia="zh-CN"/>
              </w:rPr>
              <w:t>7名，事务中心编制6名，</w:t>
            </w:r>
            <w:r>
              <w:rPr>
                <w:rFonts w:hint="eastAsia" w:ascii="仿宋_GB2312" w:hAnsi="宋体" w:eastAsia="仿宋_GB2312" w:cs="宋体"/>
                <w:sz w:val="32"/>
                <w:szCs w:val="32"/>
                <w:shd w:val="clear" w:color="auto" w:fill="FFFFFF"/>
                <w:lang w:eastAsia="zh-CN"/>
              </w:rPr>
              <w:t>合计</w:t>
            </w:r>
            <w:r>
              <w:rPr>
                <w:rFonts w:hint="eastAsia" w:ascii="仿宋_GB2312" w:hAnsi="宋体" w:eastAsia="仿宋_GB2312" w:cs="宋体"/>
                <w:sz w:val="32"/>
                <w:szCs w:val="32"/>
                <w:shd w:val="clear" w:color="auto" w:fill="FFFFFF"/>
                <w:lang w:val="en-US" w:eastAsia="zh-CN"/>
              </w:rPr>
              <w:t>13名</w:t>
            </w:r>
            <w:r>
              <w:rPr>
                <w:rFonts w:hint="eastAsia" w:ascii="仿宋_GB2312" w:hAnsi="宋体" w:eastAsia="仿宋_GB2312" w:cs="宋体"/>
                <w:sz w:val="32"/>
                <w:szCs w:val="32"/>
                <w:shd w:val="clear" w:color="auto" w:fill="FFFFFF"/>
              </w:rPr>
              <w:t>，实有人数为</w:t>
            </w: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lang w:val="en-US" w:eastAsia="zh-CN"/>
              </w:rPr>
              <w:t>3</w:t>
            </w:r>
            <w:r>
              <w:rPr>
                <w:rFonts w:hint="eastAsia" w:ascii="仿宋_GB2312" w:hAnsi="宋体" w:eastAsia="仿宋_GB2312" w:cs="宋体"/>
                <w:sz w:val="32"/>
                <w:szCs w:val="32"/>
                <w:shd w:val="clear" w:color="auto" w:fill="FFFFFF"/>
              </w:rPr>
              <w:t>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、职责职能：</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贯彻执行中央和省市有关行政管理体制和机构改革以及机构编制管理的法律法规和政策；起草机构编制管理的规范性文件；统一管理全县各级党政机关（含党委、政府各部门，人大、政协、法院、检察院机关，人民团体机关以及其他行政机构，下同）和事业单位的机构编制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（二）拟订全县行政管理体制和机构改革总体方案并组织实施；审核县直党政机关各部门和乡镇党政机构改革方案；指导、协调全县行政管理体制改革和机构改革工作。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（三）拟订全县事业单位管理体制与机构改革总体方案并组织实施；审核全县副科级以上事业单位和乡镇事业单位机构改革方案；指导、协调全县各级事业单位机构改革工作。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四）审核全县科级机构、乡镇党政机构和事业单位的设置和调整方案；研究提出县直党政机关职责配置和调整意见，协调各部门之间、部门与乡镇之间的事权职责分工；审定县直股级事业单位机构改革方案；审定全县科级机构的内设机构、县直股级事业单位的设置和调整方案。</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审核县直党政机关各部门、全县副科级以上事业单位人员编制方案；审定县直股级事业单位人员编制方案；会同相关部门提出县直党政机关、科级以上事业单位职数配备和调整方案；审定县直党政机关、事业单位股级干部职数；拟订全县各级党政机关行政编制、政法专项编制总额分配和调整方案；研究提出事业单位编制控制计划，拟订全县事业单位机构编制标准和管理办法。</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（六）拟订全县乡镇机构改革总体方案并指导实施；管理全县乡镇机构和人员编制。</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七）负责全县各级党政机关、事业单位机构编制实名制管理；审核纳入县级财政统一发放工资的同级党政机关、事业单位（含收取规费的事业单位）的人员编制性质、数量、实有人数和领导职数；负责全县机构编制统计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（八）负责全县各级机关事业单位辅助性、替代性、临时性用工计划的审核工作，督促、指导各用人单位规范劳动用工。</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九）贯彻执行国家有关事业单位登记管理的法律、法规、规章，拟订全县事业单位登记管理的相关文件并组织实施；依法对本级登记管辖范围内的事业单位进行登记管理，积极开展事业单位法人履职评估工作，会同有关部门认真做好事业单位法定代表人离任审计工作；指导、协调、监督全县事业单位登记管理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（十）监督检查全县各级党政机关、事业单位机构编制及行政管理体制改革和机构改革的执行情况，会同有关部门查处机构编制违规违纪行为。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（十一）承担全县党政机关、事业单位公务用车的编制管理工作。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（十二）负责组织和指导全县党政机关、事业单位政务类和公益类网上中文域名的注册申报及管理工作。</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（十三）承办县委、县人民政府和县委机构编制委员会交办的其他事项。</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、内设机构：</w:t>
            </w:r>
          </w:p>
          <w:p>
            <w:pPr>
              <w:spacing w:line="560" w:lineRule="exact"/>
              <w:ind w:firstLine="640" w:firstLineChars="200"/>
              <w:rPr>
                <w:rFonts w:ascii="宋体" w:cs="宋体"/>
                <w:color w:val="FF0000"/>
                <w:sz w:val="32"/>
                <w:szCs w:val="32"/>
                <w:lang w:val="zh-CN"/>
              </w:rPr>
            </w:pPr>
            <w:r>
              <w:rPr>
                <w:rFonts w:hint="eastAsia" w:ascii="仿宋_GB2312" w:hAnsi="宋体" w:eastAsia="仿宋_GB2312" w:cs="宋体"/>
                <w:sz w:val="32"/>
                <w:szCs w:val="32"/>
                <w:shd w:val="clear" w:color="auto" w:fill="FFFFFF"/>
              </w:rPr>
              <w:t>综合室、行政编制办、事业编制办、事业单位登记办、行政审批制度改革办公室。</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（二）部门（单位）整体支出规模</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、收入情况：全年收入215.4万元，其中：财政拨款收入215.4万元。</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、支出情况</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全年支出215.4万元，其中：基本支出215.4万元（人员支出150.4万元，公用支出65万元），项目支出0万元。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二、部门（单位）整体支出管理及使用情况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（一）基本支出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、部门整体支出情况分析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2020年整体支出215.4万元，其中基本支出215.4万元，人员支出150.4万元，占基本支出70</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，公用支出65万元，占基本支出30</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。项目支出0万元。</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、“三公经费”支出情况分析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2020年“三公经费”预算1.2万元，实际开支</w:t>
            </w:r>
            <w:r>
              <w:rPr>
                <w:rFonts w:ascii="仿宋_GB2312" w:hAnsi="宋体" w:eastAsia="仿宋_GB2312" w:cs="宋体"/>
                <w:sz w:val="32"/>
                <w:szCs w:val="32"/>
                <w:shd w:val="clear" w:color="auto" w:fill="FFFFFF"/>
              </w:rPr>
              <w:t>0.7</w:t>
            </w:r>
            <w:r>
              <w:rPr>
                <w:rFonts w:hint="eastAsia" w:ascii="仿宋_GB2312" w:hAnsi="宋体" w:eastAsia="仿宋_GB2312" w:cs="宋体"/>
                <w:sz w:val="32"/>
                <w:szCs w:val="32"/>
                <w:shd w:val="clear" w:color="auto" w:fill="FFFFFF"/>
              </w:rPr>
              <w:t>万元。“三公经费”比去年减少了</w:t>
            </w:r>
            <w:r>
              <w:rPr>
                <w:rFonts w:ascii="仿宋_GB2312" w:hAnsi="宋体" w:eastAsia="仿宋_GB2312" w:cs="宋体"/>
                <w:sz w:val="32"/>
                <w:szCs w:val="32"/>
                <w:shd w:val="clear" w:color="auto" w:fill="FFFFFF"/>
              </w:rPr>
              <w:t>0.0</w:t>
            </w:r>
            <w:r>
              <w:rPr>
                <w:rFonts w:hint="eastAsia" w:ascii="仿宋_GB2312" w:hAnsi="宋体" w:eastAsia="仿宋_GB2312" w:cs="宋体"/>
                <w:sz w:val="32"/>
                <w:szCs w:val="32"/>
                <w:shd w:val="clear" w:color="auto" w:fill="FFFFFF"/>
              </w:rPr>
              <w:t>6万元，控制在预算之内。</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3</w:t>
            </w:r>
            <w:r>
              <w:rPr>
                <w:rFonts w:hint="eastAsia" w:ascii="仿宋_GB2312" w:hAnsi="宋体" w:eastAsia="仿宋_GB2312" w:cs="宋体"/>
                <w:sz w:val="32"/>
                <w:szCs w:val="32"/>
                <w:shd w:val="clear" w:color="auto" w:fill="FFFFFF"/>
              </w:rPr>
              <w:t>、固定资产管理情况分析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按照例行节约，物尽其用的原则，资产管理采取统一建账，统一核算管理，对每件固定资产使用明确保管职责，闲置的资产，由办公室统一调整，合理流动，发挥其效益；至2020年</w:t>
            </w:r>
            <w:r>
              <w:rPr>
                <w:rFonts w:ascii="仿宋_GB2312" w:hAnsi="宋体" w:eastAsia="仿宋_GB2312" w:cs="宋体"/>
                <w:sz w:val="32"/>
                <w:szCs w:val="32"/>
                <w:shd w:val="clear" w:color="auto" w:fill="FFFFFF"/>
              </w:rPr>
              <w:t>12</w:t>
            </w:r>
            <w:r>
              <w:rPr>
                <w:rFonts w:hint="eastAsia" w:ascii="仿宋_GB2312" w:hAnsi="宋体" w:eastAsia="仿宋_GB2312" w:cs="宋体"/>
                <w:sz w:val="32"/>
                <w:szCs w:val="32"/>
                <w:shd w:val="clear" w:color="auto" w:fill="FFFFFF"/>
              </w:rPr>
              <w:t>月末固定资产19.2万元。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（二）专项支出</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、专项资金安排落实、总投入等情况分析</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2020年项目支出0万元。</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三、部门（单位）整体支出绩效情况</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2020年，根据年初工作规划和重点工作，围绕县委、县政府的工作部署，积极履行职责，强化管理，较好地完成了年度工作目标，同时加强预算收支的管理，建立健全内部管理制度，严格内部管理流程，部门整体支出管理得到了提升。2020年度部门整体支出绩效情况如下：</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640" w:firstLineChars="200"/>
              <w:rPr>
                <w:rFonts w:ascii="仿宋_GB2312" w:hAnsi="宋体" w:eastAsia="仿宋_GB2312" w:cs="宋体"/>
                <w:sz w:val="32"/>
                <w:szCs w:val="32"/>
                <w:shd w:val="clear" w:color="auto" w:fill="FFFFFF"/>
              </w:rPr>
            </w:pPr>
            <w:r>
              <w:rPr>
                <w:rFonts w:ascii="仿宋_GB2312" w:hAnsi="宋体" w:eastAsia="仿宋_GB2312" w:cs="宋体"/>
                <w:sz w:val="32"/>
                <w:szCs w:val="32"/>
                <w:shd w:val="clear" w:color="auto" w:fill="FFFFFF"/>
              </w:rPr>
              <w:t>2.</w:t>
            </w:r>
            <w:r>
              <w:rPr>
                <w:rFonts w:hint="eastAsia" w:ascii="仿宋_GB2312" w:hAnsi="宋体" w:eastAsia="仿宋_GB2312" w:cs="宋体"/>
                <w:sz w:val="32"/>
                <w:szCs w:val="32"/>
                <w:shd w:val="clear" w:color="auto" w:fill="FFFFFF"/>
              </w:rPr>
              <w:t>财务管理上，按照国家相关法律法规，制定了机关财务、公物购置使用、接待、会务、差旅等管理制度，并严格按照制度管理和执行，防范风险，保证财政资金的安全和高效运行。</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四、存在的主要问题</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一是“三公经费”有待更严格控制</w:t>
            </w:r>
            <w:r>
              <w:rPr>
                <w:rFonts w:ascii="仿宋_GB2312" w:hAnsi="宋体" w:eastAsia="仿宋_GB2312" w:cs="宋体"/>
                <w:sz w:val="32"/>
                <w:szCs w:val="32"/>
                <w:shd w:val="clear" w:color="auto" w:fill="FFFFFF"/>
              </w:rPr>
              <w:t>,</w:t>
            </w:r>
            <w:r>
              <w:rPr>
                <w:rFonts w:hint="eastAsia" w:ascii="仿宋_GB2312" w:hAnsi="宋体" w:eastAsia="仿宋_GB2312" w:cs="宋体"/>
                <w:sz w:val="32"/>
                <w:szCs w:val="32"/>
                <w:shd w:val="clear" w:color="auto" w:fill="FFFFFF"/>
              </w:rPr>
              <w:t>进一步加强厉行节约机制。</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二是预算编制与实际支出项目有的存在差异，有待进一步优化预算，提高预算编制的准确性。</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五、改进措施和有关建议</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一是按照预算规定的项目和用途严格财务审核，经费支出严格按预算规定项目的财务支出内容进行财务核算，在预算金额内严格控制费用的支出。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二是严格控制“三公经费”支出，杜绝挪用和挤占其他预算资金；进一步细化“三公经费”管理，压缩“三公经费”支出。</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三是预算财务分析常态化，定期做好预算支出财务分析，做好部门整体支出预算评价工作。</w:t>
            </w:r>
          </w:p>
          <w:p>
            <w:pPr>
              <w:spacing w:line="560" w:lineRule="exact"/>
              <w:ind w:firstLine="640" w:firstLineChars="200"/>
              <w:rPr>
                <w:rFonts w:ascii="仿宋_GB2312" w:hAnsi="宋体" w:eastAsia="仿宋_GB2312" w:cs="宋体"/>
                <w:sz w:val="32"/>
                <w:szCs w:val="32"/>
                <w:shd w:val="clear" w:color="auto" w:fill="FFFFFF"/>
              </w:rPr>
            </w:pPr>
          </w:p>
          <w:p>
            <w:pPr>
              <w:rPr>
                <w:rFonts w:eastAsia="楷体_GB2312"/>
                <w:bCs/>
                <w:sz w:val="28"/>
                <w:szCs w:val="28"/>
              </w:rPr>
            </w:pPr>
          </w:p>
        </w:tc>
      </w:tr>
    </w:tbl>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97</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line="200" w:lineRule="exact"/>
        <w:rPr>
          <w:rFonts w:eastAsia="仿宋_GB2312"/>
          <w:sz w:val="32"/>
        </w:rPr>
      </w:pPr>
    </w:p>
    <w:p>
      <w:pPr>
        <w:spacing w:line="200" w:lineRule="exact"/>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r>
      <w:rPr>
        <w:rStyle w:val="7"/>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r>
      <w:rPr>
        <w:rStyle w:val="7"/>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E55C20"/>
    <w:rsid w:val="0000059C"/>
    <w:rsid w:val="00055D8D"/>
    <w:rsid w:val="00097D34"/>
    <w:rsid w:val="000A1814"/>
    <w:rsid w:val="000E4BF0"/>
    <w:rsid w:val="001300D0"/>
    <w:rsid w:val="00241C13"/>
    <w:rsid w:val="0025232D"/>
    <w:rsid w:val="0027219E"/>
    <w:rsid w:val="00274797"/>
    <w:rsid w:val="002D1996"/>
    <w:rsid w:val="00331404"/>
    <w:rsid w:val="00357FB5"/>
    <w:rsid w:val="00411996"/>
    <w:rsid w:val="00452CA5"/>
    <w:rsid w:val="00474A5A"/>
    <w:rsid w:val="004E79C2"/>
    <w:rsid w:val="00553DC3"/>
    <w:rsid w:val="005808EE"/>
    <w:rsid w:val="005A40D9"/>
    <w:rsid w:val="006138AC"/>
    <w:rsid w:val="00650D29"/>
    <w:rsid w:val="00651D1E"/>
    <w:rsid w:val="006623A4"/>
    <w:rsid w:val="006631AE"/>
    <w:rsid w:val="006C2B78"/>
    <w:rsid w:val="007009A0"/>
    <w:rsid w:val="00757E19"/>
    <w:rsid w:val="00760098"/>
    <w:rsid w:val="007701A6"/>
    <w:rsid w:val="007712B1"/>
    <w:rsid w:val="007A0539"/>
    <w:rsid w:val="007B2063"/>
    <w:rsid w:val="007C6066"/>
    <w:rsid w:val="008277A9"/>
    <w:rsid w:val="008424EF"/>
    <w:rsid w:val="00856EF7"/>
    <w:rsid w:val="0086661D"/>
    <w:rsid w:val="008A0584"/>
    <w:rsid w:val="009603AD"/>
    <w:rsid w:val="009A3479"/>
    <w:rsid w:val="009B7D9D"/>
    <w:rsid w:val="009E10D9"/>
    <w:rsid w:val="009F5F50"/>
    <w:rsid w:val="00AB3957"/>
    <w:rsid w:val="00AC6FAF"/>
    <w:rsid w:val="00B120F2"/>
    <w:rsid w:val="00B67461"/>
    <w:rsid w:val="00B77AC6"/>
    <w:rsid w:val="00B85254"/>
    <w:rsid w:val="00B93875"/>
    <w:rsid w:val="00BB01B8"/>
    <w:rsid w:val="00BB10D0"/>
    <w:rsid w:val="00BF1BA5"/>
    <w:rsid w:val="00C37A0E"/>
    <w:rsid w:val="00C625F3"/>
    <w:rsid w:val="00C97EDF"/>
    <w:rsid w:val="00DC6B48"/>
    <w:rsid w:val="00E91D8A"/>
    <w:rsid w:val="00E93F00"/>
    <w:rsid w:val="00EF56DE"/>
    <w:rsid w:val="00F14D13"/>
    <w:rsid w:val="00F37591"/>
    <w:rsid w:val="00F9312E"/>
    <w:rsid w:val="083749E7"/>
    <w:rsid w:val="0DE528CD"/>
    <w:rsid w:val="0F6324A7"/>
    <w:rsid w:val="0F7E7BA0"/>
    <w:rsid w:val="14E56FC9"/>
    <w:rsid w:val="1519119D"/>
    <w:rsid w:val="18725427"/>
    <w:rsid w:val="1D4F6251"/>
    <w:rsid w:val="263C173A"/>
    <w:rsid w:val="2CA33441"/>
    <w:rsid w:val="2CE55C20"/>
    <w:rsid w:val="2F287302"/>
    <w:rsid w:val="30426D13"/>
    <w:rsid w:val="327E5258"/>
    <w:rsid w:val="3A43255A"/>
    <w:rsid w:val="3D6201A1"/>
    <w:rsid w:val="477245B4"/>
    <w:rsid w:val="4E3E2CCA"/>
    <w:rsid w:val="4E4F0BB0"/>
    <w:rsid w:val="5BE95901"/>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uiPriority w:val="99"/>
    <w:pPr>
      <w:ind w:firstLine="588" w:firstLineChars="200"/>
    </w:pPr>
    <w:rPr>
      <w:rFonts w:ascii="仿宋_GB2312" w:hAnsi="Calibri" w:eastAsia="仿宋_GB2312"/>
      <w:sz w:val="32"/>
    </w:rPr>
  </w:style>
  <w:style w:type="paragraph" w:styleId="3">
    <w:name w:val="footer"/>
    <w:basedOn w:val="1"/>
    <w:link w:val="9"/>
    <w:uiPriority w:val="99"/>
    <w:pPr>
      <w:tabs>
        <w:tab w:val="center" w:pos="4153"/>
        <w:tab w:val="right" w:pos="8306"/>
      </w:tabs>
      <w:snapToGrid w:val="0"/>
      <w:jc w:val="left"/>
    </w:pPr>
    <w:rPr>
      <w:kern w:val="0"/>
      <w:sz w:val="18"/>
      <w:szCs w:val="18"/>
    </w:rPr>
  </w:style>
  <w:style w:type="paragraph" w:styleId="4">
    <w:name w:val="header"/>
    <w:basedOn w:val="1"/>
    <w:link w:val="11"/>
    <w:semiHidden/>
    <w:unhideWhenUsed/>
    <w:lock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正文文本缩进 2 Char"/>
    <w:basedOn w:val="6"/>
    <w:link w:val="2"/>
    <w:semiHidden/>
    <w:locked/>
    <w:uiPriority w:val="99"/>
    <w:rPr>
      <w:rFonts w:cs="Times New Roman"/>
      <w:sz w:val="24"/>
      <w:szCs w:val="24"/>
    </w:rPr>
  </w:style>
  <w:style w:type="character" w:customStyle="1" w:styleId="9">
    <w:name w:val="页脚 Char"/>
    <w:basedOn w:val="6"/>
    <w:link w:val="3"/>
    <w:semiHidden/>
    <w:qFormat/>
    <w:locked/>
    <w:uiPriority w:val="99"/>
    <w:rPr>
      <w:rFonts w:cs="Times New Roman"/>
      <w:sz w:val="18"/>
      <w:szCs w:val="18"/>
    </w:rPr>
  </w:style>
  <w:style w:type="character" w:customStyle="1" w:styleId="10">
    <w:name w:val="标题 3 Char Char"/>
    <w:uiPriority w:val="99"/>
    <w:rPr>
      <w:rFonts w:eastAsia="楷体_GB2312"/>
      <w:b/>
      <w:kern w:val="2"/>
      <w:sz w:val="24"/>
      <w:lang w:val="en-US" w:eastAsia="zh-CN"/>
    </w:rPr>
  </w:style>
  <w:style w:type="character" w:customStyle="1" w:styleId="11">
    <w:name w:val="页眉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1058</Words>
  <Characters>6035</Characters>
  <Lines>50</Lines>
  <Paragraphs>14</Paragraphs>
  <TotalTime>35</TotalTime>
  <ScaleCrop>false</ScaleCrop>
  <LinksUpToDate>false</LinksUpToDate>
  <CharactersWithSpaces>7079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2021-07-29T00:26:51Z</cp:lastPrinted>
  <dcterms:modified xsi:type="dcterms:W3CDTF">2021-07-29T00:28:58Z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CC08C2C26F314009BC222AC4C57FA93E</vt:lpwstr>
  </property>
</Properties>
</file>