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名称：中共华容县委宣传部</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eastAsia="仿宋_GB2312"/>
          <w:spacing w:val="30"/>
          <w:sz w:val="32"/>
          <w:szCs w:val="32"/>
        </w:rPr>
        <w:t>116001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rPr>
        <w:t>1年7月</w:t>
      </w:r>
      <w:r>
        <w:rPr>
          <w:rFonts w:eastAsia="仿宋_GB2312"/>
          <w:sz w:val="32"/>
        </w:rPr>
        <w:t>2</w:t>
      </w:r>
      <w:r>
        <w:rPr>
          <w:rFonts w:hint="eastAsia" w:eastAsia="仿宋_GB2312"/>
          <w:sz w:val="32"/>
        </w:rPr>
        <w:t>8日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吴丽媛</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13786037213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人员编制</w:t>
            </w:r>
          </w:p>
        </w:tc>
        <w:tc>
          <w:tcPr>
            <w:tcW w:w="3561"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27</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实有人数</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、负责指导全县理论学习、理论研究、理论宣传工作。负责全县党员理论教育、路线方针政策教育、形式教育的计划与安排。负责编写基层党员教材和党员先进典型的宣传。</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、负责引导社会舆论，指导、协调新闻出版等部门的工作，负责全县对外宣传工作。对县广播电视台的工作实施政治方向和方针政策方面的指导。</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、负责从宏观上指导精神产品的生产和文化市场的管理。对县文旅广电局、县广播电视台、县文联、县新华书店和各协会的工作实施政治方向和方针政策的指导。</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、负责规划、部署全县性的思想政治工作任务；了解和收集全县各阶层的思想动态，会同有关部门研究和改进思想教育工作。</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、负责规划、部署群众性的精神文明建设活动，负责组织开展各类文明创建活动。</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受县委委托，协同县组织部管理宣传系统的科级干部，指导文化、文联、广电等部门领导班子建设；制定培训规划并组织对乡（镇）党委宣传委员和县直各部门领导骨干的培训，负责全县新闻专业职称评审工作和全县思想政治工作专业人员职称评审工作。</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、组织贯彻执行宣传思想文化事业发展的指导方针，指导宣传文化部门制定有关政策。</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、归口管理、统筹协调全县互联网上的新闻宣传工作。</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、承办县委交办的其他事项。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年度主要</w:t>
            </w:r>
          </w:p>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工作内容</w:t>
            </w:r>
          </w:p>
        </w:tc>
        <w:tc>
          <w:tcPr>
            <w:tcW w:w="8146" w:type="dxa"/>
            <w:gridSpan w:val="15"/>
            <w:noWrap/>
            <w:vAlign w:val="center"/>
          </w:tcPr>
          <w:p>
            <w:pPr>
              <w:autoSpaceDN w:val="0"/>
              <w:spacing w:line="400" w:lineRule="exact"/>
              <w:ind w:left="840" w:hanging="840" w:hangingChars="350"/>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：持续深化党的理论武装，全面压实意识形态工作责任。</w:t>
            </w:r>
          </w:p>
          <w:p>
            <w:pPr>
              <w:autoSpaceDN w:val="0"/>
              <w:spacing w:line="40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为抗击疫情和抗洪</w:t>
            </w:r>
            <w:r>
              <w:rPr>
                <w:rFonts w:hint="eastAsia" w:ascii="仿宋_GB2312" w:hAnsi="仿宋_GB2312" w:eastAsia="仿宋_GB2312" w:cs="仿宋_GB2312"/>
                <w:color w:val="000000" w:themeColor="text1"/>
                <w:sz w:val="24"/>
                <w14:textFill>
                  <w14:solidFill>
                    <w14:schemeClr w14:val="tx1"/>
                  </w14:solidFill>
                </w14:textFill>
              </w:rPr>
              <w:t>做强内宣、做活外宣、做优网宣。</w:t>
            </w:r>
            <w:r>
              <w:rPr>
                <w:rFonts w:hint="eastAsia" w:ascii="仿宋_GB2312" w:hAnsi="仿宋_GB2312" w:eastAsia="仿宋_GB2312" w:cs="仿宋_GB2312"/>
                <w:color w:val="000000" w:themeColor="text1"/>
                <w:sz w:val="24"/>
              </w:rPr>
              <w:t>加大网络信息宣传管理力度，营造清朗网络空间。</w:t>
            </w:r>
          </w:p>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color w:val="000000" w:themeColor="text1"/>
                <w:sz w:val="24"/>
                <w14:textFill>
                  <w14:solidFill>
                    <w14:schemeClr w14:val="tx1"/>
                  </w14:solidFill>
                </w14:textFill>
              </w:rPr>
              <w:t>：加快发展文艺文化事业，满足全县人民精神文化生活需要。</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：开展全国文明城市创建，推进新时代文明实践中心全国试点县建设、“扫黄打非”、“治陋习、树新风”等工作。</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5</w:t>
            </w:r>
            <w:r>
              <w:rPr>
                <w:rFonts w:hint="eastAsia" w:ascii="仿宋_GB2312" w:hAnsi="仿宋_GB2312" w:eastAsia="仿宋_GB2312" w:cs="仿宋_GB2312"/>
                <w:color w:val="000000" w:themeColor="text1"/>
                <w:sz w:val="24"/>
                <w14:textFill>
                  <w14:solidFill>
                    <w14:schemeClr w14:val="tx1"/>
                  </w14:solidFill>
                </w14:textFill>
              </w:rPr>
              <w:t>：深入推进“两中心一平台”建设，加强宣传队伍建设，加强学习型机关建设，开展主题读书分享、“全民阅读”等活动，打造宣传铁军和网络红军。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pacing w:val="-6"/>
                <w:sz w:val="24"/>
                <w14:textFill>
                  <w14:solidFill>
                    <w14:schemeClr w14:val="tx1"/>
                  </w14:solidFill>
                </w14:textFill>
              </w:rPr>
            </w:pPr>
            <w:r>
              <w:rPr>
                <w:rFonts w:hint="eastAsia" w:ascii="仿宋_GB2312" w:hAnsi="仿宋_GB2312" w:eastAsia="仿宋_GB2312" w:cs="仿宋_GB2312"/>
                <w:color w:val="000000" w:themeColor="text1"/>
                <w:spacing w:val="-6"/>
                <w:sz w:val="24"/>
                <w14:textFill>
                  <w14:solidFill>
                    <w14:schemeClr w14:val="tx1"/>
                  </w14:solidFill>
                </w14:textFill>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党的理论武装、意识形态、新闻宣传、网络舆情、文明创建、精神文明建设、新闻出版版权、扫黄打非、文艺文化等各项工作整体推进，均取得明显实效。在</w:t>
            </w:r>
            <w:r>
              <w:rPr>
                <w:rFonts w:ascii="仿宋_GB2312" w:hAnsi="仿宋_GB2312" w:eastAsia="仿宋_GB2312" w:cs="仿宋_GB2312"/>
                <w:color w:val="000000" w:themeColor="text1"/>
                <w:sz w:val="24"/>
                <w14:textFill>
                  <w14:solidFill>
                    <w14:schemeClr w14:val="tx1"/>
                  </w14:solidFill>
                </w14:textFill>
              </w:rPr>
              <w:t>20</w:t>
            </w:r>
            <w:r>
              <w:rPr>
                <w:rFonts w:hint="eastAsia" w:ascii="仿宋_GB2312" w:hAnsi="仿宋_GB2312" w:eastAsia="仿宋_GB2312" w:cs="仿宋_GB2312"/>
                <w:color w:val="000000" w:themeColor="text1"/>
                <w:sz w:val="24"/>
                <w14:textFill>
                  <w14:solidFill>
                    <w14:schemeClr w14:val="tx1"/>
                  </w14:solidFill>
                </w14:textFill>
              </w:rPr>
              <w:t>20年度县委县政府年度绩效考评中被评为一类单位。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1099</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1099</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、二级机构网研中心</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1099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239</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731</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1031</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300</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211</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731</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、二级机构网研中心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、二级机构网研中心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79.5</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79.5</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77.4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77.4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、二级机构网研中心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noWrap/>
            <w:vAlign w:val="center"/>
          </w:tcPr>
          <w:p>
            <w:pPr>
              <w:autoSpaceDN w:val="0"/>
              <w:spacing w:line="320" w:lineRule="exac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noWrap/>
            <w:vAlign w:val="center"/>
          </w:tcPr>
          <w:p>
            <w:pPr>
              <w:autoSpaceDN w:val="0"/>
              <w:spacing w:line="320" w:lineRule="exac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autoSpaceDN w:val="0"/>
              <w:spacing w:line="320" w:lineRule="exact"/>
              <w:textAlignment w:val="center"/>
              <w:rPr>
                <w:rFonts w:ascii="仿宋_GB2312" w:hAnsi="仿宋_GB2312" w:eastAsia="仿宋_GB2312" w:cs="仿宋_GB2312"/>
                <w:color w:val="000000" w:themeColor="text1"/>
                <w:sz w:val="24"/>
                <w14:textFill>
                  <w14:solidFill>
                    <w14:schemeClr w14:val="tx1"/>
                  </w14:solidFill>
                </w14:textFill>
              </w:rPr>
            </w:pPr>
          </w:p>
        </w:tc>
        <w:tc>
          <w:tcPr>
            <w:tcW w:w="3774" w:type="dxa"/>
            <w:gridSpan w:val="7"/>
            <w:noWrap/>
            <w:vAlign w:val="center"/>
          </w:tcPr>
          <w:p>
            <w:pPr>
              <w:autoSpaceDN w:val="0"/>
              <w:spacing w:line="400" w:lineRule="exact"/>
              <w:ind w:left="840" w:hanging="840" w:hangingChars="350"/>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：持续深化党的理论武装，全面压实意识形态工作责任。</w:t>
            </w:r>
          </w:p>
          <w:p>
            <w:pPr>
              <w:autoSpaceDN w:val="0"/>
              <w:spacing w:line="40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为抗击疫情和抗洪</w:t>
            </w:r>
            <w:r>
              <w:rPr>
                <w:rFonts w:hint="eastAsia" w:ascii="仿宋_GB2312" w:hAnsi="仿宋_GB2312" w:eastAsia="仿宋_GB2312" w:cs="仿宋_GB2312"/>
                <w:color w:val="000000" w:themeColor="text1"/>
                <w:sz w:val="24"/>
                <w14:textFill>
                  <w14:solidFill>
                    <w14:schemeClr w14:val="tx1"/>
                  </w14:solidFill>
                </w14:textFill>
              </w:rPr>
              <w:t>做强内宣、做活外宣、做优网宣。加大网络信息宣传管理力度，营造清朗网络空间。</w:t>
            </w:r>
          </w:p>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color w:val="000000" w:themeColor="text1"/>
                <w:sz w:val="24"/>
                <w14:textFill>
                  <w14:solidFill>
                    <w14:schemeClr w14:val="tx1"/>
                  </w14:solidFill>
                </w14:textFill>
              </w:rPr>
              <w:t>：加快发展文艺文化事业，满足全县人民精神文化生活需要。</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：开展全国文明城市创建，推进新时代文明实践中心全国试点县建设、“扫黄打非”、“治陋习、树新风”等工作。</w:t>
            </w:r>
          </w:p>
          <w:p>
            <w:pPr>
              <w:autoSpaceDN w:val="0"/>
              <w:spacing w:line="320" w:lineRule="exac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任务</w:t>
            </w:r>
            <w:r>
              <w:rPr>
                <w:rFonts w:ascii="仿宋_GB2312" w:hAnsi="仿宋_GB2312" w:eastAsia="仿宋_GB2312" w:cs="仿宋_GB2312"/>
                <w:color w:val="000000" w:themeColor="text1"/>
                <w:sz w:val="24"/>
                <w14:textFill>
                  <w14:solidFill>
                    <w14:schemeClr w14:val="tx1"/>
                  </w14:solidFill>
                </w14:textFill>
              </w:rPr>
              <w:t>5</w:t>
            </w:r>
            <w:r>
              <w:rPr>
                <w:rFonts w:hint="eastAsia" w:ascii="仿宋_GB2312" w:hAnsi="仿宋_GB2312" w:eastAsia="仿宋_GB2312" w:cs="仿宋_GB2312"/>
                <w:color w:val="000000" w:themeColor="text1"/>
                <w:sz w:val="24"/>
                <w14:textFill>
                  <w14:solidFill>
                    <w14:schemeClr w14:val="tx1"/>
                  </w14:solidFill>
                </w14:textFill>
              </w:rPr>
              <w:t>：深入推进“两中心一平台”建设，加强宣传队伍建设，加强学习型机关建设，开展主题读书分享、“全民阅读”等活动，打造宣传铁军和网络红军</w:t>
            </w:r>
          </w:p>
        </w:tc>
        <w:tc>
          <w:tcPr>
            <w:tcW w:w="4585" w:type="dxa"/>
            <w:gridSpan w:val="9"/>
            <w:noWrap/>
            <w:vAlign w:val="center"/>
          </w:tcPr>
          <w:p>
            <w:pPr>
              <w:autoSpaceDN w:val="0"/>
              <w:spacing w:line="320" w:lineRule="exac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党的理论武装、意识形态、新闻宣传、网络舆情、文明创建、精神文明建设、新闻出版版权、扫黄打非、文艺文化等各项工作整体推进，均取得明显实效。在2020年度县委县政府年度绩效考评中被评为一类单位。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（部门工作实绩，包含上级部门和县委县政府布置的重点工作、实事任务等，根据部门实际进行调整细化）</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指标</w:t>
            </w:r>
            <w:r>
              <w:rPr>
                <w:rFonts w:ascii="仿宋_GB2312" w:hAnsi="仿宋_GB2312" w:eastAsia="仿宋_GB2312" w:cs="仿宋_GB2312"/>
                <w:b w:val="0"/>
                <w:bCs w:val="0"/>
                <w:color w:val="000000" w:themeColor="text1"/>
                <w:sz w:val="24"/>
                <w14:textFill>
                  <w14:solidFill>
                    <w14:schemeClr w14:val="tx1"/>
                  </w14:solidFill>
                </w14:textFill>
              </w:rPr>
              <w:t>1</w:t>
            </w:r>
            <w:r>
              <w:rPr>
                <w:rFonts w:hint="eastAsia" w:ascii="仿宋_GB2312" w:hAnsi="仿宋_GB2312" w:eastAsia="仿宋_GB2312" w:cs="仿宋_GB2312"/>
                <w:b w:val="0"/>
                <w:bCs w:val="0"/>
                <w:color w:val="000000" w:themeColor="text1"/>
                <w:sz w:val="24"/>
                <w14:textFill>
                  <w14:solidFill>
                    <w14:schemeClr w14:val="tx1"/>
                  </w14:solidFill>
                </w14:textFill>
              </w:rPr>
              <w:t>：汇聚战疫抗洪强大合力，对外树立华容良好形象。</w:t>
            </w:r>
          </w:p>
        </w:tc>
        <w:tc>
          <w:tcPr>
            <w:tcW w:w="2684" w:type="dxa"/>
            <w:gridSpan w:val="6"/>
            <w:noWrap/>
            <w:vAlign w:val="center"/>
          </w:tcPr>
          <w:p>
            <w:pPr>
              <w:autoSpaceDN w:val="0"/>
              <w:spacing w:line="340" w:lineRule="exact"/>
              <w:ind w:firstLine="480" w:firstLineChars="200"/>
              <w:jc w:val="left"/>
              <w:textAlignment w:val="center"/>
              <w:rPr>
                <w:rFonts w:ascii="仿宋_GB2312" w:hAnsi="仿宋_GB2312" w:eastAsia="仿宋_GB2312" w:cs="仿宋_GB2312"/>
                <w:b w:val="0"/>
                <w:bCs w:val="0"/>
                <w:color w:val="000000" w:themeColor="text1"/>
                <w:sz w:val="24"/>
                <w14:textFill>
                  <w14:solidFill>
                    <w14:schemeClr w14:val="tx1"/>
                  </w14:solidFill>
                </w14:textFill>
              </w:rPr>
            </w:pPr>
            <w:r>
              <w:rPr>
                <w:rFonts w:hint="eastAsia" w:ascii="仿宋_GB2312" w:hAnsi="仿宋_GB2312" w:eastAsia="仿宋_GB2312" w:cs="仿宋_GB2312"/>
                <w:b w:val="0"/>
                <w:bCs w:val="0"/>
                <w:color w:val="000000" w:themeColor="text1"/>
                <w:sz w:val="24"/>
                <w14:textFill>
                  <w14:solidFill>
                    <w14:schemeClr w14:val="tx1"/>
                  </w14:solidFill>
                </w14:textFill>
              </w:rPr>
              <w:t>战疫上，自编自制《华容父子说出门》等抗疫微动漫，阅读浏览量超50万；《湖南华容：出台“十大规范”为干群战“疫”提供行动指南》等1000多篇稿件被新华社等中央省市主流媒体转载刊发。抗洪上，梅田湖镇永固垸连夜抢险事迹、《“神兵”利器战洪峰》等在《新闻联播》《经济半小时》中央媒体播出，共53篇稿件在省级以上媒体刊发和报道。擦亮华容名片上，围绕全面小康、脱贫攻坚等重点工作和重要题材，在市级以上媒体上稿500余篇，特别是《中国影像方志湖南卷·华容篇》在中央电视台科教频道播出，《我是华容，这是我的名片》在“学习强国”点击率突破200万，全方位展示了我县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bookmarkStart w:id="0" w:name="_GoBack" w:colFirst="3" w:colLast="7"/>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：深入推进“两中心一平台”建设，宣传思想阵地不断筑牢。</w:t>
            </w:r>
          </w:p>
        </w:tc>
        <w:tc>
          <w:tcPr>
            <w:tcW w:w="2684" w:type="dxa"/>
            <w:gridSpan w:val="6"/>
            <w:noWrap/>
            <w:vAlign w:val="center"/>
          </w:tcPr>
          <w:p>
            <w:pPr>
              <w:autoSpaceDN w:val="0"/>
              <w:spacing w:line="340" w:lineRule="exact"/>
              <w:ind w:firstLine="482" w:firstLineChars="200"/>
              <w:jc w:val="left"/>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高标准打造新时代文明实践所站24个，创新开展“三联一创”活动，“长工”微宣讲获评全国新时代文明实践志愿服务优秀案例；县融媒体正式上线，实现了平台转换和内容整合，建立了5G智慧电台，县级媒体的传播力、引导力、影响力进一步提升；“学习强国”全国总台上稿21篇，上稿量全市第一，参加全市、全省“学习强国”电视知识竞赛，均取得优异战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w:t>
            </w:r>
            <w:r>
              <w:rPr>
                <w:rFonts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color w:val="000000" w:themeColor="text1"/>
                <w:sz w:val="24"/>
                <w14:textFill>
                  <w14:solidFill>
                    <w14:schemeClr w14:val="tx1"/>
                  </w14:solidFill>
                </w14:textFill>
              </w:rPr>
              <w:t>：持续深化党的理论武装，全面压实意识形态工作责任。</w:t>
            </w:r>
          </w:p>
        </w:tc>
        <w:tc>
          <w:tcPr>
            <w:tcW w:w="2684" w:type="dxa"/>
            <w:gridSpan w:val="6"/>
            <w:noWrap/>
            <w:vAlign w:val="center"/>
          </w:tcPr>
          <w:p>
            <w:pPr>
              <w:autoSpaceDN w:val="0"/>
              <w:spacing w:line="340" w:lineRule="exact"/>
              <w:ind w:firstLine="482" w:firstLineChars="200"/>
              <w:jc w:val="left"/>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组建了党的十九届四中、五中全会精神县委宣讲团开展集中宣讲和微宣讲共300场次，购买《习近平谈治国理政》（第三卷）等理论书籍3万多册，党报党刊实现全县308个公共服务场所全覆盖。深入推进“扫黄打非”工作，开展各类文化市场检查1856次、出动执法人员571人次、取缔出版物游商地摊12处、收缴各类非法出版物33册，协助查处涉案金额800多万元的岳阳“7·10”非法利用信息网络发布广告案。县委宣传部被评为全省“扫黄打非”先进集体。结合县委巡察工作，对37个部门单位开展了意识形态工作巡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w:t>
            </w:r>
            <w:r>
              <w:rPr>
                <w:rFonts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：加大网络信息宣传管理力度，营造清朗网络空间。</w:t>
            </w:r>
          </w:p>
        </w:tc>
        <w:tc>
          <w:tcPr>
            <w:tcW w:w="2684" w:type="dxa"/>
            <w:gridSpan w:val="6"/>
            <w:noWrap/>
            <w:vAlign w:val="center"/>
          </w:tcPr>
          <w:p>
            <w:pPr>
              <w:autoSpaceDN w:val="0"/>
              <w:spacing w:line="340" w:lineRule="exact"/>
              <w:ind w:firstLine="482" w:firstLineChars="200"/>
              <w:jc w:val="left"/>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妥善化解华容河9.6死鱼事件、金店被劫等重大敏感舆情十余起，疫情及抗洪期间，联合开展辟谣5次、向公安机关移交问题线索7条、查处典型案例4起、约谈自媒体17次，全年共处置网络舆情580条，舆情处置数排全市第一，网络问政的华容品牌进一步擦亮。开展了全县电子政务外网平台信息安全应急演练，推动重大项目网络舆情风险评估机制建设，组织我县“网络红军”开展大型网评活动30余次，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指标</w:t>
            </w: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：着力加强精神文明建设，推动社会主义核心价值观入脑入心。</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深入开展全国文明城市创建工作，深入推动社会主义核心价值观“五进”工作，以全省第七名成绩入围第六届全国文明城市创建，继续获评全国文明城市提名城市；新申创市级以上文明集体33家，县级以上文明村镇占比实现双达标，检察院、实验小学分别获评全国文明单位和全国文明校园，实现了国家级文明先进集体“零”的突破。入围“中国好人”侯选人，获评“湖南好人”等国家和省市级先进典型20人（组、户、个），开展了“新时代华容好人”等评选，成功举办第四届集体婚礼，实施“治陋树新”新风项目64个，移风易俗工作被《人民日报》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指标</w:t>
            </w: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：加快发展文艺文化事业，满足全县人民精神文化生活需要。</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持续开展送戏下乡、送书下乡、送电影下乡等活动，实施文艺工作“三奖三评三工程”活动，不断推进文艺文化精品创作生产，获国家和省级奖励50多篇。特别是在抗疫抗洪期间，共创作文艺文化作品3180件，在华容手机台“文艺战疫”“文艺抗洪”专栏刊发专题报道35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指标</w:t>
            </w: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：完善公共文化服务体系，丰富群众精神文化生活</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公共文化服务体系建设在全市领先，获省市肯定，群众文化生活更加丰富多彩。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指标</w:t>
            </w: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：社会公众或服务对象满意度在</w:t>
            </w:r>
            <w:r>
              <w:rPr>
                <w:rFonts w:ascii="仿宋_GB2312" w:hAnsi="仿宋_GB2312" w:eastAsia="仿宋_GB2312" w:cs="仿宋_GB2312"/>
                <w:color w:val="000000" w:themeColor="text1"/>
                <w:szCs w:val="21"/>
                <w14:textFill>
                  <w14:solidFill>
                    <w14:schemeClr w14:val="tx1"/>
                  </w14:solidFill>
                </w14:textFill>
              </w:rPr>
              <w:t>85%</w:t>
            </w:r>
            <w:r>
              <w:rPr>
                <w:rFonts w:hint="eastAsia" w:ascii="仿宋_GB2312" w:hAnsi="仿宋_GB2312" w:eastAsia="仿宋_GB2312" w:cs="仿宋_GB2312"/>
                <w:color w:val="000000" w:themeColor="text1"/>
                <w:szCs w:val="21"/>
                <w14:textFill>
                  <w14:solidFill>
                    <w14:schemeClr w14:val="tx1"/>
                  </w14:solidFill>
                </w14:textFill>
              </w:rPr>
              <w:t>以上</w:t>
            </w:r>
          </w:p>
        </w:tc>
        <w:tc>
          <w:tcPr>
            <w:tcW w:w="2684" w:type="dxa"/>
            <w:gridSpan w:val="6"/>
            <w:noWrap/>
            <w:vAlign w:val="center"/>
          </w:tcPr>
          <w:p>
            <w:pPr>
              <w:autoSpaceDN w:val="0"/>
              <w:spacing w:line="340" w:lineRule="exact"/>
              <w:ind w:firstLine="480" w:firstLineChars="200"/>
              <w:jc w:val="left"/>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社会公众或服务对象满意度达</w:t>
            </w:r>
            <w:r>
              <w:rPr>
                <w:rFonts w:ascii="仿宋_GB2312" w:hAnsi="仿宋_GB2312" w:eastAsia="仿宋_GB2312" w:cs="仿宋_GB2312"/>
                <w:color w:val="000000" w:themeColor="text1"/>
                <w:sz w:val="24"/>
                <w14:textFill>
                  <w14:solidFill>
                    <w14:schemeClr w14:val="tx1"/>
                  </w14:solidFill>
                </w14:textFill>
              </w:rPr>
              <w:t>9</w:t>
            </w:r>
            <w:r>
              <w:rPr>
                <w:rFonts w:hint="eastAsia" w:ascii="仿宋_GB2312" w:hAnsi="仿宋_GB2312" w:eastAsia="仿宋_GB2312" w:cs="仿宋_GB2312"/>
                <w:color w:val="000000" w:themeColor="text1"/>
                <w:sz w:val="24"/>
                <w14:textFill>
                  <w14:solidFill>
                    <w14:schemeClr w14:val="tx1"/>
                  </w14:solidFill>
                </w14:textFill>
              </w:rPr>
              <w:t>5</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刘利军</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副部长</w:t>
            </w:r>
          </w:p>
        </w:tc>
        <w:tc>
          <w:tcPr>
            <w:tcW w:w="1479" w:type="dxa"/>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县委宣传部</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危远峰</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办公室主任</w:t>
            </w:r>
          </w:p>
        </w:tc>
        <w:tc>
          <w:tcPr>
            <w:tcW w:w="1479" w:type="dxa"/>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县委宣传部</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吴丽媛</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出纳</w:t>
            </w:r>
          </w:p>
        </w:tc>
        <w:tc>
          <w:tcPr>
            <w:tcW w:w="1479" w:type="dxa"/>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县委宣传部</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eastAsia="仿宋_GB2312" w:cs="仿宋_GB2312"/>
          <w:bCs/>
          <w:sz w:val="28"/>
          <w:szCs w:val="28"/>
        </w:rPr>
      </w:pPr>
      <w:r>
        <w:rPr>
          <w:rFonts w:hint="eastAsia" w:eastAsia="仿宋_GB2312" w:cs="仿宋_GB2312"/>
          <w:bCs/>
          <w:sz w:val="28"/>
          <w:szCs w:val="28"/>
        </w:rPr>
        <w:t xml:space="preserve">填报人（签名）：吴丽媛                </w:t>
      </w:r>
      <w:r>
        <w:rPr>
          <w:rFonts w:hint="eastAsia" w:ascii="仿宋_GB2312" w:hAnsi="仿宋_GB2312" w:eastAsia="仿宋_GB2312" w:cs="仿宋_GB2312"/>
          <w:bCs/>
          <w:sz w:val="28"/>
          <w:szCs w:val="28"/>
        </w:rPr>
        <w:t>联系电话：</w:t>
      </w:r>
      <w:r>
        <w:rPr>
          <w:rFonts w:ascii="仿宋_GB2312" w:hAnsi="仿宋_GB2312" w:eastAsia="仿宋_GB2312" w:cs="仿宋_GB2312"/>
          <w:bCs/>
          <w:sz w:val="28"/>
          <w:szCs w:val="28"/>
        </w:rPr>
        <w:t>13786037213</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单位为财政全额预算拨款单位，核定人员编制22人，实有人数为22人。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、负责指导全县理论学习、理论研究、理论宣传工作。负责全县党员理论教育、路线方针政策教育、形式教育的计划与安排。负责编写基层党员教材和党员先进典型的宣传。</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、负责引导社会舆论，指导、协调新闻出版等部门的工作，负责全县对外宣传工作。对县广播电视台的工作实施政治方向和方针政策方面的指导。</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、负责从宏观上指导精神产品的生产和文化市场的管理。对县文广新旅局、县文联、县新华书店和各协会的工作实施政治方向和方针政策的指导。</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、负责规划、部署全县性的思想政治工作任务；了解和收集全县各阶层的思想动态，会同有关部门研究和改进思想教育工作。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5</w:t>
            </w:r>
            <w:r>
              <w:rPr>
                <w:rFonts w:hint="eastAsia" w:ascii="仿宋_GB2312" w:hAnsi="宋体" w:eastAsia="仿宋_GB2312" w:cs="宋体"/>
                <w:sz w:val="28"/>
                <w:szCs w:val="28"/>
                <w:shd w:val="clear" w:color="auto" w:fill="FFFFFF"/>
              </w:rPr>
              <w:t>、负责规划、部署群众性的精神文明建设活动，负责组织开展各类文明创建活动。</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6</w:t>
            </w:r>
            <w:r>
              <w:rPr>
                <w:rFonts w:hint="eastAsia" w:ascii="仿宋_GB2312" w:hAnsi="宋体" w:eastAsia="仿宋_GB2312" w:cs="宋体"/>
                <w:sz w:val="28"/>
                <w:szCs w:val="28"/>
                <w:shd w:val="clear" w:color="auto" w:fill="FFFFFF"/>
              </w:rPr>
              <w:t>、受县委委托，协同县组织部管理宣传系统的科级干部，指导文化、文联、广电等部门领导班子建设；制定培训规划并组织对乡（镇）党委宣传委员和县直各部门领导骨干的培训，负责全县新闻专业职称评审工作和全县思想政治工作专业人员职称评审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、组织贯彻执行宣传思想文化事业发展的指导方针，指导宣传文化部门制定有关政策。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、归口管理、统筹协调全县互联网上的新闻宣传工作。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、承办县委交办的其他事项。</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）机构构成：局机关本级决算、二级机构华容县互联网信息研究中心。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、收入情况：全年收入1099万元，其中：财政拨款收入1099万元。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全年支出1099万元，其中：基本支出368万元，项目支出731万元。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2020年整体支出1099万元，其中基本支出368万元，人员支出239万元，占基本支出65</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，公用支出129万元，占基本支出35</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。项目支出731万元。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2020年“三公经费”预算</w:t>
            </w: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3万元，实际开支12.6万元。“三公经费”与去年增加1.08万元，主要原因为新增二级机构网研中心，实际开支比预算数减少</w:t>
            </w:r>
            <w:r>
              <w:rPr>
                <w:rFonts w:ascii="仿宋_GB2312" w:hAnsi="宋体" w:eastAsia="仿宋_GB2312" w:cs="宋体"/>
                <w:sz w:val="28"/>
                <w:szCs w:val="28"/>
                <w:shd w:val="clear" w:color="auto" w:fill="FFFFFF"/>
              </w:rPr>
              <w:t>0.4</w:t>
            </w:r>
            <w:r>
              <w:rPr>
                <w:rFonts w:hint="eastAsia" w:ascii="仿宋_GB2312" w:hAnsi="宋体" w:eastAsia="仿宋_GB2312" w:cs="宋体"/>
                <w:sz w:val="28"/>
                <w:szCs w:val="28"/>
                <w:shd w:val="clear" w:color="auto" w:fill="FFFFFF"/>
              </w:rPr>
              <w:t>万元，控制在预算之内。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通过资产管理信息系统对固定资产进行统一登记管理，实现一物一卡，年末对固定资产进行清理，使账实相符，至2020年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月末固定资产79.5万元。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2020年项目支出731万元，主要用于党报党刊366万元，华容新闻专版50万元，今日华容50万元，文明创建78万元，专版宣传65万元，党政读完94万元，治陋习23万元等。</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三、部门（单位）专项组织实施情况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（一）专项组织情况分析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2020年项目支出731万元，项目资金都是严格按照专款专用的原则进行支付。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（二）专项管理情况分析</w:t>
            </w:r>
          </w:p>
          <w:p>
            <w:pPr>
              <w:spacing w:line="560" w:lineRule="exact"/>
              <w:ind w:firstLine="560" w:firstLineChars="200"/>
              <w:rPr>
                <w:rFonts w:ascii="仿宋_GB2312" w:hAnsi="宋体" w:eastAsia="仿宋_GB2312" w:cs="宋体"/>
                <w:color w:val="FF0000"/>
                <w:sz w:val="28"/>
                <w:szCs w:val="28"/>
                <w:shd w:val="clear" w:color="auto" w:fill="FFFFFF"/>
              </w:rPr>
            </w:pPr>
            <w:r>
              <w:rPr>
                <w:rFonts w:hint="eastAsia" w:ascii="仿宋_GB2312" w:hAnsi="宋体" w:eastAsia="仿宋_GB2312" w:cs="宋体"/>
                <w:sz w:val="28"/>
                <w:szCs w:val="28"/>
                <w:shd w:val="clear" w:color="auto" w:fill="FFFFFF"/>
              </w:rPr>
              <w:t>项目资金支付都是按照预算执行，实行专款专用，项目实施完成后，达到了预期经济效益及社会效益，圆满的完成了各项任务。</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2020年，根据年初工作规划和重点工作，围绕县委、县政府的工作部署，积极履行职责，强化管理，较好地完成了年度工作目标，同时加强预算收支的管理，建立健全内部管理制度，严格内部管理流程，部门整体支出管理得到了提升。2020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严格预算支出管理。预算执行中要求从严控制行政经费，压缩一般性支出，严格控制“三公”经费，资产的配置严格按政府标准采购，保障部门整体支出厉行节约的原则。</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完善单位内部控制制度。按照国家相关法律法规，完善单位《财务管理制度》，并严格按照制度管理和执行，防范风险，保证财政资金的安全和高效运行。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在2020年度整体工作中，党的理论武装、意识形态、新闻宣传、网络舆情、文明创建、精神文明建设、新闻出版版权、扫黄打非、文艺文化等各项工作整体推进，均取得明显实效。在2020年度县委县政府年度绩效考评中被评为一类单位。</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 xml:space="preserve"> “三公经费”有待更严格控制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六、改进措施和有关建议</w:t>
            </w:r>
          </w:p>
          <w:p>
            <w:pPr>
              <w:spacing w:line="560" w:lineRule="exact"/>
              <w:ind w:firstLine="560" w:firstLineChars="200"/>
              <w:rPr>
                <w:rFonts w:eastAsia="楷体_GB2312"/>
                <w:bCs/>
                <w:sz w:val="28"/>
                <w:szCs w:val="28"/>
              </w:rPr>
            </w:pPr>
            <w:r>
              <w:rPr>
                <w:rFonts w:hint="eastAsia" w:ascii="仿宋_GB2312" w:hAnsi="宋体" w:eastAsia="仿宋_GB2312" w:cs="宋体"/>
                <w:sz w:val="28"/>
                <w:szCs w:val="28"/>
                <w:shd w:val="clear" w:color="auto" w:fill="FFFFFF"/>
              </w:rPr>
              <w:t>严格控制“三公经费”支出，杜绝挪用和挤占其他预算资金；进一步细化“三公经费”管理，压缩“三公经费”支出。</w:t>
            </w: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w:t>
      </w:r>
      <w:r>
        <w:rPr>
          <w:rFonts w:ascii="黑体" w:hAnsi="黑体" w:eastAsia="黑体"/>
          <w:sz w:val="32"/>
          <w:szCs w:val="32"/>
        </w:rPr>
        <w:t>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70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r>
      <w:rPr>
        <w:rStyle w:val="7"/>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11318"/>
    <w:rsid w:val="000408EC"/>
    <w:rsid w:val="0007271E"/>
    <w:rsid w:val="000C6FD9"/>
    <w:rsid w:val="000F01BC"/>
    <w:rsid w:val="00123B66"/>
    <w:rsid w:val="001F69C8"/>
    <w:rsid w:val="00207B30"/>
    <w:rsid w:val="00212942"/>
    <w:rsid w:val="002412F9"/>
    <w:rsid w:val="00276621"/>
    <w:rsid w:val="00285F38"/>
    <w:rsid w:val="003E0F16"/>
    <w:rsid w:val="003F7CA0"/>
    <w:rsid w:val="0042052C"/>
    <w:rsid w:val="004A0D93"/>
    <w:rsid w:val="004C2B57"/>
    <w:rsid w:val="004D6EB9"/>
    <w:rsid w:val="00515E09"/>
    <w:rsid w:val="005540BB"/>
    <w:rsid w:val="005E2CFA"/>
    <w:rsid w:val="0061016C"/>
    <w:rsid w:val="00634B3A"/>
    <w:rsid w:val="007119C0"/>
    <w:rsid w:val="00781E8C"/>
    <w:rsid w:val="007B2063"/>
    <w:rsid w:val="008277A9"/>
    <w:rsid w:val="0090157A"/>
    <w:rsid w:val="0090428C"/>
    <w:rsid w:val="009277FB"/>
    <w:rsid w:val="00975E2B"/>
    <w:rsid w:val="00A04363"/>
    <w:rsid w:val="00A11B0A"/>
    <w:rsid w:val="00A20459"/>
    <w:rsid w:val="00AA5238"/>
    <w:rsid w:val="00AC6FAF"/>
    <w:rsid w:val="00AD1AFD"/>
    <w:rsid w:val="00B11146"/>
    <w:rsid w:val="00B6651A"/>
    <w:rsid w:val="00BE1752"/>
    <w:rsid w:val="00C35FC4"/>
    <w:rsid w:val="00C609F5"/>
    <w:rsid w:val="00CE5340"/>
    <w:rsid w:val="00D10D8E"/>
    <w:rsid w:val="00D27A8F"/>
    <w:rsid w:val="00D97BA1"/>
    <w:rsid w:val="00DA4233"/>
    <w:rsid w:val="00DB1516"/>
    <w:rsid w:val="00DD1AFC"/>
    <w:rsid w:val="00E254BF"/>
    <w:rsid w:val="00E61AE1"/>
    <w:rsid w:val="00E62E1B"/>
    <w:rsid w:val="00E92DA0"/>
    <w:rsid w:val="00F07889"/>
    <w:rsid w:val="00F763A6"/>
    <w:rsid w:val="083749E7"/>
    <w:rsid w:val="0DE528CD"/>
    <w:rsid w:val="17F9398A"/>
    <w:rsid w:val="18725427"/>
    <w:rsid w:val="263C173A"/>
    <w:rsid w:val="29A9390A"/>
    <w:rsid w:val="2CA33441"/>
    <w:rsid w:val="2CE55C20"/>
    <w:rsid w:val="2F287302"/>
    <w:rsid w:val="2FE34A75"/>
    <w:rsid w:val="30426D13"/>
    <w:rsid w:val="34F512C8"/>
    <w:rsid w:val="3A43255A"/>
    <w:rsid w:val="3D6201A1"/>
    <w:rsid w:val="435746AF"/>
    <w:rsid w:val="477245B4"/>
    <w:rsid w:val="4E46501D"/>
    <w:rsid w:val="4E4F0BB0"/>
    <w:rsid w:val="5334147E"/>
    <w:rsid w:val="5BE95901"/>
    <w:rsid w:val="61406B7F"/>
    <w:rsid w:val="63D44546"/>
    <w:rsid w:val="6A0A15CD"/>
    <w:rsid w:val="6DF352BD"/>
    <w:rsid w:val="705E3E6D"/>
    <w:rsid w:val="71C1048A"/>
    <w:rsid w:val="73F35F5B"/>
    <w:rsid w:val="73F659BF"/>
    <w:rsid w:val="76E65EC1"/>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99"/>
    <w:pPr>
      <w:ind w:firstLine="588" w:firstLineChars="200"/>
    </w:pPr>
    <w:rPr>
      <w:rFonts w:ascii="仿宋_GB2312" w:hAnsi="Calibri" w:eastAsia="仿宋_GB2312"/>
      <w:sz w:val="32"/>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10"/>
    <w:lock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正文文本缩进 2 Char"/>
    <w:basedOn w:val="6"/>
    <w:link w:val="2"/>
    <w:semiHidden/>
    <w:locked/>
    <w:uiPriority w:val="99"/>
    <w:rPr>
      <w:rFonts w:cs="Times New Roman"/>
      <w:sz w:val="24"/>
      <w:szCs w:val="24"/>
    </w:rPr>
  </w:style>
  <w:style w:type="character" w:customStyle="1" w:styleId="9">
    <w:name w:val="页脚 Char"/>
    <w:basedOn w:val="6"/>
    <w:link w:val="3"/>
    <w:semiHidden/>
    <w:qFormat/>
    <w:locked/>
    <w:uiPriority w:val="99"/>
    <w:rPr>
      <w:rFonts w:cs="Times New Roman"/>
      <w:sz w:val="18"/>
      <w:szCs w:val="18"/>
    </w:rPr>
  </w:style>
  <w:style w:type="character" w:customStyle="1" w:styleId="10">
    <w:name w:val="页眉 Char"/>
    <w:basedOn w:val="6"/>
    <w:link w:val="4"/>
    <w:semiHidden/>
    <w:uiPriority w:val="99"/>
    <w:rPr>
      <w:sz w:val="18"/>
      <w:szCs w:val="18"/>
    </w:rPr>
  </w:style>
  <w:style w:type="character" w:customStyle="1" w:styleId="11">
    <w:name w:val="标题 3 Char Char"/>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992</Words>
  <Characters>5661</Characters>
  <Lines>47</Lines>
  <Paragraphs>13</Paragraphs>
  <TotalTime>1</TotalTime>
  <ScaleCrop>false</ScaleCrop>
  <LinksUpToDate>false</LinksUpToDate>
  <CharactersWithSpaces>6640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2021-07-28T07:46:00Z</cp:lastPrinted>
  <dcterms:modified xsi:type="dcterms:W3CDTF">2021-07-28T10:21:11Z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BEF0F06E6E9A4F09A6FE6EE2F6E80DD8</vt:lpwstr>
  </property>
</Properties>
</file>